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6"/>
        </w:rPr>
        <w:t>QDIST Family Evaluation Workbook</w:t>
      </w:r>
    </w:p>
    <w:p>
      <w:pPr>
        <w:jc w:val="center"/>
      </w:pPr>
      <w:r>
        <w:rPr>
          <w:rFonts w:ascii="Aptos" w:hAnsi="Aptos"/>
          <w:color w:val="595959"/>
          <w:sz w:val="22"/>
        </w:rPr>
        <w:t>Final scientific adjudication and freeze authorization | qdist-v4.0.0</w:t>
      </w:r>
    </w:p>
    <w:p>
      <w:pPr>
        <w:spacing w:after="80"/>
      </w:pPr>
      <w:r>
        <w:rPr>
          <w:rFonts w:ascii="Aptos" w:hAnsi="Aptos"/>
          <w:sz w:val="18"/>
        </w:rPr>
        <w:t>Measurement: native-waveform hard-clipping morphology compatible with hard clipping or saturation.</w:t>
      </w:r>
    </w:p>
    <w:p>
      <w:pPr>
        <w:spacing w:after="80"/>
      </w:pPr>
      <w:r>
        <w:rPr>
          <w:rFonts w:ascii="Aptos" w:hAnsi="Aptos"/>
          <w:sz w:val="18"/>
        </w:rPr>
        <w:t>Scope boundary: not total harmonic distortion, soft clipping, compression, limiting, AGC, codec distortion, perceptual distortion, or causal attribution of the clipping stage.</w:t>
      </w:r>
    </w:p>
    <w:p>
      <w:pPr>
        <w:pStyle w:val="Heading1"/>
        <w:spacing w:before="80" w:after="80"/>
      </w:pPr>
      <w:r>
        <w:t>Final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Final state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Numerical measurement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ACCEPTED - exact equivalence to immutable qdist-v3.1.1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Cohort</w:t>
            </w:r>
          </w:p>
        </w:tc>
        <w:tc>
          <w:tcPr>
            <w:tcW w:type="dxa" w:w="72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519 recordings; 224 participants; 519 available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Observed positives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 recordings; 5 participants; 30 accepted plateaus; 15 episodes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Checklist</w:t>
            </w:r>
          </w:p>
        </w:tc>
        <w:tc>
          <w:tcPr>
            <w:tcW w:type="dxa" w:w="72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50/50 items resolved across G1-G10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Figures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23 complete bundles; Panel I applicable and complete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Event review</w:t>
            </w:r>
          </w:p>
        </w:tc>
        <w:tc>
          <w:tcPr>
            <w:tcW w:type="dxa" w:w="72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60 label-blind items; AI-assisted; 13 rejected items ambiguous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Freeze status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Ready after executed finalization notebook and atomic freeze scripts</w:t>
            </w:r>
          </w:p>
        </w:tc>
      </w:tr>
    </w:tbl>
    <w:p>
      <w:pPr>
        <w:pStyle w:val="Heading1"/>
        <w:spacing w:before="80" w:after="80"/>
      </w:pPr>
      <w:r>
        <w:t>Non-negotiable governance</w:t>
      </w:r>
    </w:p>
    <w:p>
      <w:pPr>
        <w:spacing w:after="80"/>
      </w:pPr>
      <w:r>
        <w:rPr>
          <w:rFonts w:ascii="Aptos" w:hAnsi="Aptos"/>
          <w:sz w:val="18"/>
        </w:rPr>
        <w:t>No QDIST scalar. No standalone reject threshold. No missing-to-zero imputation. No complete nonlinear-distortion claim. Every event-rate use retains count, exposure, exact Poisson interval, and the frozen 20-ms merge gap.</w:t>
      </w:r>
    </w:p>
    <w:p>
      <w:r>
        <w:br w:type="page"/>
      </w:r>
    </w:p>
    <w:p>
      <w:pPr>
        <w:jc w:val="center"/>
      </w:pPr>
      <w:r>
        <w:rPr>
          <w:rFonts w:ascii="Aptos Display" w:hAnsi="Aptos Display"/>
          <w:b/>
          <w:color w:val="1F4E79"/>
          <w:sz w:val="46"/>
        </w:rPr>
        <w:t>Final feature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57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Paper</w:t>
            </w:r>
          </w:p>
        </w:tc>
        <w:tc>
          <w:tcPr>
            <w:tcW w:type="dxa" w:w="7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Default joint model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Qualifications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qdist_hard_clipped_frame_fraction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RETAIN_PRIMARY_RELATED_VIEW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Yes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Yes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 recording-level prevalence view: fraction of complete native-waveform frames intersecting at least one accepted hard-clipping plateau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only 6/519 recordings were positive; positive-part repeatability is not estimable; frame fraction is a related view rather than independent evidence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qdist_hard_clip_event_rate_per_min</w:t>
            </w:r>
          </w:p>
        </w:tc>
        <w:tc>
          <w:tcPr>
            <w:tcW w:type="dxa" w:w="18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RETAIN_PRIMARY_EVENT_WITH_UNCERTAINTY</w:t>
            </w:r>
          </w:p>
        </w:tc>
        <w:tc>
          <w:tcPr>
            <w:tcW w:type="dxa" w:w="57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Yes</w:t>
            </w:r>
          </w:p>
        </w:tc>
        <w:tc>
          <w:tcPr>
            <w:tcW w:type="dxa" w:w="79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Yes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 event view: merged accepted hard-clipping episodes per finite native task-span minute, accompanied by event count and exact Poisson interval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positive recordings are sparse; 10-ms grouping changed event count in 2/519 recordings but occurrence remained invariant; delete-one influence is large when counts are small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qdist_hard_clipped_sample_fraction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RETAIN_SECONDARY_RELATED_VIEW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Yes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secondary direct channel-sample burden view; report with clipped channel-ms/min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values are extremely small and should be translated to clipped channel-ms/min; positive-only ranking is based on six recordings</w:t>
            </w:r>
          </w:p>
        </w:tc>
      </w:tr>
    </w:tbl>
    <w:p>
      <w:pPr>
        <w:pStyle w:val="Heading1"/>
        <w:spacing w:before="80" w:after="80"/>
      </w:pPr>
      <w:r>
        <w:t>Interpretive hierarchy</w:t>
      </w:r>
    </w:p>
    <w:p>
      <w:pPr>
        <w:spacing w:after="80"/>
      </w:pPr>
      <w:r>
        <w:rPr>
          <w:rFonts w:ascii="Aptos" w:hAnsi="Aptos"/>
          <w:sz w:val="18"/>
        </w:rPr>
        <w:t>Frame fraction is the primary merge-gap-independent prevalence view. Event rate is the primary discrete-event view and requires uncertainty. Sample fraction is a secondary direct burden view and should be translated to clipped channel-ms/min. The three outputs are related views of the same plateau-and-episode system.</w:t>
      </w:r>
    </w:p>
    <w:p>
      <w:r>
        <w:br w:type="page"/>
      </w:r>
    </w:p>
    <w:p>
      <w:pPr>
        <w:jc w:val="center"/>
      </w:pPr>
      <w:r>
        <w:rPr>
          <w:rFonts w:ascii="Aptos Display" w:hAnsi="Aptos Display"/>
          <w:b/>
          <w:color w:val="1F4E79"/>
          <w:sz w:val="46"/>
        </w:rPr>
        <w:t>Cohort, numerical reconstruction, and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33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10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Available</w:t>
            </w:r>
          </w:p>
        </w:tc>
        <w:tc>
          <w:tcPr>
            <w:tcW w:type="dxa" w:w="8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Positive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Positive median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Positive IQR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Positive max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qdist_hard_clipped_frame_fraction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519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0.00185189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0.00164091-0.0028616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0.00459982</w:t>
            </w:r>
          </w:p>
        </w:tc>
      </w:tr>
      <w:tr>
        <w:tc>
          <w:tcPr>
            <w:tcW w:type="dxa" w:w="331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qdist_hard_clip_event_rate_per_min</w:t>
            </w:r>
          </w:p>
        </w:tc>
        <w:tc>
          <w:tcPr>
            <w:tcW w:type="dxa" w:w="10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519</w:t>
            </w:r>
          </w:p>
        </w:tc>
        <w:tc>
          <w:tcPr>
            <w:tcW w:type="dxa" w:w="86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6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3.67766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3.28117-3.84245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7.35384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qdist_hard_clipped_sample_fraction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519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9.01296e-06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6.20087e-06-1.7207e-05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6.1233e-05</w:t>
            </w:r>
          </w:p>
        </w:tc>
      </w:tr>
    </w:tbl>
    <w:p>
      <w:pPr>
        <w:pStyle w:val="Heading1"/>
        <w:spacing w:before="80" w:after="80"/>
      </w:pPr>
      <w:r>
        <w:t>Reconstruction contract</w:t>
      </w:r>
    </w:p>
    <w:p>
      <w:pPr>
        <w:spacing w:after="80"/>
      </w:pPr>
      <w:r>
        <w:rPr>
          <w:rFonts w:ascii="Aptos" w:hAnsi="Aptos"/>
          <w:sz w:val="18"/>
        </w:rPr>
        <w:t>All three features reconstruct independently from saved accepted-plateau and merged-episode ledgers. Maximum differences versus the immutable cohort table were &lt;=8.28e-17 for frame fraction, &lt;=1.33e-15 for event rate, and &lt;=1.69e-21 for sample fraction. The finalization tolerance is 2e-15 and covers CSV double-precision round trip only.</w:t>
      </w:r>
    </w:p>
    <w:p>
      <w:pPr>
        <w:pStyle w:val="Heading1"/>
        <w:spacing w:before="80" w:after="80"/>
      </w:pPr>
      <w:r>
        <w:t>Support and native geometry</w:t>
      </w:r>
    </w:p>
    <w:p>
      <w:pPr>
        <w:spacing w:after="80"/>
      </w:pPr>
      <w:r>
        <w:rPr>
          <w:rFonts w:ascii="Aptos" w:hAnsi="Aptos"/>
          <w:sz w:val="18"/>
        </w:rPr>
        <w:t>All 519 recordings have finite native task-span exposure and complete-frame support. Valid zero remains an observed measurement state. Source and decoded hashes, native sample rate, native channel count, sample format, codec/container, task exposure, complete frames, parameter hash, and status are retained.</w:t>
      </w:r>
    </w:p>
    <w:p>
      <w:r>
        <w:br w:type="page"/>
      </w:r>
    </w:p>
    <w:p>
      <w:pPr>
        <w:jc w:val="center"/>
      </w:pPr>
      <w:r>
        <w:rPr>
          <w:rFonts w:ascii="Aptos Display" w:hAnsi="Aptos Display"/>
          <w:b/>
          <w:color w:val="1F4E79"/>
          <w:sz w:val="46"/>
        </w:rPr>
        <w:t>G1-G10 final gate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7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Final state</w:t>
            </w:r>
          </w:p>
        </w:tc>
        <w:tc>
          <w:tcPr>
            <w:tcW w:type="dxa" w:w="76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Scientific basis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G1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Construct, input, signal-view, frozen-source and provenance contracts are complete.</w:t>
            </w:r>
          </w:p>
        </w:tc>
      </w:tr>
      <w:tr>
        <w:tc>
          <w:tcPr>
            <w:tcW w:type="dxa" w:w="79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G2</w:t>
            </w:r>
          </w:p>
        </w:tc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  <w:tc>
          <w:tcPr>
            <w:tcW w:type="dxa" w:w="763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All three features reconstruct for 519/519 recordings within &lt;=2e-15 CSV round-trip tolerance.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G3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PASS_WITH_QUALIFICATION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Native PCM transformations behave as specified; resampling and lossy encoding can erase evidence.</w:t>
            </w:r>
          </w:p>
        </w:tc>
      </w:tr>
      <w:tr>
        <w:tc>
          <w:tcPr>
            <w:tcW w:type="dxa" w:w="79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G4</w:t>
            </w:r>
          </w:p>
        </w:tc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PASS_WITH_QUALIFICATION</w:t>
            </w:r>
          </w:p>
        </w:tc>
        <w:tc>
          <w:tcPr>
            <w:tcW w:type="dxa" w:w="763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Controlled hard clipping has ordered response and perfect precision; smallest burdens are conservatively detected.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G5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PASS_WITH_SCOPE_LIMIT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Specificity controls pass within the hard-plateau construct; broad nonlinear-distortion claims remain prohibited.</w:t>
            </w:r>
          </w:p>
        </w:tc>
      </w:tr>
      <w:tr>
        <w:tc>
          <w:tcPr>
            <w:tcW w:type="dxa" w:w="79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G6</w:t>
            </w:r>
          </w:p>
        </w:tc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PASS_WITH_QUALIFICATION</w:t>
            </w:r>
          </w:p>
        </w:tc>
        <w:tc>
          <w:tcPr>
            <w:tcW w:type="dxa" w:w="763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Occurrence is robust to declared variants, but threshold-adjacent events and sparse rate uncertainty must remain visible.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G7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PASS_WITH_QUALIFICATION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All recordings are available and empirical behavior is plausible, but only six recordings are positive.</w:t>
            </w:r>
          </w:p>
        </w:tc>
      </w:tr>
      <w:tr>
        <w:tc>
          <w:tcPr>
            <w:tcW w:type="dxa" w:w="79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G8</w:t>
            </w:r>
          </w:p>
        </w:tc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PASS_WITH_MAJOR_QUALIFICATION</w:t>
            </w:r>
          </w:p>
        </w:tc>
        <w:tc>
          <w:tcPr>
            <w:tcW w:type="dxa" w:w="763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Outputs are related views; positive-part repeatability is not estimable and positive occurrence agreement is limited.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G9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PASS_WITH_QUALIFICATION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The complete 60-item review meets point-estimate gates; labels are AI-assisted and 13 rejected candidates are ambiguous.</w:t>
            </w:r>
          </w:p>
        </w:tc>
      </w:tr>
      <w:tr>
        <w:tc>
          <w:tcPr>
            <w:tcW w:type="dxa" w:w="79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G10</w:t>
            </w:r>
          </w:p>
        </w:tc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  <w:tc>
          <w:tcPr>
            <w:tcW w:type="dxa" w:w="763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Feature-specific decisions, figures, support-aware handoff, passports and atomic freeze contracts are complete.</w:t>
            </w:r>
          </w:p>
        </w:tc>
      </w:tr>
    </w:tbl>
    <w:p>
      <w:pPr>
        <w:pStyle w:val="Heading1"/>
        <w:spacing w:before="80" w:after="80"/>
      </w:pPr>
      <w:r>
        <w:t>Meaning of qualified passes</w:t>
      </w:r>
    </w:p>
    <w:p>
      <w:pPr>
        <w:spacing w:after="80"/>
      </w:pPr>
      <w:r>
        <w:rPr>
          <w:rFonts w:ascii="Aptos" w:hAnsi="Aptos"/>
          <w:sz w:val="18"/>
        </w:rPr>
        <w:t>A qualified pass is not an unresolved implementation failure. It records the scientifically correct limitation of the measurement: resampling can erase plateaus; very small doses may be missed; sparse counts create uncertainty; positive repeatability is not estimable; and the event review is AI-assisted rather than independent human ground truth.</w:t>
      </w:r>
    </w:p>
    <w:p>
      <w:r>
        <w:br w:type="page"/>
      </w:r>
    </w:p>
    <w:p>
      <w:pPr>
        <w:jc w:val="center"/>
      </w:pPr>
      <w:r>
        <w:rPr>
          <w:rFonts w:ascii="Aptos Display" w:hAnsi="Aptos Display"/>
          <w:b/>
          <w:color w:val="1F4E79"/>
          <w:sz w:val="46"/>
        </w:rPr>
        <w:t>Robustness, uncertainty, and reliability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Merge gap (ms)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Positive recordings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Occurrence agreement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Count changed fraction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Max rate change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1.000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0.0039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1.838</w:t>
            </w:r>
          </w:p>
        </w:tc>
      </w:tr>
      <w:tr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6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1.000</w:t>
            </w:r>
          </w:p>
        </w:tc>
        <w:tc>
          <w:tcPr>
            <w:tcW w:type="dxa" w:w="21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0.0000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0.000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1.000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0.0000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0.000</w:t>
            </w:r>
          </w:p>
        </w:tc>
      </w:tr>
      <w:tr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50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6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1.000</w:t>
            </w:r>
          </w:p>
        </w:tc>
        <w:tc>
          <w:tcPr>
            <w:tcW w:type="dxa" w:w="21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0.0000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0.000</w:t>
            </w:r>
          </w:p>
        </w:tc>
      </w:tr>
    </w:tbl>
    <w:p>
      <w:pPr>
        <w:pStyle w:val="Heading1"/>
        <w:spacing w:before="80" w:after="80"/>
      </w:pPr>
      <w:r>
        <w:t>Repeated recordings</w:t>
      </w:r>
    </w:p>
    <w:p>
      <w:pPr>
        <w:spacing w:after="80"/>
      </w:pPr>
      <w:r>
        <w:rPr>
          <w:rFonts w:ascii="Aptos" w:hAnsi="Aptos"/>
          <w:sz w:val="18"/>
        </w:rPr>
        <w:t>Among 158 pairs: both zero 154, first-only positive 2, second-only positive 1, and both positive 1. Overall agreement 0.981; positive agreement 0.400; negative agreement 0.990; kappa 0.391. Positive-part magnitude reliability is not estimable.</w:t>
      </w:r>
    </w:p>
    <w:p>
      <w:pPr>
        <w:pStyle w:val="Heading1"/>
        <w:spacing w:before="80" w:after="80"/>
      </w:pPr>
      <w:r>
        <w:t>Sparse-count interpretation</w:t>
      </w:r>
    </w:p>
    <w:p>
      <w:pPr>
        <w:spacing w:after="80"/>
      </w:pPr>
      <w:r>
        <w:rPr>
          <w:rFonts w:ascii="Aptos" w:hAnsi="Aptos"/>
          <w:sz w:val="18"/>
        </w:rPr>
        <w:t>Deleting a single accepted event can alter rate by approximately 1.927 episodes/min. Exact Poisson intervals are mandatory. The frozen 20-ms merge gap is supported because 20-, 30-, and 50-ms grouping are identical in this cohort; 10 ms splits events in two recordings without changing occurrence.</w:t>
      </w:r>
    </w:p>
    <w:p>
      <w:r>
        <w:br w:type="page"/>
      </w:r>
    </w:p>
    <w:p>
      <w:pPr>
        <w:jc w:val="center"/>
      </w:pPr>
      <w:r>
        <w:rPr>
          <w:rFonts w:ascii="Aptos Display" w:hAnsi="Aptos Display"/>
          <w:b/>
          <w:color w:val="1F4E79"/>
          <w:sz w:val="46"/>
        </w:rPr>
        <w:t>G9 event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Stratum</w:t>
            </w:r>
          </w:p>
        </w:tc>
        <w:tc>
          <w:tcPr>
            <w:tcW w:type="dxa" w:w="10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Items</w:t>
            </w:r>
          </w:p>
        </w:tc>
        <w:tc>
          <w:tcPr>
            <w:tcW w:type="dxa" w:w="12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Adjudicable</w:t>
            </w:r>
          </w:p>
        </w:tc>
        <w:tc>
          <w:tcPr>
            <w:tcW w:type="dxa" w:w="10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Positive</w:t>
            </w:r>
          </w:p>
        </w:tc>
        <w:tc>
          <w:tcPr>
            <w:tcW w:type="dxa" w:w="11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Ambiguous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Positive fraction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rejected_candidate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0.143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valid_zero</w:t>
            </w:r>
          </w:p>
        </w:tc>
        <w:tc>
          <w:tcPr>
            <w:tcW w:type="dxa" w:w="10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</w:t>
            </w:r>
          </w:p>
        </w:tc>
        <w:tc>
          <w:tcPr>
            <w:tcW w:type="dxa" w:w="122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</w:t>
            </w:r>
          </w:p>
        </w:tc>
        <w:tc>
          <w:tcPr>
            <w:tcW w:type="dxa" w:w="10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0.000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accepted_plateau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1.000</w:t>
            </w:r>
          </w:p>
        </w:tc>
      </w:tr>
    </w:tbl>
    <w:p>
      <w:pPr>
        <w:pStyle w:val="Heading1"/>
        <w:spacing w:before="80" w:after="80"/>
      </w:pPr>
      <w:r>
        <w:t>Review package</w:t>
      </w:r>
    </w:p>
    <w:p>
      <w:pPr>
        <w:spacing w:after="80"/>
      </w:pPr>
      <w:r>
        <w:rPr>
          <w:rFonts w:ascii="Aptos" w:hAnsi="Aptos"/>
          <w:sz w:val="18"/>
        </w:rPr>
        <w:t>All 30 accepted real plateaus, 20 rejected near-threshold candidates, and 10 valid-zero controls are included. Each item links waveform, PCM-code/first-difference context, amplitude occupancy, spectrogram, and audio excerpt. Selection is deterministic and label-blind.</w:t>
      </w:r>
    </w:p>
    <w:p>
      <w:pPr>
        <w:pStyle w:val="Heading1"/>
        <w:spacing w:before="80" w:after="80"/>
      </w:pPr>
      <w:r>
        <w:t>Qualification</w:t>
      </w:r>
    </w:p>
    <w:p>
      <w:pPr>
        <w:spacing w:after="80"/>
      </w:pPr>
      <w:r>
        <w:rPr>
          <w:rFonts w:ascii="Aptos" w:hAnsi="Aptos"/>
          <w:sz w:val="18"/>
        </w:rPr>
        <w:t>The point-estimate gates pass. The review was performed as AI-assisted blinded morphology review and is not independent human ground truth. Thirteen rejected candidates remain ambiguous. Independent expert signoff is recommended before manuscript precision language; the disclosure is frozen into provenance.</w:t>
      </w:r>
    </w:p>
    <w:p>
      <w:r>
        <w:br w:type="page"/>
      </w:r>
    </w:p>
    <w:p>
      <w:pPr>
        <w:jc w:val="center"/>
      </w:pPr>
      <w:r>
        <w:rPr>
          <w:rFonts w:ascii="Aptos Display" w:hAnsi="Aptos Display"/>
          <w:b/>
          <w:color w:val="1F4E79"/>
          <w:sz w:val="46"/>
        </w:rPr>
        <w:t>Standardized A-J figure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7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Panel</w:t>
            </w:r>
          </w:p>
        </w:tc>
        <w:tc>
          <w:tcPr>
            <w:tcW w:type="dxa" w:w="82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Required evidence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Final state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Hard-clipping dose, exact truth precision/recall, rail/sub-rail response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Complete</w:t>
            </w:r>
          </w:p>
        </w:tc>
      </w:tr>
      <w:tr>
        <w:tc>
          <w:tcPr>
            <w:tcW w:type="dxa" w:w="79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</w:t>
            </w:r>
          </w:p>
        </w:tc>
        <w:tc>
          <w:tcPr>
            <w:tcW w:type="dxa" w:w="82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Natural extrema, impulses, low-level quantization, coarse bit depth, soft-scope controls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Complete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Polarity, time shift, post-clip attenuation, lossless PCM, resampling, Opus/AAC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Complete</w:t>
            </w:r>
          </w:p>
        </w:tc>
      </w:tr>
      <w:tr>
        <w:tc>
          <w:tcPr>
            <w:tcW w:type="dxa" w:w="79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D1</w:t>
            </w:r>
          </w:p>
        </w:tc>
        <w:tc>
          <w:tcPr>
            <w:tcW w:type="dxa" w:w="82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Finite task-span duration, complete frames, support tiers, statuses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Complete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D2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Valid-zero mass, positive recordings, plateau and episode counts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Complete</w:t>
            </w:r>
          </w:p>
        </w:tc>
      </w:tr>
      <w:tr>
        <w:tc>
          <w:tcPr>
            <w:tcW w:type="dxa" w:w="79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D3</w:t>
            </w:r>
          </w:p>
        </w:tc>
        <w:tc>
          <w:tcPr>
            <w:tcW w:type="dxa" w:w="82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Sample rate, channel count, bit depth, codec, quantization contract, acquisition vintage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Complete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E1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Amplitude floor, plateau duration, flatness, context, edge and terminality thresholds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Complete</w:t>
            </w:r>
          </w:p>
        </w:tc>
      </w:tr>
      <w:tr>
        <w:tc>
          <w:tcPr>
            <w:tcW w:type="dxa" w:w="79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E2</w:t>
            </w:r>
          </w:p>
        </w:tc>
        <w:tc>
          <w:tcPr>
            <w:tcW w:type="dxa" w:w="82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10/20/30/50-ms merge gaps, event-count/rate stability, occurrence agreement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Complete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E3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Absolute clipped ms/min, delete-one-plateau/episode influence, Poisson uncertainty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Complete</w:t>
            </w:r>
          </w:p>
        </w:tc>
      </w:tr>
      <w:tr>
        <w:tc>
          <w:tcPr>
            <w:tcW w:type="dxa" w:w="79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</w:t>
            </w:r>
          </w:p>
        </w:tc>
        <w:tc>
          <w:tcPr>
            <w:tcW w:type="dxa" w:w="82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Feature zero masses, positive-part distributions, support and missingness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Complete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 least eight deterministic label-blind examples plus complete accepted-event review package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Complete</w:t>
            </w:r>
          </w:p>
        </w:tc>
      </w:tr>
      <w:tr>
        <w:tc>
          <w:tcPr>
            <w:tcW w:type="dxa" w:w="79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H1</w:t>
            </w:r>
          </w:p>
        </w:tc>
        <w:tc>
          <w:tcPr>
            <w:tcW w:type="dxa" w:w="82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Occurrence agreement and positive-part Spearman/ICC with pairwise n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Complete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H2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Frame, event-rate, and sample burden correlations and non-independence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Complete</w:t>
            </w:r>
          </w:p>
        </w:tc>
      </w:tr>
      <w:tr>
        <w:tc>
          <w:tcPr>
            <w:tcW w:type="dxa" w:w="79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H3</w:t>
            </w:r>
          </w:p>
        </w:tc>
        <w:tc>
          <w:tcPr>
            <w:tcW w:type="dxa" w:w="82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Participant-balanced versus recording-weighted summaries and clustering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Complete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Accepted/rejected/valid-zero adjudication, precision and review completeness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Complete</w:t>
            </w:r>
          </w:p>
        </w:tc>
      </w:tr>
      <w:tr>
        <w:tc>
          <w:tcPr>
            <w:tcW w:type="dxa" w:w="79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J</w:t>
            </w:r>
          </w:p>
        </w:tc>
        <w:tc>
          <w:tcPr>
            <w:tcW w:type="dxa" w:w="82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Non-imputed zero/missing/status/exposure/count/Poisson/version/provenance contract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Complete</w:t>
            </w:r>
          </w:p>
        </w:tc>
      </w:tr>
    </w:tbl>
    <w:p>
      <w:pPr>
        <w:pStyle w:val="Heading1"/>
        <w:spacing w:before="80" w:after="80"/>
      </w:pPr>
      <w:r>
        <w:t>Bundle contract</w:t>
      </w:r>
    </w:p>
    <w:p>
      <w:pPr>
        <w:spacing w:after="80"/>
      </w:pPr>
      <w:r>
        <w:rPr>
          <w:rFonts w:ascii="Aptos" w:hAnsi="Aptos"/>
          <w:sz w:val="18"/>
        </w:rPr>
        <w:t>Every indexed A-J/G bundle contains 300-dpi PNG, editable SVG, PDF, source-data CSV, scientific caption, and provenance JSON. There are 15 main bundles and eight deterministic Panel G examples. Panel I is applicable and complete. Sixty supporting event-review items additionally contain standardized PNG, source CSV, WAV excerpt, caption, and provenance.</w:t>
      </w:r>
    </w:p>
    <w:p>
      <w:r>
        <w:br w:type="page"/>
      </w:r>
    </w:p>
    <w:p>
      <w:pPr>
        <w:jc w:val="center"/>
      </w:pPr>
      <w:r>
        <w:rPr>
          <w:rFonts w:ascii="Aptos Display" w:hAnsi="Aptos Display"/>
          <w:b/>
          <w:color w:val="1F4E79"/>
          <w:sz w:val="46"/>
        </w:rPr>
        <w:t>Freeze checklist and publication use</w:t>
      </w:r>
    </w:p>
    <w:p>
      <w:pPr>
        <w:pStyle w:val="Heading1"/>
        <w:spacing w:before="80" w:after="80"/>
      </w:pPr>
      <w:r>
        <w:t>Before numerical freeze</w:t>
      </w:r>
    </w:p>
    <w:p>
      <w:pPr>
        <w:spacing w:after="80"/>
      </w:pPr>
      <w:r>
        <w:rPr>
          <w:rFonts w:ascii="Aptos" w:hAnsi="Aptos"/>
          <w:sz w:val="18"/>
        </w:rPr>
        <w:t>- Run all six finalization notebook code cells with ACCEPT_QDIST_V400.</w:t>
      </w:r>
    </w:p>
    <w:p>
      <w:pPr>
        <w:spacing w:after="80"/>
      </w:pPr>
      <w:r>
        <w:rPr>
          <w:rFonts w:ascii="Aptos" w:hAnsi="Aptos"/>
          <w:sz w:val="18"/>
        </w:rPr>
        <w:t>- Confirm zero saved errors and numerical_equivalence_to_cohort_candidate=true.</w:t>
      </w:r>
    </w:p>
    <w:p>
      <w:pPr>
        <w:spacing w:after="80"/>
      </w:pPr>
      <w:r>
        <w:rPr>
          <w:rFonts w:ascii="Aptos" w:hAnsi="Aptos"/>
          <w:sz w:val="18"/>
        </w:rPr>
        <w:t>- Confirm 519 recordings, 6 positive recordings, 60 event-review items, 23 figure bundles, and 60 standardized event-review PNGs.</w:t>
      </w:r>
    </w:p>
    <w:p>
      <w:pPr>
        <w:spacing w:after="80"/>
      </w:pPr>
      <w:r>
        <w:rPr>
          <w:rFonts w:ascii="Aptos" w:hAnsi="Aptos"/>
          <w:sz w:val="18"/>
        </w:rPr>
        <w:t>- Save the fully executed local finalization notebook.</w:t>
      </w:r>
    </w:p>
    <w:p>
      <w:pPr>
        <w:pStyle w:val="Heading1"/>
        <w:spacing w:before="80" w:after="80"/>
      </w:pPr>
      <w:r>
        <w:t>Atomic freeze order</w:t>
      </w:r>
    </w:p>
    <w:p>
      <w:pPr>
        <w:spacing w:after="80"/>
      </w:pPr>
      <w:r>
        <w:rPr>
          <w:rFonts w:ascii="Aptos" w:hAnsi="Aptos"/>
          <w:sz w:val="18"/>
        </w:rPr>
        <w:t>1. Run freeze_qdist_v400.ps1. 2. Only after it succeeds, run freeze_qdist_figure_package_v100.ps1. Both scripts refuse overwrite.</w:t>
      </w:r>
    </w:p>
    <w:p>
      <w:pPr>
        <w:pStyle w:val="Heading1"/>
        <w:spacing w:before="80" w:after="80"/>
      </w:pPr>
      <w:r>
        <w:t>Paper use</w:t>
      </w:r>
    </w:p>
    <w:p>
      <w:pPr>
        <w:spacing w:after="80"/>
      </w:pPr>
      <w:r>
        <w:rPr>
          <w:rFonts w:ascii="Aptos" w:hAnsi="Aptos"/>
          <w:sz w:val="18"/>
        </w:rPr>
        <w:t>Report QDIST as native-waveform hard-clipping morphology. Use frame fraction and event rate as the primary views; keep sample fraction as secondary. Preserve zero inflation and uncertainty. Do not infer broad nonlinear distortion or causal device failure. State that event verification was AI-assisted and that independent expert signoff is recommended for event-level precision claims.</w:t>
      </w:r>
    </w:p>
    <w:p>
      <w:pPr>
        <w:pStyle w:val="Heading1"/>
        <w:spacing w:before="80" w:after="80"/>
      </w:pPr>
      <w:r>
        <w:t>Final status</w:t>
      </w:r>
    </w:p>
    <w:p>
      <w:pPr>
        <w:spacing w:after="80"/>
      </w:pPr>
      <w:r>
        <w:rPr>
          <w:rFonts w:ascii="Aptos" w:hAnsi="Aptos"/>
          <w:sz w:val="18"/>
        </w:rPr>
        <w:t>Scientifically accepted with explicit qualifications; ready for finalization and atomic freeze.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