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5B7D"/>
          <w:sz w:val="48"/>
        </w:rPr>
        <w:t>QCHAN v4.0.0</w:t>
      </w:r>
    </w:p>
    <w:p>
      <w:pPr>
        <w:jc w:val="center"/>
      </w:pPr>
      <w:r>
        <w:rPr>
          <w:rFonts w:ascii="Aptos Display" w:hAnsi="Aptos Display"/>
          <w:b/>
          <w:color w:val="505050"/>
          <w:sz w:val="30"/>
        </w:rPr>
        <w:t>Channel/device spectral manifestations</w:t>
      </w:r>
    </w:p>
    <w:p>
      <w:pPr>
        <w:jc w:val="center"/>
      </w:pPr>
      <w:r>
        <w:rPr>
          <w:rFonts w:ascii="Aptos" w:hAnsi="Aptos"/>
          <w:i/>
          <w:sz w:val="22"/>
        </w:rPr>
        <w:t>Final scientific evaluation workbook</w:t>
      </w:r>
    </w:p>
    <w:p>
      <w:pPr>
        <w:spacing w:after="140"/>
        <w:jc w:val="center"/>
      </w:pPr>
      <w:r>
        <w:rPr>
          <w:rFonts w:ascii="Aptos" w:hAnsi="Aptos"/>
          <w:b/>
          <w:i w:val="0"/>
          <w:color w:val="226E43"/>
          <w:sz w:val="24"/>
        </w:rPr>
        <w:t>FINAL DECISION: ACCEPTED FOR IMMUTABLE FREEZE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315B7D"/>
          </w:tcPr>
          <w:p>
            <w:r/>
            <w:r>
              <w:rPr>
                <w:rFonts w:ascii="Aptos" w:hAnsi="Aptos"/>
                <w:b/>
                <w:color w:val="FFFFFF"/>
                <w:sz w:val="17"/>
              </w:rPr>
              <w:t>Cohort</w:t>
            </w:r>
          </w:p>
        </w:tc>
        <w:tc>
          <w:tcPr>
            <w:tcW w:type="dxa" w:w="2131"/>
            <w:vAlign w:val="center"/>
            <w:shd w:fill="315B7D"/>
          </w:tcPr>
          <w:p>
            <w:r/>
            <w:r>
              <w:rPr>
                <w:rFonts w:ascii="Aptos" w:hAnsi="Aptos"/>
                <w:b/>
                <w:color w:val="FFFFFF"/>
                <w:sz w:val="17"/>
              </w:rPr>
              <w:t>Target spectra</w:t>
            </w:r>
          </w:p>
        </w:tc>
        <w:tc>
          <w:tcPr>
            <w:tcW w:type="dxa" w:w="2131"/>
            <w:vAlign w:val="center"/>
            <w:shd w:fill="315B7D"/>
          </w:tcPr>
          <w:p>
            <w:r/>
            <w:r>
              <w:rPr>
                <w:rFonts w:ascii="Aptos" w:hAnsi="Aptos"/>
                <w:b/>
                <w:color w:val="FFFFFF"/>
                <w:sz w:val="17"/>
              </w:rPr>
              <w:t>References</w:t>
            </w:r>
          </w:p>
        </w:tc>
        <w:tc>
          <w:tcPr>
            <w:tcW w:type="dxa" w:w="2131"/>
            <w:vAlign w:val="center"/>
            <w:shd w:fill="315B7D"/>
          </w:tcPr>
          <w:p>
            <w:r/>
            <w:r>
              <w:rPr>
                <w:rFonts w:ascii="Aptos" w:hAnsi="Aptos"/>
                <w:b/>
                <w:color w:val="FFFFFF"/>
                <w:sz w:val="17"/>
              </w:rPr>
              <w:t>Applicable bundles</w:t>
            </w:r>
          </w:p>
        </w:tc>
        <w:tc>
          <w:tcPr>
            <w:tcW w:type="dxa" w:w="2131"/>
            <w:vAlign w:val="center"/>
            <w:shd w:fill="315B7D"/>
          </w:tcPr>
          <w:p>
            <w:r/>
            <w:r>
              <w:rPr>
                <w:rFonts w:ascii="Aptos" w:hAnsi="Aptos"/>
                <w:b/>
                <w:color w:val="FFFFFF"/>
                <w:sz w:val="17"/>
              </w:rPr>
              <w:t>Errors</w:t>
            </w:r>
          </w:p>
        </w:tc>
      </w:tr>
      <w:tr>
        <w:tc>
          <w:tcPr>
            <w:tcW w:type="dxa" w:w="2131"/>
            <w:vAlign w:val="center"/>
          </w:tcPr>
          <w:p>
            <w:r/>
            <w:r>
              <w:rPr>
                <w:rFonts w:ascii="Aptos" w:hAnsi="Aptos"/>
                <w:b w:val="0"/>
                <w:sz w:val="17"/>
              </w:rPr>
              <w:t>519 recordings / 224 participants</w:t>
            </w:r>
          </w:p>
        </w:tc>
        <w:tc>
          <w:tcPr>
            <w:tcW w:type="dxa" w:w="2131"/>
            <w:vAlign w:val="center"/>
          </w:tcPr>
          <w:p>
            <w:r/>
            <w:r>
              <w:rPr>
                <w:rFonts w:ascii="Aptos" w:hAnsi="Aptos"/>
                <w:b w:val="0"/>
                <w:sz w:val="17"/>
              </w:rPr>
              <w:t>519</w:t>
            </w:r>
          </w:p>
        </w:tc>
        <w:tc>
          <w:tcPr>
            <w:tcW w:type="dxa" w:w="2131"/>
            <w:vAlign w:val="center"/>
          </w:tcPr>
          <w:p>
            <w:r/>
            <w:r>
              <w:rPr>
                <w:rFonts w:ascii="Aptos" w:hAnsi="Aptos"/>
                <w:b w:val="0"/>
                <w:sz w:val="17"/>
              </w:rPr>
              <w:t>519 LOSO rows / 1 vintage</w:t>
            </w:r>
          </w:p>
        </w:tc>
        <w:tc>
          <w:tcPr>
            <w:tcW w:type="dxa" w:w="2131"/>
            <w:vAlign w:val="center"/>
          </w:tcPr>
          <w:p>
            <w:r/>
            <w:r>
              <w:rPr>
                <w:rFonts w:ascii="Aptos" w:hAnsi="Aptos"/>
                <w:b w:val="0"/>
                <w:sz w:val="17"/>
              </w:rPr>
              <w:t>22 + Panel I N/A</w:t>
            </w:r>
          </w:p>
        </w:tc>
        <w:tc>
          <w:tcPr>
            <w:tcW w:type="dxa" w:w="2131"/>
            <w:vAlign w:val="center"/>
          </w:tcPr>
          <w:p>
            <w:r/>
            <w:r>
              <w:rPr>
                <w:rFonts w:ascii="Aptos" w:hAnsi="Aptos"/>
                <w:b w:val="0"/>
                <w:sz w:val="17"/>
              </w:rPr>
              <w:t>0 across all audited stages</w:t>
            </w:r>
          </w:p>
        </w:tc>
      </w:tr>
    </w:tbl>
    <w:p>
      <w:pPr>
        <w:spacing w:after="120"/>
      </w:pPr>
      <w:r>
        <w:rPr>
          <w:rFonts w:ascii="Aptos" w:hAnsi="Aptos"/>
          <w:b w:val="0"/>
          <w:i w:val="0"/>
          <w:sz w:val="19"/>
        </w:rPr>
        <w:t>QCHAN is a reference-relative spectral-manifestation family. It does not identify a device, recover a transfer function, or establish a technical source. The finalization changes audit summaries and five figure presentations only; the four recording-level values and signed precursors are exactly preserved.</w:t>
      </w:r>
    </w:p>
    <w:p>
      <w:pPr>
        <w:pStyle w:val="Heading1"/>
        <w:spacing w:before="100" w:after="60"/>
      </w:pPr>
      <w:r>
        <w:rPr>
          <w:rFonts w:ascii="Aptos Display" w:hAnsi="Aptos Display"/>
          <w:color w:val="315B7D"/>
        </w:rPr>
        <w:t>1. Final feature decisions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315B7D"/>
          </w:tcPr>
          <w:p>
            <w:r/>
            <w:r>
              <w:rPr>
                <w:rFonts w:ascii="Aptos" w:hAnsi="Aptos"/>
                <w:b/>
                <w:color w:val="FFFFFF"/>
                <w:sz w:val="15"/>
              </w:rPr>
              <w:t>Feature</w:t>
            </w:r>
          </w:p>
        </w:tc>
        <w:tc>
          <w:tcPr>
            <w:tcW w:type="dxa" w:w="1776"/>
            <w:vAlign w:val="center"/>
            <w:shd w:fill="315B7D"/>
          </w:tcPr>
          <w:p>
            <w:r/>
            <w:r>
              <w:rPr>
                <w:rFonts w:ascii="Aptos" w:hAnsi="Aptos"/>
                <w:b/>
                <w:color w:val="FFFFFF"/>
                <w:sz w:val="15"/>
              </w:rPr>
              <w:t>Final role</w:t>
            </w:r>
          </w:p>
        </w:tc>
        <w:tc>
          <w:tcPr>
            <w:tcW w:type="dxa" w:w="1776"/>
            <w:vAlign w:val="center"/>
            <w:shd w:fill="315B7D"/>
          </w:tcPr>
          <w:p>
            <w:r/>
            <w:r>
              <w:rPr>
                <w:rFonts w:ascii="Aptos" w:hAnsi="Aptos"/>
                <w:b/>
                <w:color w:val="FFFFFF"/>
                <w:sz w:val="15"/>
              </w:rPr>
              <w:t>Default</w:t>
            </w:r>
          </w:p>
        </w:tc>
        <w:tc>
          <w:tcPr>
            <w:tcW w:type="dxa" w:w="1776"/>
            <w:vAlign w:val="center"/>
            <w:shd w:fill="315B7D"/>
          </w:tcPr>
          <w:p>
            <w:r/>
            <w:r>
              <w:rPr>
                <w:rFonts w:ascii="Aptos" w:hAnsi="Aptos"/>
                <w:b/>
                <w:color w:val="FFFFFF"/>
                <w:sz w:val="15"/>
              </w:rPr>
              <w:t>Available</w:t>
            </w:r>
          </w:p>
        </w:tc>
        <w:tc>
          <w:tcPr>
            <w:tcW w:type="dxa" w:w="1776"/>
            <w:vAlign w:val="center"/>
            <w:shd w:fill="315B7D"/>
          </w:tcPr>
          <w:p>
            <w:r/>
            <w:r>
              <w:rPr>
                <w:rFonts w:ascii="Aptos" w:hAnsi="Aptos"/>
                <w:b/>
                <w:color w:val="FFFFFF"/>
                <w:sz w:val="15"/>
              </w:rPr>
              <w:t>Median (IQR)</w:t>
            </w:r>
          </w:p>
        </w:tc>
        <w:tc>
          <w:tcPr>
            <w:tcW w:type="dxa" w:w="1776"/>
            <w:vAlign w:val="center"/>
            <w:shd w:fill="315B7D"/>
          </w:tcPr>
          <w:p>
            <w:r/>
            <w:r>
              <w:rPr>
                <w:rFonts w:ascii="Aptos" w:hAnsi="Aptos"/>
                <w:b/>
                <w:color w:val="FFFFFF"/>
                <w:sz w:val="15"/>
              </w:rPr>
              <w:t>Repeatability</w:t>
            </w:r>
          </w:p>
        </w:tc>
      </w:tr>
      <w:tr>
        <w:tc>
          <w:tcPr>
            <w:tcW w:type="dxa" w:w="1776"/>
            <w:vAlign w:val="center"/>
          </w:tcPr>
          <w:p>
            <w:r/>
            <w:r>
              <w:rPr>
                <w:rFonts w:ascii="Aptos" w:hAnsi="Aptos"/>
                <w:b w:val="0"/>
                <w:sz w:val="15"/>
              </w:rPr>
              <w:t>Reference-relative LTAS distance</w:t>
            </w:r>
          </w:p>
        </w:tc>
        <w:tc>
          <w:tcPr>
            <w:tcW w:type="dxa" w:w="1776"/>
            <w:vAlign w:val="center"/>
          </w:tcPr>
          <w:p>
            <w:r/>
            <w:r>
              <w:rPr>
                <w:rFonts w:ascii="Aptos" w:hAnsi="Aptos"/>
                <w:b w:val="0"/>
                <w:sz w:val="15"/>
              </w:rPr>
              <w:t>RETAIN_PRIMARY_NONORDINAL</w:t>
            </w:r>
          </w:p>
        </w:tc>
        <w:tc>
          <w:tcPr>
            <w:tcW w:type="dxa" w:w="1776"/>
            <w:vAlign w:val="center"/>
          </w:tcPr>
          <w:p>
            <w:r/>
            <w:r>
              <w:rPr>
                <w:rFonts w:ascii="Aptos" w:hAnsi="Aptos"/>
                <w:b w:val="0"/>
                <w:sz w:val="15"/>
              </w:rPr>
              <w:t>Yes</w:t>
            </w:r>
          </w:p>
        </w:tc>
        <w:tc>
          <w:tcPr>
            <w:tcW w:type="dxa" w:w="1776"/>
            <w:vAlign w:val="center"/>
          </w:tcPr>
          <w:p>
            <w:r/>
            <w:r>
              <w:rPr>
                <w:rFonts w:ascii="Aptos" w:hAnsi="Aptos"/>
                <w:b w:val="0"/>
                <w:sz w:val="15"/>
              </w:rPr>
              <w:t>519/519</w:t>
            </w:r>
          </w:p>
        </w:tc>
        <w:tc>
          <w:tcPr>
            <w:tcW w:type="dxa" w:w="1776"/>
            <w:vAlign w:val="center"/>
          </w:tcPr>
          <w:p>
            <w:r/>
            <w:r>
              <w:rPr>
                <w:rFonts w:ascii="Aptos" w:hAnsi="Aptos"/>
                <w:b w:val="0"/>
                <w:sz w:val="15"/>
              </w:rPr>
              <w:t>5.241 (4.147–6.766) dB RMS</w:t>
            </w:r>
          </w:p>
        </w:tc>
        <w:tc>
          <w:tcPr>
            <w:tcW w:type="dxa" w:w="1776"/>
            <w:vAlign w:val="center"/>
          </w:tcPr>
          <w:p>
            <w:r/>
            <w:r>
              <w:rPr>
                <w:rFonts w:ascii="Aptos" w:hAnsi="Aptos"/>
                <w:b w:val="0"/>
                <w:sz w:val="15"/>
              </w:rPr>
              <w:t>ρ=0.751</w:t>
              <w:br/>
              <w:t>95% CI 0.663–0.817</w:t>
            </w:r>
          </w:p>
        </w:tc>
      </w:tr>
      <w:tr>
        <w:tc>
          <w:tcPr>
            <w:tcW w:type="dxa" w:w="1776"/>
            <w:vAlign w:val="center"/>
            <w:shd w:fill="EAF0F5"/>
          </w:tcPr>
          <w:p>
            <w:r/>
            <w:r>
              <w:rPr>
                <w:rFonts w:ascii="Aptos" w:hAnsi="Aptos"/>
                <w:b w:val="0"/>
                <w:sz w:val="15"/>
              </w:rPr>
              <w:t>Reference-relative rolloff-95 deficit</w:t>
            </w:r>
          </w:p>
        </w:tc>
        <w:tc>
          <w:tcPr>
            <w:tcW w:type="dxa" w:w="1776"/>
            <w:vAlign w:val="center"/>
            <w:shd w:fill="EAF0F5"/>
          </w:tcPr>
          <w:p>
            <w:r/>
            <w:r>
              <w:rPr>
                <w:rFonts w:ascii="Aptos" w:hAnsi="Aptos"/>
                <w:b w:val="0"/>
                <w:sz w:val="15"/>
              </w:rPr>
              <w:t>RETAIN_PRIMARY_ONE_SIDED</w:t>
            </w:r>
          </w:p>
        </w:tc>
        <w:tc>
          <w:tcPr>
            <w:tcW w:type="dxa" w:w="1776"/>
            <w:vAlign w:val="center"/>
            <w:shd w:fill="EAF0F5"/>
          </w:tcPr>
          <w:p>
            <w:r/>
            <w:r>
              <w:rPr>
                <w:rFonts w:ascii="Aptos" w:hAnsi="Aptos"/>
                <w:b w:val="0"/>
                <w:sz w:val="15"/>
              </w:rPr>
              <w:t>Yes</w:t>
            </w:r>
          </w:p>
        </w:tc>
        <w:tc>
          <w:tcPr>
            <w:tcW w:type="dxa" w:w="1776"/>
            <w:vAlign w:val="center"/>
            <w:shd w:fill="EAF0F5"/>
          </w:tcPr>
          <w:p>
            <w:r/>
            <w:r>
              <w:rPr>
                <w:rFonts w:ascii="Aptos" w:hAnsi="Aptos"/>
                <w:b w:val="0"/>
                <w:sz w:val="15"/>
              </w:rPr>
              <w:t>519/519</w:t>
            </w:r>
          </w:p>
        </w:tc>
        <w:tc>
          <w:tcPr>
            <w:tcW w:type="dxa" w:w="1776"/>
            <w:vAlign w:val="center"/>
            <w:shd w:fill="EAF0F5"/>
          </w:tcPr>
          <w:p>
            <w:r/>
            <w:r>
              <w:rPr>
                <w:rFonts w:ascii="Aptos" w:hAnsi="Aptos"/>
                <w:b w:val="0"/>
                <w:sz w:val="15"/>
              </w:rPr>
              <w:t>0 (0–560.3) Hz</w:t>
            </w:r>
          </w:p>
        </w:tc>
        <w:tc>
          <w:tcPr>
            <w:tcW w:type="dxa" w:w="1776"/>
            <w:vAlign w:val="center"/>
            <w:shd w:fill="EAF0F5"/>
          </w:tcPr>
          <w:p>
            <w:r/>
            <w:r>
              <w:rPr>
                <w:rFonts w:ascii="Aptos" w:hAnsi="Aptos"/>
                <w:b w:val="0"/>
                <w:sz w:val="15"/>
              </w:rPr>
              <w:t>ρ=0.740</w:t>
              <w:br/>
              <w:t>95% CI 0.641–0.825</w:t>
            </w:r>
          </w:p>
        </w:tc>
      </w:tr>
      <w:tr>
        <w:tc>
          <w:tcPr>
            <w:tcW w:type="dxa" w:w="1776"/>
            <w:vAlign w:val="center"/>
          </w:tcPr>
          <w:p>
            <w:r/>
            <w:r>
              <w:rPr>
                <w:rFonts w:ascii="Aptos" w:hAnsi="Aptos"/>
                <w:b w:val="0"/>
                <w:sz w:val="15"/>
              </w:rPr>
              <w:t>Reference-relative high-band ratio deficit</w:t>
            </w:r>
          </w:p>
        </w:tc>
        <w:tc>
          <w:tcPr>
            <w:tcW w:type="dxa" w:w="1776"/>
            <w:vAlign w:val="center"/>
          </w:tcPr>
          <w:p>
            <w:r/>
            <w:r>
              <w:rPr>
                <w:rFonts w:ascii="Aptos" w:hAnsi="Aptos"/>
                <w:b w:val="0"/>
                <w:sz w:val="15"/>
              </w:rPr>
              <w:t>RETAIN_SECONDARY_NONINDEPENDENT</w:t>
            </w:r>
          </w:p>
        </w:tc>
        <w:tc>
          <w:tcPr>
            <w:tcW w:type="dxa" w:w="1776"/>
            <w:vAlign w:val="center"/>
          </w:tcPr>
          <w:p>
            <w:r/>
            <w:r>
              <w:rPr>
                <w:rFonts w:ascii="Aptos" w:hAnsi="Aptos"/>
                <w:b w:val="0"/>
                <w:sz w:val="15"/>
              </w:rPr>
              <w:t>Yes</w:t>
            </w:r>
          </w:p>
        </w:tc>
        <w:tc>
          <w:tcPr>
            <w:tcW w:type="dxa" w:w="1776"/>
            <w:vAlign w:val="center"/>
          </w:tcPr>
          <w:p>
            <w:r/>
            <w:r>
              <w:rPr>
                <w:rFonts w:ascii="Aptos" w:hAnsi="Aptos"/>
                <w:b w:val="0"/>
                <w:sz w:val="15"/>
              </w:rPr>
              <w:t>519/519</w:t>
            </w:r>
          </w:p>
        </w:tc>
        <w:tc>
          <w:tcPr>
            <w:tcW w:type="dxa" w:w="1776"/>
            <w:vAlign w:val="center"/>
          </w:tcPr>
          <w:p>
            <w:r/>
            <w:r>
              <w:rPr>
                <w:rFonts w:ascii="Aptos" w:hAnsi="Aptos"/>
                <w:b w:val="0"/>
                <w:sz w:val="15"/>
              </w:rPr>
              <w:t>0.0005605 (0–0.006878) proportion</w:t>
            </w:r>
          </w:p>
        </w:tc>
        <w:tc>
          <w:tcPr>
            <w:tcW w:type="dxa" w:w="1776"/>
            <w:vAlign w:val="center"/>
          </w:tcPr>
          <w:p>
            <w:r/>
            <w:r>
              <w:rPr>
                <w:rFonts w:ascii="Aptos" w:hAnsi="Aptos"/>
                <w:b w:val="0"/>
                <w:sz w:val="15"/>
              </w:rPr>
              <w:t>ρ=0.652</w:t>
              <w:br/>
              <w:t>95% CI 0.531–0.756</w:t>
            </w:r>
          </w:p>
        </w:tc>
      </w:tr>
      <w:tr>
        <w:tc>
          <w:tcPr>
            <w:tcW w:type="dxa" w:w="1776"/>
            <w:vAlign w:val="center"/>
            <w:shd w:fill="EAF0F5"/>
          </w:tcPr>
          <w:p>
            <w:r/>
            <w:r>
              <w:rPr>
                <w:rFonts w:ascii="Aptos" w:hAnsi="Aptos"/>
                <w:b w:val="0"/>
                <w:sz w:val="15"/>
              </w:rPr>
              <w:t>Reference-relative spectral-tilt steepening</w:t>
            </w:r>
          </w:p>
        </w:tc>
        <w:tc>
          <w:tcPr>
            <w:tcW w:type="dxa" w:w="1776"/>
            <w:vAlign w:val="center"/>
            <w:shd w:fill="EAF0F5"/>
          </w:tcPr>
          <w:p>
            <w:r/>
            <w:r>
              <w:rPr>
                <w:rFonts w:ascii="Aptos" w:hAnsi="Aptos"/>
                <w:b w:val="0"/>
                <w:sz w:val="15"/>
              </w:rPr>
              <w:t>RETAIN_EXPLORATORY_PHENOTYPE_SENSITIVE</w:t>
            </w:r>
          </w:p>
        </w:tc>
        <w:tc>
          <w:tcPr>
            <w:tcW w:type="dxa" w:w="1776"/>
            <w:vAlign w:val="center"/>
            <w:shd w:fill="EAF0F5"/>
          </w:tcPr>
          <w:p>
            <w:r/>
            <w:r>
              <w:rPr>
                <w:rFonts w:ascii="Aptos" w:hAnsi="Aptos"/>
                <w:b w:val="0"/>
                <w:sz w:val="15"/>
              </w:rPr>
              <w:t>No</w:t>
            </w:r>
          </w:p>
        </w:tc>
        <w:tc>
          <w:tcPr>
            <w:tcW w:type="dxa" w:w="1776"/>
            <w:vAlign w:val="center"/>
            <w:shd w:fill="EAF0F5"/>
          </w:tcPr>
          <w:p>
            <w:r/>
            <w:r>
              <w:rPr>
                <w:rFonts w:ascii="Aptos" w:hAnsi="Aptos"/>
                <w:b w:val="0"/>
                <w:sz w:val="15"/>
              </w:rPr>
              <w:t>519/519</w:t>
            </w:r>
          </w:p>
        </w:tc>
        <w:tc>
          <w:tcPr>
            <w:tcW w:type="dxa" w:w="1776"/>
            <w:vAlign w:val="center"/>
            <w:shd w:fill="EAF0F5"/>
          </w:tcPr>
          <w:p>
            <w:r/>
            <w:r>
              <w:rPr>
                <w:rFonts w:ascii="Aptos" w:hAnsi="Aptos"/>
                <w:b w:val="0"/>
                <w:sz w:val="15"/>
              </w:rPr>
              <w:t>0.07458 (0–1.483) dB/octave</w:t>
            </w:r>
          </w:p>
        </w:tc>
        <w:tc>
          <w:tcPr>
            <w:tcW w:type="dxa" w:w="1776"/>
            <w:vAlign w:val="center"/>
            <w:shd w:fill="EAF0F5"/>
          </w:tcPr>
          <w:p>
            <w:r/>
            <w:r>
              <w:rPr>
                <w:rFonts w:ascii="Aptos" w:hAnsi="Aptos"/>
                <w:b w:val="0"/>
                <w:sz w:val="15"/>
              </w:rPr>
              <w:t>ρ=0.774</w:t>
              <w:br/>
              <w:t>95% CI 0.681–0.848</w:t>
            </w:r>
          </w:p>
        </w:tc>
      </w:tr>
    </w:tbl>
    <w:p>
      <w:pPr>
        <w:pStyle w:val="Heading1"/>
        <w:spacing w:before="100" w:after="60"/>
      </w:pPr>
      <w:r>
        <w:rPr>
          <w:rFonts w:ascii="Aptos Display" w:hAnsi="Aptos Display"/>
          <w:color w:val="315B7D"/>
        </w:rPr>
        <w:t>2. Construct and interpretation</w:t>
      </w:r>
    </w:p>
    <w:p>
      <w:pPr>
        <w:spacing w:after="60"/>
      </w:pPr>
      <w:r>
        <w:rPr>
          <w:rFonts w:ascii="Aptos" w:hAnsi="Aptos"/>
          <w:b/>
          <w:i w:val="0"/>
          <w:sz w:val="19"/>
        </w:rPr>
        <w:t>Measurement question. How does the guarded strict-speech spectrum differ from a frozen task-matched, subject-balanced leave-one-subject-out reference, and which parts of that difference are compatible with reduced upper-frequency support or broader coloration?</w:t>
      </w:r>
    </w:p>
    <w:p>
      <w:pPr>
        <w:spacing w:after="60"/>
      </w:pPr>
      <w:r>
        <w:rPr>
          <w:rFonts w:ascii="Aptos" w:hAnsi="Aptos"/>
          <w:b w:val="0"/>
          <w:i w:val="0"/>
          <w:sz w:val="19"/>
        </w:rPr>
        <w:t>Authorized interpretation. QCHAN quantifies observable cohort-relative spectral manifestations. It may reflect microphone, device, platform, codec, source bandwidth, noise, speaker physiology, phonetic content, articulation, dysarthria, or combinations of these. Physical source identity is not recoverable from the waveform alone.</w:t>
      </w:r>
    </w:p>
    <w:p>
      <w:pPr>
        <w:spacing w:after="60"/>
      </w:pPr>
      <w:r>
        <w:rPr>
          <w:rFonts w:ascii="Aptos" w:hAnsi="Aptos"/>
          <w:b w:val="0"/>
          <w:i w:val="0"/>
          <w:sz w:val="19"/>
        </w:rPr>
        <w:t>Prohibited interpretation. No feature is a device label, codec classifier, transfer-function estimate, diagnostic biomarker, universal quality severity score, or standalone rejection threshold.</w:t>
      </w:r>
    </w:p>
    <w:p>
      <w:pPr>
        <w:pStyle w:val="Heading1"/>
        <w:spacing w:before="100" w:after="60"/>
      </w:pPr>
      <w:r>
        <w:rPr>
          <w:rFonts w:ascii="Aptos Display" w:hAnsi="Aptos Display"/>
          <w:color w:val="315B7D"/>
        </w:rPr>
        <w:t>3. Target and reference contract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315B7D"/>
          </w:tcPr>
          <w:p>
            <w:r/>
            <w:r>
              <w:rPr>
                <w:rFonts w:ascii="Aptos" w:hAnsi="Aptos"/>
                <w:b/>
                <w:color w:val="FFFFFF"/>
                <w:sz w:val="15"/>
              </w:rPr>
              <w:t>Element</w:t>
            </w:r>
          </w:p>
        </w:tc>
        <w:tc>
          <w:tcPr>
            <w:tcW w:type="dxa" w:w="3552"/>
            <w:vAlign w:val="center"/>
            <w:shd w:fill="315B7D"/>
          </w:tcPr>
          <w:p>
            <w:r/>
            <w:r>
              <w:rPr>
                <w:rFonts w:ascii="Aptos" w:hAnsi="Aptos"/>
                <w:b/>
                <w:color w:val="FFFFFF"/>
                <w:sz w:val="15"/>
              </w:rPr>
              <w:t>Final contract</w:t>
            </w:r>
          </w:p>
        </w:tc>
        <w:tc>
          <w:tcPr>
            <w:tcW w:type="dxa" w:w="3552"/>
            <w:vAlign w:val="center"/>
            <w:shd w:fill="315B7D"/>
          </w:tcPr>
          <w:p>
            <w:r/>
            <w:r>
              <w:rPr>
                <w:rFonts w:ascii="Aptos" w:hAnsi="Aptos"/>
                <w:b/>
                <w:color w:val="FFFFFF"/>
                <w:sz w:val="15"/>
              </w:rPr>
              <w:t>Cohort result</w:t>
            </w:r>
          </w:p>
        </w:tc>
      </w:tr>
      <w:tr>
        <w:tc>
          <w:tcPr>
            <w:tcW w:type="dxa" w:w="3552"/>
            <w:vAlign w:val="center"/>
          </w:tcPr>
          <w:p>
            <w:r/>
            <w:r>
              <w:rPr>
                <w:rFonts w:ascii="Aptos" w:hAnsi="Aptos"/>
                <w:b w:val="0"/>
                <w:sz w:val="15"/>
              </w:rPr>
              <w:t>Analysis waveform</w:t>
            </w:r>
          </w:p>
        </w:tc>
        <w:tc>
          <w:tcPr>
            <w:tcW w:type="dxa" w:w="3552"/>
            <w:vAlign w:val="center"/>
          </w:tcPr>
          <w:p>
            <w:r/>
            <w:r>
              <w:rPr>
                <w:rFonts w:ascii="Aptos" w:hAnsi="Aptos"/>
                <w:b w:val="0"/>
                <w:sz w:val="15"/>
              </w:rPr>
              <w:t>Mono, globally DC-removed, 16 kHz; no amplitude normalization/equalization</w:t>
            </w:r>
          </w:p>
        </w:tc>
        <w:tc>
          <w:tcPr>
            <w:tcW w:type="dxa" w:w="3552"/>
            <w:vAlign w:val="center"/>
          </w:tcPr>
          <w:p>
            <w:r/>
            <w:r>
              <w:rPr>
                <w:rFonts w:ascii="Aptos" w:hAnsi="Aptos"/>
                <w:b w:val="0"/>
                <w:sz w:val="15"/>
              </w:rPr>
              <w:t>Verified for 519 recordings</w:t>
            </w:r>
          </w:p>
        </w:tc>
      </w:tr>
      <w:tr>
        <w:tc>
          <w:tcPr>
            <w:tcW w:type="dxa" w:w="3552"/>
            <w:vAlign w:val="center"/>
            <w:shd w:fill="EAF0F5"/>
          </w:tcPr>
          <w:p>
            <w:r/>
            <w:r>
              <w:rPr>
                <w:rFonts w:ascii="Aptos" w:hAnsi="Aptos"/>
                <w:b w:val="0"/>
                <w:sz w:val="15"/>
              </w:rPr>
              <w:t>Target support</w:t>
            </w:r>
          </w:p>
        </w:tc>
        <w:tc>
          <w:tcPr>
            <w:tcW w:type="dxa" w:w="3552"/>
            <w:vAlign w:val="center"/>
            <w:shd w:fill="EAF0F5"/>
          </w:tcPr>
          <w:p>
            <w:r/>
            <w:r>
              <w:rPr>
                <w:rFonts w:ascii="Aptos" w:hAnsi="Aptos"/>
                <w:b w:val="0"/>
                <w:sz w:val="15"/>
              </w:rPr>
              <w:t>≥3 s guarded strict speech and ≥100 valid frames</w:t>
            </w:r>
          </w:p>
        </w:tc>
        <w:tc>
          <w:tcPr>
            <w:tcW w:type="dxa" w:w="3552"/>
            <w:vAlign w:val="center"/>
            <w:shd w:fill="EAF0F5"/>
          </w:tcPr>
          <w:p>
            <w:r/>
            <w:r>
              <w:rPr>
                <w:rFonts w:ascii="Aptos" w:hAnsi="Aptos"/>
                <w:b w:val="0"/>
                <w:sz w:val="15"/>
              </w:rPr>
              <w:t>518 high support; 1 moderate; 0 unavailable</w:t>
            </w:r>
          </w:p>
        </w:tc>
      </w:tr>
      <w:tr>
        <w:tc>
          <w:tcPr>
            <w:tcW w:type="dxa" w:w="3552"/>
            <w:vAlign w:val="center"/>
          </w:tcPr>
          <w:p>
            <w:r/>
            <w:r>
              <w:rPr>
                <w:rFonts w:ascii="Aptos" w:hAnsi="Aptos"/>
                <w:b w:val="0"/>
                <w:sz w:val="15"/>
              </w:rPr>
              <w:t>Reference</w:t>
            </w:r>
          </w:p>
        </w:tc>
        <w:tc>
          <w:tcPr>
            <w:tcW w:type="dxa" w:w="3552"/>
            <w:vAlign w:val="center"/>
          </w:tcPr>
          <w:p>
            <w:r/>
            <w:r>
              <w:rPr>
                <w:rFonts w:ascii="Aptos" w:hAnsi="Aptos"/>
                <w:b w:val="0"/>
                <w:sz w:val="15"/>
              </w:rPr>
              <w:t>Task matched, subject balanced, LOSO; no fallback</w:t>
            </w:r>
          </w:p>
        </w:tc>
        <w:tc>
          <w:tcPr>
            <w:tcW w:type="dxa" w:w="3552"/>
            <w:vAlign w:val="center"/>
          </w:tcPr>
          <w:p>
            <w:r/>
            <w:r>
              <w:rPr>
                <w:rFonts w:ascii="Aptos" w:hAnsi="Aptos"/>
                <w:b w:val="0"/>
                <w:sz w:val="15"/>
              </w:rPr>
              <w:t>223 other participants; 514–518 recordings per target</w:t>
            </w:r>
          </w:p>
        </w:tc>
      </w:tr>
      <w:tr>
        <w:tc>
          <w:tcPr>
            <w:tcW w:type="dxa" w:w="3552"/>
            <w:vAlign w:val="center"/>
            <w:shd w:fill="EAF0F5"/>
          </w:tcPr>
          <w:p>
            <w:r/>
            <w:r>
              <w:rPr>
                <w:rFonts w:ascii="Aptos" w:hAnsi="Aptos"/>
                <w:b w:val="0"/>
                <w:sz w:val="15"/>
              </w:rPr>
              <w:t>Reference vintage</w:t>
            </w:r>
          </w:p>
        </w:tc>
        <w:tc>
          <w:tcPr>
            <w:tcW w:type="dxa" w:w="3552"/>
            <w:vAlign w:val="center"/>
            <w:shd w:fill="EAF0F5"/>
          </w:tcPr>
          <w:p>
            <w:r/>
            <w:r>
              <w:rPr>
                <w:rFonts w:ascii="Aptos" w:hAnsi="Aptos"/>
                <w:b w:val="0"/>
                <w:sz w:val="15"/>
              </w:rPr>
              <w:t>Membership + parameters + grid + task are feature identity</w:t>
            </w:r>
          </w:p>
        </w:tc>
        <w:tc>
          <w:tcPr>
            <w:tcW w:type="dxa" w:w="3552"/>
            <w:vAlign w:val="center"/>
            <w:shd w:fill="EAF0F5"/>
          </w:tcPr>
          <w:p>
            <w:r/>
            <w:r>
              <w:rPr>
                <w:rFonts w:ascii="Aptos" w:hAnsi="Aptos"/>
                <w:b w:val="0"/>
                <w:sz w:val="15"/>
              </w:rPr>
              <w:t>1 vintage: 74c0b334…acd622e</w:t>
            </w:r>
          </w:p>
        </w:tc>
      </w:tr>
      <w:tr>
        <w:tc>
          <w:tcPr>
            <w:tcW w:type="dxa" w:w="3552"/>
            <w:vAlign w:val="center"/>
          </w:tcPr>
          <w:p>
            <w:r/>
            <w:r>
              <w:rPr>
                <w:rFonts w:ascii="Aptos" w:hAnsi="Aptos"/>
                <w:b w:val="0"/>
                <w:sz w:val="15"/>
              </w:rPr>
              <w:t>Native rate</w:t>
            </w:r>
          </w:p>
        </w:tc>
        <w:tc>
          <w:tcPr>
            <w:tcW w:type="dxa" w:w="3552"/>
            <w:vAlign w:val="center"/>
          </w:tcPr>
          <w:p>
            <w:r/>
            <w:r>
              <w:rPr>
                <w:rFonts w:ascii="Aptos" w:hAnsi="Aptos"/>
                <w:b w:val="0"/>
                <w:sz w:val="15"/>
              </w:rPr>
              <w:t>Retain source rate and Nyquist</w:t>
            </w:r>
          </w:p>
        </w:tc>
        <w:tc>
          <w:tcPr>
            <w:tcW w:type="dxa" w:w="3552"/>
            <w:vAlign w:val="center"/>
          </w:tcPr>
          <w:p>
            <w:r/>
            <w:r>
              <w:rPr>
                <w:rFonts w:ascii="Aptos" w:hAnsi="Aptos"/>
                <w:b w:val="0"/>
                <w:sz w:val="15"/>
              </w:rPr>
              <w:t>215 at 44.1 kHz; 304 at 48 kHz; 0 bandwidth-limited</w:t>
            </w:r>
          </w:p>
        </w:tc>
      </w:tr>
      <w:tr>
        <w:tc>
          <w:tcPr>
            <w:tcW w:type="dxa" w:w="3552"/>
            <w:vAlign w:val="center"/>
            <w:shd w:fill="EAF0F5"/>
          </w:tcPr>
          <w:p>
            <w:r/>
            <w:r>
              <w:rPr>
                <w:rFonts w:ascii="Aptos" w:hAnsi="Aptos"/>
                <w:b w:val="0"/>
                <w:sz w:val="15"/>
              </w:rPr>
              <w:t>Missingness</w:t>
            </w:r>
          </w:p>
        </w:tc>
        <w:tc>
          <w:tcPr>
            <w:tcW w:type="dxa" w:w="3552"/>
            <w:vAlign w:val="center"/>
            <w:shd w:fill="EAF0F5"/>
          </w:tcPr>
          <w:p>
            <w:r/>
            <w:r>
              <w:rPr>
                <w:rFonts w:ascii="Aptos" w:hAnsi="Aptos"/>
                <w:b w:val="0"/>
                <w:sz w:val="15"/>
              </w:rPr>
              <w:t>NaN plus explicit status; never zero-impute</w:t>
            </w:r>
          </w:p>
        </w:tc>
        <w:tc>
          <w:tcPr>
            <w:tcW w:type="dxa" w:w="3552"/>
            <w:vAlign w:val="center"/>
            <w:shd w:fill="EAF0F5"/>
          </w:tcPr>
          <w:p>
            <w:r/>
            <w:r>
              <w:rPr>
                <w:rFonts w:ascii="Aptos" w:hAnsi="Aptos"/>
                <w:b w:val="0"/>
                <w:sz w:val="15"/>
              </w:rPr>
              <w:t>All four values available in 519/519</w:t>
            </w:r>
          </w:p>
        </w:tc>
      </w:tr>
    </w:tbl>
    <w:p>
      <w:pPr>
        <w:pStyle w:val="Heading1"/>
        <w:spacing w:before="100" w:after="60"/>
      </w:pPr>
      <w:r>
        <w:rPr>
          <w:rFonts w:ascii="Aptos Display" w:hAnsi="Aptos Display"/>
          <w:color w:val="315B7D"/>
        </w:rPr>
        <w:t>4. G1–G10 final gate outcome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315B7D"/>
          </w:tcPr>
          <w:p>
            <w:r/>
            <w:r>
              <w:rPr>
                <w:rFonts w:ascii="Aptos" w:hAnsi="Aptos"/>
                <w:b/>
                <w:color w:val="FFFFFF"/>
                <w:sz w:val="14"/>
              </w:rPr>
              <w:t>Gate</w:t>
            </w:r>
          </w:p>
        </w:tc>
        <w:tc>
          <w:tcPr>
            <w:tcW w:type="dxa" w:w="3552"/>
            <w:vAlign w:val="center"/>
            <w:shd w:fill="315B7D"/>
          </w:tcPr>
          <w:p>
            <w:r/>
            <w:r>
              <w:rPr>
                <w:rFonts w:ascii="Aptos" w:hAnsi="Aptos"/>
                <w:b/>
                <w:color w:val="FFFFFF"/>
                <w:sz w:val="14"/>
              </w:rPr>
              <w:t>Status</w:t>
            </w:r>
          </w:p>
        </w:tc>
        <w:tc>
          <w:tcPr>
            <w:tcW w:type="dxa" w:w="3552"/>
            <w:vAlign w:val="center"/>
            <w:shd w:fill="315B7D"/>
          </w:tcPr>
          <w:p>
            <w:r/>
            <w:r>
              <w:rPr>
                <w:rFonts w:ascii="Aptos" w:hAnsi="Aptos"/>
                <w:b/>
                <w:color w:val="FFFFFF"/>
                <w:sz w:val="14"/>
              </w:rPr>
              <w:t>Scientific conclusion</w:t>
            </w:r>
          </w:p>
        </w:tc>
      </w:tr>
      <w:tr>
        <w:tc>
          <w:tcPr>
            <w:tcW w:type="dxa" w:w="3552"/>
            <w:vAlign w:val="center"/>
          </w:tcPr>
          <w:p>
            <w:r/>
            <w:r>
              <w:rPr>
                <w:rFonts w:ascii="Aptos" w:hAnsi="Aptos"/>
                <w:b w:val="0"/>
                <w:sz w:val="14"/>
              </w:rPr>
              <w:t>G1</w:t>
            </w:r>
          </w:p>
        </w:tc>
        <w:tc>
          <w:tcPr>
            <w:tcW w:type="dxa" w:w="3552"/>
            <w:vAlign w:val="center"/>
          </w:tcPr>
          <w:p>
            <w:r/>
            <w:r>
              <w:rPr>
                <w:rFonts w:ascii="Aptos" w:hAnsi="Aptos"/>
                <w:b w:val="0"/>
                <w:sz w:val="14"/>
              </w:rPr>
              <w:t>PASS</w:t>
            </w:r>
          </w:p>
        </w:tc>
        <w:tc>
          <w:tcPr>
            <w:tcW w:type="dxa" w:w="3552"/>
            <w:vAlign w:val="center"/>
          </w:tcPr>
          <w:p>
            <w:r/>
            <w:r>
              <w:rPr>
                <w:rFonts w:ascii="Aptos" w:hAnsi="Aptos"/>
                <w:b w:val="0"/>
                <w:sz w:val="14"/>
              </w:rPr>
              <w:t>construct, prohibited claims, four-feature registry, canonical waveform, reference identity and no scalar</w:t>
            </w:r>
          </w:p>
        </w:tc>
      </w:tr>
      <w:tr>
        <w:tc>
          <w:tcPr>
            <w:tcW w:type="dxa" w:w="3552"/>
            <w:vAlign w:val="center"/>
            <w:shd w:fill="EAF0F5"/>
          </w:tcPr>
          <w:p>
            <w:r/>
            <w:r>
              <w:rPr>
                <w:rFonts w:ascii="Aptos" w:hAnsi="Aptos"/>
                <w:b w:val="0"/>
                <w:sz w:val="14"/>
              </w:rPr>
              <w:t>G2</w:t>
            </w:r>
          </w:p>
        </w:tc>
        <w:tc>
          <w:tcPr>
            <w:tcW w:type="dxa" w:w="3552"/>
            <w:vAlign w:val="center"/>
            <w:shd w:fill="EAF0F5"/>
          </w:tcPr>
          <w:p>
            <w:r/>
            <w:r>
              <w:rPr>
                <w:rFonts w:ascii="Aptos" w:hAnsi="Aptos"/>
                <w:b w:val="0"/>
                <w:sz w:val="14"/>
              </w:rPr>
              <w:t>PASS</w:t>
            </w:r>
          </w:p>
        </w:tc>
        <w:tc>
          <w:tcPr>
            <w:tcW w:type="dxa" w:w="3552"/>
            <w:vAlign w:val="center"/>
            <w:shd w:fill="EAF0F5"/>
          </w:tcPr>
          <w:p>
            <w:r/>
            <w:r>
              <w:rPr>
                <w:rFonts w:ascii="Aptos" w:hAnsi="Aptos"/>
                <w:b w:val="0"/>
                <w:sz w:val="14"/>
              </w:rPr>
              <w:t>formula tests, exact self-reference zeros, signed precursors, missing-not-zero and 519-recording reconstruction</w:t>
            </w:r>
          </w:p>
        </w:tc>
      </w:tr>
      <w:tr>
        <w:tc>
          <w:tcPr>
            <w:tcW w:type="dxa" w:w="3552"/>
            <w:vAlign w:val="center"/>
          </w:tcPr>
          <w:p>
            <w:r/>
            <w:r>
              <w:rPr>
                <w:rFonts w:ascii="Aptos" w:hAnsi="Aptos"/>
                <w:b w:val="0"/>
                <w:sz w:val="14"/>
              </w:rPr>
              <w:t>G3</w:t>
            </w:r>
          </w:p>
        </w:tc>
        <w:tc>
          <w:tcPr>
            <w:tcW w:type="dxa" w:w="3552"/>
            <w:vAlign w:val="center"/>
          </w:tcPr>
          <w:p>
            <w:r/>
            <w:r>
              <w:rPr>
                <w:rFonts w:ascii="Aptos" w:hAnsi="Aptos"/>
                <w:b w:val="0"/>
                <w:sz w:val="14"/>
              </w:rPr>
              <w:t>PASS</w:t>
            </w:r>
          </w:p>
        </w:tc>
        <w:tc>
          <w:tcPr>
            <w:tcW w:type="dxa" w:w="3552"/>
            <w:vAlign w:val="center"/>
          </w:tcPr>
          <w:p>
            <w:r/>
            <w:r>
              <w:rPr>
                <w:rFonts w:ascii="Aptos" w:hAnsi="Aptos"/>
                <w:b w:val="0"/>
                <w:sz w:val="14"/>
              </w:rPr>
              <w:t>gain, polarity, DC, time shift, source-rate and codec characterization</w:t>
            </w:r>
          </w:p>
        </w:tc>
      </w:tr>
      <w:tr>
        <w:tc>
          <w:tcPr>
            <w:tcW w:type="dxa" w:w="3552"/>
            <w:vAlign w:val="center"/>
            <w:shd w:fill="EAF0F5"/>
          </w:tcPr>
          <w:p>
            <w:r/>
            <w:r>
              <w:rPr>
                <w:rFonts w:ascii="Aptos" w:hAnsi="Aptos"/>
                <w:b w:val="0"/>
                <w:sz w:val="14"/>
              </w:rPr>
              <w:t>G4</w:t>
            </w:r>
          </w:p>
        </w:tc>
        <w:tc>
          <w:tcPr>
            <w:tcW w:type="dxa" w:w="3552"/>
            <w:vAlign w:val="center"/>
            <w:shd w:fill="EAF0F5"/>
          </w:tcPr>
          <w:p>
            <w:r/>
            <w:r>
              <w:rPr>
                <w:rFonts w:ascii="Aptos" w:hAnsi="Aptos"/>
                <w:b w:val="0"/>
                <w:sz w:val="14"/>
              </w:rPr>
              <w:t>PASS</w:t>
            </w:r>
          </w:p>
        </w:tc>
        <w:tc>
          <w:tcPr>
            <w:tcW w:type="dxa" w:w="3552"/>
            <w:vAlign w:val="center"/>
            <w:shd w:fill="EAF0F5"/>
          </w:tcPr>
          <w:p>
            <w:r/>
            <w:r>
              <w:rPr>
                <w:rFonts w:ascii="Aptos" w:hAnsi="Aptos"/>
                <w:b w:val="0"/>
                <w:sz w:val="14"/>
              </w:rPr>
              <w:t>ordered low-pass dose response plus shelf and notch coloration controls</w:t>
            </w:r>
          </w:p>
        </w:tc>
      </w:tr>
      <w:tr>
        <w:tc>
          <w:tcPr>
            <w:tcW w:type="dxa" w:w="3552"/>
            <w:vAlign w:val="center"/>
          </w:tcPr>
          <w:p>
            <w:r/>
            <w:r>
              <w:rPr>
                <w:rFonts w:ascii="Aptos" w:hAnsi="Aptos"/>
                <w:b w:val="0"/>
                <w:sz w:val="14"/>
              </w:rPr>
              <w:t>G5</w:t>
            </w:r>
          </w:p>
        </w:tc>
        <w:tc>
          <w:tcPr>
            <w:tcW w:type="dxa" w:w="3552"/>
            <w:vAlign w:val="center"/>
          </w:tcPr>
          <w:p>
            <w:r/>
            <w:r>
              <w:rPr>
                <w:rFonts w:ascii="Aptos" w:hAnsi="Aptos"/>
                <w:b w:val="0"/>
                <w:sz w:val="14"/>
              </w:rPr>
              <w:t>CONDITIONAL</w:t>
            </w:r>
          </w:p>
        </w:tc>
        <w:tc>
          <w:tcPr>
            <w:tcW w:type="dxa" w:w="3552"/>
            <w:vAlign w:val="center"/>
          </w:tcPr>
          <w:p>
            <w:r/>
            <w:r>
              <w:rPr>
                <w:rFonts w:ascii="Aptos" w:hAnsi="Aptos"/>
                <w:b w:val="0"/>
                <w:sz w:val="14"/>
              </w:rPr>
              <w:t>noise, phonetic, physiological and source non-identifiability explicitly retained</w:t>
            </w:r>
          </w:p>
        </w:tc>
      </w:tr>
      <w:tr>
        <w:tc>
          <w:tcPr>
            <w:tcW w:type="dxa" w:w="3552"/>
            <w:vAlign w:val="center"/>
            <w:shd w:fill="EAF0F5"/>
          </w:tcPr>
          <w:p>
            <w:r/>
            <w:r>
              <w:rPr>
                <w:rFonts w:ascii="Aptos" w:hAnsi="Aptos"/>
                <w:b w:val="0"/>
                <w:sz w:val="14"/>
              </w:rPr>
              <w:t>G6</w:t>
            </w:r>
          </w:p>
        </w:tc>
        <w:tc>
          <w:tcPr>
            <w:tcW w:type="dxa" w:w="3552"/>
            <w:vAlign w:val="center"/>
            <w:shd w:fill="EAF0F5"/>
          </w:tcPr>
          <w:p>
            <w:r/>
            <w:r>
              <w:rPr>
                <w:rFonts w:ascii="Aptos" w:hAnsi="Aptos"/>
                <w:b w:val="0"/>
                <w:sz w:val="14"/>
              </w:rPr>
              <w:t>PASS_WITH_QUALIFICATION</w:t>
            </w:r>
          </w:p>
        </w:tc>
        <w:tc>
          <w:tcPr>
            <w:tcW w:type="dxa" w:w="3552"/>
            <w:vAlign w:val="center"/>
            <w:shd w:fill="EAF0F5"/>
          </w:tcPr>
          <w:p>
            <w:r/>
            <w:r>
              <w:rPr>
                <w:rFonts w:ascii="Aptos" w:hAnsi="Aptos"/>
                <w:b w:val="0"/>
                <w:sz w:val="14"/>
              </w:rPr>
              <w:t>target, parameter, reference membership, bootstrap, vintage and weighting sensitivity complete; estimator definitions remain part of identity</w:t>
            </w:r>
          </w:p>
        </w:tc>
      </w:tr>
      <w:tr>
        <w:tc>
          <w:tcPr>
            <w:tcW w:type="dxa" w:w="3552"/>
            <w:vAlign w:val="center"/>
          </w:tcPr>
          <w:p>
            <w:r/>
            <w:r>
              <w:rPr>
                <w:rFonts w:ascii="Aptos" w:hAnsi="Aptos"/>
                <w:b w:val="0"/>
                <w:sz w:val="14"/>
              </w:rPr>
              <w:t>G7</w:t>
            </w:r>
          </w:p>
        </w:tc>
        <w:tc>
          <w:tcPr>
            <w:tcW w:type="dxa" w:w="3552"/>
            <w:vAlign w:val="center"/>
          </w:tcPr>
          <w:p>
            <w:r/>
            <w:r>
              <w:rPr>
                <w:rFonts w:ascii="Aptos" w:hAnsi="Aptos"/>
                <w:b w:val="0"/>
                <w:sz w:val="14"/>
              </w:rPr>
              <w:t>PASS_WITH_QUALIFICATION</w:t>
            </w:r>
          </w:p>
        </w:tc>
        <w:tc>
          <w:tcPr>
            <w:tcW w:type="dxa" w:w="3552"/>
            <w:vAlign w:val="center"/>
          </w:tcPr>
          <w:p>
            <w:r/>
            <w:r>
              <w:rPr>
                <w:rFonts w:ascii="Aptos" w:hAnsi="Aptos"/>
                <w:b w:val="0"/>
                <w:sz w:val="14"/>
              </w:rPr>
              <w:t>519 recordings, 224 participants, complete support/hashes, empirical distributions and eight linked examples; source-rate group structure remains contextual</w:t>
            </w:r>
          </w:p>
        </w:tc>
      </w:tr>
      <w:tr>
        <w:tc>
          <w:tcPr>
            <w:tcW w:type="dxa" w:w="3552"/>
            <w:vAlign w:val="center"/>
            <w:shd w:fill="EAF0F5"/>
          </w:tcPr>
          <w:p>
            <w:r/>
            <w:r>
              <w:rPr>
                <w:rFonts w:ascii="Aptos" w:hAnsi="Aptos"/>
                <w:b w:val="0"/>
                <w:sz w:val="14"/>
              </w:rPr>
              <w:t>G8</w:t>
            </w:r>
          </w:p>
        </w:tc>
        <w:tc>
          <w:tcPr>
            <w:tcW w:type="dxa" w:w="3552"/>
            <w:vAlign w:val="center"/>
            <w:shd w:fill="EAF0F5"/>
          </w:tcPr>
          <w:p>
            <w:r/>
            <w:r>
              <w:rPr>
                <w:rFonts w:ascii="Aptos" w:hAnsi="Aptos"/>
                <w:b w:val="0"/>
                <w:sz w:val="14"/>
              </w:rPr>
              <w:t>PASS_WITH_QUALIFICATION</w:t>
            </w:r>
          </w:p>
        </w:tc>
        <w:tc>
          <w:tcPr>
            <w:tcW w:type="dxa" w:w="3552"/>
            <w:vAlign w:val="center"/>
            <w:shd w:fill="EAF0F5"/>
          </w:tcPr>
          <w:p>
            <w:r/>
            <w:r>
              <w:rPr>
                <w:rFonts w:ascii="Aptos" w:hAnsi="Aptos"/>
                <w:b w:val="0"/>
                <w:sz w:val="14"/>
              </w:rPr>
              <w:t>participant-bootstrap confidence intervals, repeat persistence, redundancy and weighting analyses; high-band is secondary and tilt exploratory</w:t>
            </w:r>
          </w:p>
        </w:tc>
      </w:tr>
      <w:tr>
        <w:tc>
          <w:tcPr>
            <w:tcW w:type="dxa" w:w="3552"/>
            <w:vAlign w:val="center"/>
          </w:tcPr>
          <w:p>
            <w:r/>
            <w:r>
              <w:rPr>
                <w:rFonts w:ascii="Aptos" w:hAnsi="Aptos"/>
                <w:b w:val="0"/>
                <w:sz w:val="14"/>
              </w:rPr>
              <w:t>G9</w:t>
            </w:r>
          </w:p>
        </w:tc>
        <w:tc>
          <w:tcPr>
            <w:tcW w:type="dxa" w:w="3552"/>
            <w:vAlign w:val="center"/>
          </w:tcPr>
          <w:p>
            <w:r/>
            <w:r>
              <w:rPr>
                <w:rFonts w:ascii="Aptos" w:hAnsi="Aptos"/>
                <w:b w:val="0"/>
                <w:sz w:val="14"/>
              </w:rPr>
              <w:t>N/A</w:t>
            </w:r>
          </w:p>
        </w:tc>
        <w:tc>
          <w:tcPr>
            <w:tcW w:type="dxa" w:w="3552"/>
            <w:vAlign w:val="center"/>
          </w:tcPr>
          <w:p>
            <w:r/>
            <w:r>
              <w:rPr>
                <w:rFonts w:ascii="Aptos" w:hAnsi="Aptos"/>
                <w:b w:val="0"/>
                <w:sz w:val="14"/>
              </w:rPr>
              <w:t>no retained QCHAN event detector or device classifier</w:t>
            </w:r>
          </w:p>
        </w:tc>
      </w:tr>
      <w:tr>
        <w:tc>
          <w:tcPr>
            <w:tcW w:type="dxa" w:w="3552"/>
            <w:vAlign w:val="center"/>
            <w:shd w:fill="EAF0F5"/>
          </w:tcPr>
          <w:p>
            <w:r/>
            <w:r>
              <w:rPr>
                <w:rFonts w:ascii="Aptos" w:hAnsi="Aptos"/>
                <w:b w:val="0"/>
                <w:sz w:val="14"/>
              </w:rPr>
              <w:t>G10</w:t>
            </w:r>
          </w:p>
        </w:tc>
        <w:tc>
          <w:tcPr>
            <w:tcW w:type="dxa" w:w="3552"/>
            <w:vAlign w:val="center"/>
            <w:shd w:fill="EAF0F5"/>
          </w:tcPr>
          <w:p>
            <w:r/>
            <w:r>
              <w:rPr>
                <w:rFonts w:ascii="Aptos" w:hAnsi="Aptos"/>
                <w:b w:val="0"/>
                <w:sz w:val="14"/>
              </w:rPr>
              <w:t>PASS</w:t>
            </w:r>
          </w:p>
        </w:tc>
        <w:tc>
          <w:tcPr>
            <w:tcW w:type="dxa" w:w="3552"/>
            <w:vAlign w:val="center"/>
            <w:shd w:fill="EAF0F5"/>
          </w:tcPr>
          <w:p>
            <w:r/>
            <w:r>
              <w:rPr>
                <w:rFonts w:ascii="Aptos" w:hAnsi="Aptos"/>
                <w:b w:val="0"/>
                <w:sz w:val="14"/>
              </w:rPr>
              <w:t>feature-specific roles accepted, no scalar/gate, corrected audit figures, exact numerical equivalence and separate atomic freezes</w:t>
            </w:r>
          </w:p>
        </w:tc>
      </w:tr>
    </w:tbl>
    <w:p>
      <w:pPr>
        <w:pStyle w:val="Heading1"/>
        <w:spacing w:before="100" w:after="60"/>
      </w:pPr>
      <w:r>
        <w:rPr>
          <w:rFonts w:ascii="Aptos Display" w:hAnsi="Aptos Display"/>
          <w:color w:val="315B7D"/>
        </w:rPr>
        <w:t>5. Controlled validation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315B7D"/>
          </w:tcPr>
          <w:p>
            <w:r/>
            <w:r>
              <w:rPr>
                <w:rFonts w:ascii="Aptos" w:hAnsi="Aptos"/>
                <w:b/>
                <w:color w:val="FFFFFF"/>
                <w:sz w:val="15"/>
              </w:rPr>
              <w:t>Domain</w:t>
            </w:r>
          </w:p>
        </w:tc>
        <w:tc>
          <w:tcPr>
            <w:tcW w:type="dxa" w:w="3552"/>
            <w:vAlign w:val="center"/>
            <w:shd w:fill="315B7D"/>
          </w:tcPr>
          <w:p>
            <w:r/>
            <w:r>
              <w:rPr>
                <w:rFonts w:ascii="Aptos" w:hAnsi="Aptos"/>
                <w:b/>
                <w:color w:val="FFFFFF"/>
                <w:sz w:val="15"/>
              </w:rPr>
              <w:t>Evidence</w:t>
            </w:r>
          </w:p>
        </w:tc>
        <w:tc>
          <w:tcPr>
            <w:tcW w:type="dxa" w:w="3552"/>
            <w:vAlign w:val="center"/>
            <w:shd w:fill="315B7D"/>
          </w:tcPr>
          <w:p>
            <w:r/>
            <w:r>
              <w:rPr>
                <w:rFonts w:ascii="Aptos" w:hAnsi="Aptos"/>
                <w:b/>
                <w:color w:val="FFFFFF"/>
                <w:sz w:val="15"/>
              </w:rPr>
              <w:t>Conclusion</w:t>
            </w:r>
          </w:p>
        </w:tc>
      </w:tr>
      <w:tr>
        <w:tc>
          <w:tcPr>
            <w:tcW w:type="dxa" w:w="3552"/>
            <w:vAlign w:val="center"/>
          </w:tcPr>
          <w:p>
            <w:r/>
            <w:r>
              <w:rPr>
                <w:rFonts w:ascii="Aptos" w:hAnsi="Aptos"/>
                <w:b w:val="0"/>
                <w:sz w:val="15"/>
              </w:rPr>
              <w:t>Numerical correctness</w:t>
            </w:r>
          </w:p>
        </w:tc>
        <w:tc>
          <w:tcPr>
            <w:tcW w:type="dxa" w:w="3552"/>
            <w:vAlign w:val="center"/>
          </w:tcPr>
          <w:p>
            <w:r/>
            <w:r>
              <w:rPr>
                <w:rFonts w:ascii="Aptos" w:hAnsi="Aptos"/>
                <w:b w:val="0"/>
                <w:sz w:val="15"/>
              </w:rPr>
              <w:t>Self-reference zeros, signed precursors, missing-not-zero, 519-recording reconstruction</w:t>
            </w:r>
          </w:p>
        </w:tc>
        <w:tc>
          <w:tcPr>
            <w:tcW w:type="dxa" w:w="3552"/>
            <w:vAlign w:val="center"/>
          </w:tcPr>
          <w:p>
            <w:r/>
            <w:r>
              <w:rPr>
                <w:rFonts w:ascii="Aptos" w:hAnsi="Aptos"/>
                <w:b w:val="0"/>
                <w:sz w:val="15"/>
              </w:rPr>
              <w:t>PASS</w:t>
            </w:r>
          </w:p>
        </w:tc>
      </w:tr>
      <w:tr>
        <w:tc>
          <w:tcPr>
            <w:tcW w:type="dxa" w:w="3552"/>
            <w:vAlign w:val="center"/>
            <w:shd w:fill="EAF0F5"/>
          </w:tcPr>
          <w:p>
            <w:r/>
            <w:r>
              <w:rPr>
                <w:rFonts w:ascii="Aptos" w:hAnsi="Aptos"/>
                <w:b w:val="0"/>
                <w:sz w:val="15"/>
              </w:rPr>
              <w:t>Transformations</w:t>
            </w:r>
          </w:p>
        </w:tc>
        <w:tc>
          <w:tcPr>
            <w:tcW w:type="dxa" w:w="3552"/>
            <w:vAlign w:val="center"/>
            <w:shd w:fill="EAF0F5"/>
          </w:tcPr>
          <w:p>
            <w:r/>
            <w:r>
              <w:rPr>
                <w:rFonts w:ascii="Aptos" w:hAnsi="Aptos"/>
                <w:b w:val="0"/>
                <w:sz w:val="15"/>
              </w:rPr>
              <w:t>Gain, polarity, DC, common time shift invariant; source rate and codec characterized</w:t>
            </w:r>
          </w:p>
        </w:tc>
        <w:tc>
          <w:tcPr>
            <w:tcW w:type="dxa" w:w="3552"/>
            <w:vAlign w:val="center"/>
            <w:shd w:fill="EAF0F5"/>
          </w:tcPr>
          <w:p>
            <w:r/>
            <w:r>
              <w:rPr>
                <w:rFonts w:ascii="Aptos" w:hAnsi="Aptos"/>
                <w:b w:val="0"/>
                <w:sz w:val="15"/>
              </w:rPr>
              <w:t>PASS</w:t>
            </w:r>
          </w:p>
        </w:tc>
      </w:tr>
      <w:tr>
        <w:tc>
          <w:tcPr>
            <w:tcW w:type="dxa" w:w="3552"/>
            <w:vAlign w:val="center"/>
          </w:tcPr>
          <w:p>
            <w:r/>
            <w:r>
              <w:rPr>
                <w:rFonts w:ascii="Aptos" w:hAnsi="Aptos"/>
                <w:b w:val="0"/>
                <w:sz w:val="15"/>
              </w:rPr>
              <w:t>Construct response</w:t>
            </w:r>
          </w:p>
        </w:tc>
        <w:tc>
          <w:tcPr>
            <w:tcW w:type="dxa" w:w="3552"/>
            <w:vAlign w:val="center"/>
          </w:tcPr>
          <w:p>
            <w:r/>
            <w:r>
              <w:rPr>
                <w:rFonts w:ascii="Aptos" w:hAnsi="Aptos"/>
                <w:b w:val="0"/>
                <w:sz w:val="15"/>
              </w:rPr>
              <w:t>Ordered low-pass dose; shelves/notches demonstrate nonordinal coloration</w:t>
            </w:r>
          </w:p>
        </w:tc>
        <w:tc>
          <w:tcPr>
            <w:tcW w:type="dxa" w:w="3552"/>
            <w:vAlign w:val="center"/>
          </w:tcPr>
          <w:p>
            <w:r/>
            <w:r>
              <w:rPr>
                <w:rFonts w:ascii="Aptos" w:hAnsi="Aptos"/>
                <w:b w:val="0"/>
                <w:sz w:val="15"/>
              </w:rPr>
              <w:t>PASS</w:t>
            </w:r>
          </w:p>
        </w:tc>
      </w:tr>
      <w:tr>
        <w:tc>
          <w:tcPr>
            <w:tcW w:type="dxa" w:w="3552"/>
            <w:vAlign w:val="center"/>
            <w:shd w:fill="EAF0F5"/>
          </w:tcPr>
          <w:p>
            <w:r/>
            <w:r>
              <w:rPr>
                <w:rFonts w:ascii="Aptos" w:hAnsi="Aptos"/>
                <w:b w:val="0"/>
                <w:sz w:val="15"/>
              </w:rPr>
              <w:t>Discriminant controls</w:t>
            </w:r>
          </w:p>
        </w:tc>
        <w:tc>
          <w:tcPr>
            <w:tcW w:type="dxa" w:w="3552"/>
            <w:vAlign w:val="center"/>
            <w:shd w:fill="EAF0F5"/>
          </w:tcPr>
          <w:p>
            <w:r/>
            <w:r>
              <w:rPr>
                <w:rFonts w:ascii="Aptos" w:hAnsi="Aptos"/>
                <w:b w:val="0"/>
                <w:sz w:val="15"/>
              </w:rPr>
              <w:t>Low/high noise, masking and positive coloration</w:t>
            </w:r>
          </w:p>
        </w:tc>
        <w:tc>
          <w:tcPr>
            <w:tcW w:type="dxa" w:w="3552"/>
            <w:vAlign w:val="center"/>
            <w:shd w:fill="EAF0F5"/>
          </w:tcPr>
          <w:p>
            <w:r/>
            <w:r>
              <w:rPr>
                <w:rFonts w:ascii="Aptos" w:hAnsi="Aptos"/>
                <w:b w:val="0"/>
                <w:sz w:val="15"/>
              </w:rPr>
              <w:t>CONDITIONAL: source non-identifiable</w:t>
            </w:r>
          </w:p>
        </w:tc>
      </w:tr>
      <w:tr>
        <w:tc>
          <w:tcPr>
            <w:tcW w:type="dxa" w:w="3552"/>
            <w:vAlign w:val="center"/>
          </w:tcPr>
          <w:p>
            <w:r/>
            <w:r>
              <w:rPr>
                <w:rFonts w:ascii="Aptos" w:hAnsi="Aptos"/>
                <w:b w:val="0"/>
                <w:sz w:val="15"/>
              </w:rPr>
              <w:t>Support</w:t>
            </w:r>
          </w:p>
        </w:tc>
        <w:tc>
          <w:tcPr>
            <w:tcW w:type="dxa" w:w="3552"/>
            <w:vAlign w:val="center"/>
          </w:tcPr>
          <w:p>
            <w:r/>
            <w:r>
              <w:rPr>
                <w:rFonts w:ascii="Aptos" w:hAnsi="Aptos"/>
                <w:b w:val="0"/>
                <w:sz w:val="15"/>
              </w:rPr>
              <w:t>Guarded intervals, frames, no cross-gap frames, minimum target/reference requirements</w:t>
            </w:r>
          </w:p>
        </w:tc>
        <w:tc>
          <w:tcPr>
            <w:tcW w:type="dxa" w:w="3552"/>
            <w:vAlign w:val="center"/>
          </w:tcPr>
          <w:p>
            <w:r/>
            <w:r>
              <w:rPr>
                <w:rFonts w:ascii="Aptos" w:hAnsi="Aptos"/>
                <w:b w:val="0"/>
                <w:sz w:val="15"/>
              </w:rPr>
              <w:t>PASS</w:t>
            </w:r>
          </w:p>
        </w:tc>
      </w:tr>
    </w:tbl>
    <w:p>
      <w:pPr>
        <w:pStyle w:val="Heading1"/>
        <w:spacing w:before="100" w:after="60"/>
      </w:pPr>
      <w:r>
        <w:rPr>
          <w:rFonts w:ascii="Aptos Display" w:hAnsi="Aptos Display"/>
          <w:color w:val="315B7D"/>
        </w:rPr>
        <w:t>6. Robustness and uncertainty</w:t>
      </w:r>
    </w:p>
    <w:p>
      <w:pPr>
        <w:spacing w:after="60"/>
      </w:pPr>
      <w:r>
        <w:rPr>
          <w:rFonts w:ascii="Aptos" w:hAnsi="Aptos"/>
          <w:b w:val="0"/>
          <w:i w:val="0"/>
          <w:sz w:val="19"/>
        </w:rPr>
        <w:t>Target robustness used 72 deterministic recordings; all declared variants preserved availability. Reference robustness used 12 deterministic targets, 100 subject-bootstrap iterations, delete-one-subject perturbations, 80% vintages, and recording-weighted alternatives.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315B7D"/>
          </w:tcPr>
          <w:p>
            <w:r/>
            <w:r>
              <w:rPr>
                <w:rFonts w:ascii="Aptos" w:hAnsi="Aptos"/>
                <w:b/>
                <w:color w:val="FFFFFF"/>
                <w:sz w:val="16"/>
              </w:rPr>
              <w:t>Feature</w:t>
            </w:r>
          </w:p>
        </w:tc>
        <w:tc>
          <w:tcPr>
            <w:tcW w:type="dxa" w:w="2664"/>
            <w:vAlign w:val="center"/>
            <w:shd w:fill="315B7D"/>
          </w:tcPr>
          <w:p>
            <w:r/>
            <w:r>
              <w:rPr>
                <w:rFonts w:ascii="Aptos" w:hAnsi="Aptos"/>
                <w:b/>
                <w:color w:val="FFFFFF"/>
                <w:sz w:val="16"/>
              </w:rPr>
              <w:t>Median bootstrap rank ρ</w:t>
            </w:r>
          </w:p>
        </w:tc>
        <w:tc>
          <w:tcPr>
            <w:tcW w:type="dxa" w:w="2664"/>
            <w:vAlign w:val="center"/>
            <w:shd w:fill="315B7D"/>
          </w:tcPr>
          <w:p>
            <w:r/>
            <w:r>
              <w:rPr>
                <w:rFonts w:ascii="Aptos" w:hAnsi="Aptos"/>
                <w:b/>
                <w:color w:val="FFFFFF"/>
                <w:sz w:val="16"/>
              </w:rPr>
              <w:t>2.5th percentile</w:t>
            </w:r>
          </w:p>
        </w:tc>
        <w:tc>
          <w:tcPr>
            <w:tcW w:type="dxa" w:w="2664"/>
            <w:vAlign w:val="center"/>
            <w:shd w:fill="315B7D"/>
          </w:tcPr>
          <w:p>
            <w:r/>
            <w:r>
              <w:rPr>
                <w:rFonts w:ascii="Aptos" w:hAnsi="Aptos"/>
                <w:b/>
                <w:color w:val="FFFFFF"/>
                <w:sz w:val="16"/>
              </w:rPr>
              <w:t>Minimum</w:t>
            </w:r>
          </w:p>
        </w:tc>
      </w:tr>
      <w:tr>
        <w:tc>
          <w:tcPr>
            <w:tcW w:type="dxa" w:w="2664"/>
            <w:vAlign w:val="center"/>
          </w:tcPr>
          <w:p>
            <w:r/>
            <w:r>
              <w:rPr>
                <w:rFonts w:ascii="Aptos" w:hAnsi="Aptos"/>
                <w:b w:val="0"/>
                <w:sz w:val="16"/>
              </w:rPr>
              <w:t>highband_ratio_deficit</w:t>
            </w:r>
          </w:p>
        </w:tc>
        <w:tc>
          <w:tcPr>
            <w:tcW w:type="dxa" w:w="2664"/>
            <w:vAlign w:val="center"/>
          </w:tcPr>
          <w:p>
            <w:r/>
            <w:r>
              <w:rPr>
                <w:rFonts w:ascii="Aptos" w:hAnsi="Aptos"/>
                <w:b w:val="0"/>
                <w:sz w:val="16"/>
              </w:rPr>
              <w:t>1.000</w:t>
            </w:r>
          </w:p>
        </w:tc>
        <w:tc>
          <w:tcPr>
            <w:tcW w:type="dxa" w:w="2664"/>
            <w:vAlign w:val="center"/>
          </w:tcPr>
          <w:p>
            <w:r/>
            <w:r>
              <w:rPr>
                <w:rFonts w:ascii="Aptos" w:hAnsi="Aptos"/>
                <w:b w:val="0"/>
                <w:sz w:val="16"/>
              </w:rPr>
              <w:t>0.937</w:t>
            </w:r>
          </w:p>
        </w:tc>
        <w:tc>
          <w:tcPr>
            <w:tcW w:type="dxa" w:w="2664"/>
            <w:vAlign w:val="center"/>
          </w:tcPr>
          <w:p>
            <w:r/>
            <w:r>
              <w:rPr>
                <w:rFonts w:ascii="Aptos" w:hAnsi="Aptos"/>
                <w:b w:val="0"/>
                <w:sz w:val="16"/>
              </w:rPr>
              <w:t>0.928</w:t>
            </w:r>
          </w:p>
        </w:tc>
      </w:tr>
      <w:tr>
        <w:tc>
          <w:tcPr>
            <w:tcW w:type="dxa" w:w="2664"/>
            <w:vAlign w:val="center"/>
            <w:shd w:fill="EAF0F5"/>
          </w:tcPr>
          <w:p>
            <w:r/>
            <w:r>
              <w:rPr>
                <w:rFonts w:ascii="Aptos" w:hAnsi="Aptos"/>
                <w:b w:val="0"/>
                <w:sz w:val="16"/>
              </w:rPr>
              <w:t>ltas_distance_db</w:t>
            </w:r>
          </w:p>
        </w:tc>
        <w:tc>
          <w:tcPr>
            <w:tcW w:type="dxa" w:w="2664"/>
            <w:vAlign w:val="center"/>
            <w:shd w:fill="EAF0F5"/>
          </w:tcPr>
          <w:p>
            <w:r/>
            <w:r>
              <w:rPr>
                <w:rFonts w:ascii="Aptos" w:hAnsi="Aptos"/>
                <w:b w:val="0"/>
                <w:sz w:val="16"/>
              </w:rPr>
              <w:t>1.000</w:t>
            </w:r>
          </w:p>
        </w:tc>
        <w:tc>
          <w:tcPr>
            <w:tcW w:type="dxa" w:w="2664"/>
            <w:vAlign w:val="center"/>
            <w:shd w:fill="EAF0F5"/>
          </w:tcPr>
          <w:p>
            <w:r/>
            <w:r>
              <w:rPr>
                <w:rFonts w:ascii="Aptos" w:hAnsi="Aptos"/>
                <w:b w:val="0"/>
                <w:sz w:val="16"/>
              </w:rPr>
              <w:t>0.982</w:t>
            </w:r>
          </w:p>
        </w:tc>
        <w:tc>
          <w:tcPr>
            <w:tcW w:type="dxa" w:w="2664"/>
            <w:vAlign w:val="center"/>
            <w:shd w:fill="EAF0F5"/>
          </w:tcPr>
          <w:p>
            <w:r/>
            <w:r>
              <w:rPr>
                <w:rFonts w:ascii="Aptos" w:hAnsi="Aptos"/>
                <w:b w:val="0"/>
                <w:sz w:val="16"/>
              </w:rPr>
              <w:t>0.979</w:t>
            </w:r>
          </w:p>
        </w:tc>
      </w:tr>
      <w:tr>
        <w:tc>
          <w:tcPr>
            <w:tcW w:type="dxa" w:w="2664"/>
            <w:vAlign w:val="center"/>
          </w:tcPr>
          <w:p>
            <w:r/>
            <w:r>
              <w:rPr>
                <w:rFonts w:ascii="Aptos" w:hAnsi="Aptos"/>
                <w:b w:val="0"/>
                <w:sz w:val="16"/>
              </w:rPr>
              <w:t>rolloff95_deficit_hz</w:t>
            </w:r>
          </w:p>
        </w:tc>
        <w:tc>
          <w:tcPr>
            <w:tcW w:type="dxa" w:w="2664"/>
            <w:vAlign w:val="center"/>
          </w:tcPr>
          <w:p>
            <w:r/>
            <w:r>
              <w:rPr>
                <w:rFonts w:ascii="Aptos" w:hAnsi="Aptos"/>
                <w:b w:val="0"/>
                <w:sz w:val="16"/>
              </w:rPr>
              <w:t>1.000</w:t>
            </w:r>
          </w:p>
        </w:tc>
        <w:tc>
          <w:tcPr>
            <w:tcW w:type="dxa" w:w="2664"/>
            <w:vAlign w:val="center"/>
          </w:tcPr>
          <w:p>
            <w:r/>
            <w:r>
              <w:rPr>
                <w:rFonts w:ascii="Aptos" w:hAnsi="Aptos"/>
                <w:b w:val="0"/>
                <w:sz w:val="16"/>
              </w:rPr>
              <w:t>0.991</w:t>
            </w:r>
          </w:p>
        </w:tc>
        <w:tc>
          <w:tcPr>
            <w:tcW w:type="dxa" w:w="2664"/>
            <w:vAlign w:val="center"/>
          </w:tcPr>
          <w:p>
            <w:r/>
            <w:r>
              <w:rPr>
                <w:rFonts w:ascii="Aptos" w:hAnsi="Aptos"/>
                <w:b w:val="0"/>
                <w:sz w:val="16"/>
              </w:rPr>
              <w:t>0.983</w:t>
            </w:r>
          </w:p>
        </w:tc>
      </w:tr>
      <w:tr>
        <w:tc>
          <w:tcPr>
            <w:tcW w:type="dxa" w:w="2664"/>
            <w:vAlign w:val="center"/>
            <w:shd w:fill="EAF0F5"/>
          </w:tcPr>
          <w:p>
            <w:r/>
            <w:r>
              <w:rPr>
                <w:rFonts w:ascii="Aptos" w:hAnsi="Aptos"/>
                <w:b w:val="0"/>
                <w:sz w:val="16"/>
              </w:rPr>
              <w:t>tilt_steepening_db_per_oct</w:t>
            </w:r>
          </w:p>
        </w:tc>
        <w:tc>
          <w:tcPr>
            <w:tcW w:type="dxa" w:w="2664"/>
            <w:vAlign w:val="center"/>
            <w:shd w:fill="EAF0F5"/>
          </w:tcPr>
          <w:p>
            <w:r/>
            <w:r>
              <w:rPr>
                <w:rFonts w:ascii="Aptos" w:hAnsi="Aptos"/>
                <w:b w:val="0"/>
                <w:sz w:val="16"/>
              </w:rPr>
              <w:t>0.992</w:t>
            </w:r>
          </w:p>
        </w:tc>
        <w:tc>
          <w:tcPr>
            <w:tcW w:type="dxa" w:w="2664"/>
            <w:vAlign w:val="center"/>
            <w:shd w:fill="EAF0F5"/>
          </w:tcPr>
          <w:p>
            <w:r/>
            <w:r>
              <w:rPr>
                <w:rFonts w:ascii="Aptos" w:hAnsi="Aptos"/>
                <w:b w:val="0"/>
                <w:sz w:val="16"/>
              </w:rPr>
              <w:t>0.940</w:t>
            </w:r>
          </w:p>
        </w:tc>
        <w:tc>
          <w:tcPr>
            <w:tcW w:type="dxa" w:w="2664"/>
            <w:vAlign w:val="center"/>
            <w:shd w:fill="EAF0F5"/>
          </w:tcPr>
          <w:p>
            <w:r/>
            <w:r>
              <w:rPr>
                <w:rFonts w:ascii="Aptos" w:hAnsi="Aptos"/>
                <w:b w:val="0"/>
                <w:sz w:val="16"/>
              </w:rPr>
              <w:t>0.922</w:t>
            </w:r>
          </w:p>
        </w:tc>
      </w:tr>
    </w:tbl>
    <w:p>
      <w:pPr>
        <w:spacing w:after="60"/>
      </w:pPr>
      <w:r>
        <w:rPr>
          <w:rFonts w:ascii="Aptos" w:hAnsi="Aptos"/>
          <w:b w:val="0"/>
          <w:i w:val="0"/>
          <w:sz w:val="19"/>
        </w:rPr>
        <w:t>Parameter variants intentionally changed some estimands. Smoothing width, rolloff fraction, high-band split, and tilt range are therefore frozen parts of feature identity, not interchangeable tuning options.</w:t>
      </w:r>
    </w:p>
    <w:p>
      <w:pPr>
        <w:pStyle w:val="Heading1"/>
        <w:spacing w:before="100" w:after="60"/>
      </w:pPr>
      <w:r>
        <w:rPr>
          <w:rFonts w:ascii="Aptos Display" w:hAnsi="Aptos Display"/>
          <w:color w:val="315B7D"/>
        </w:rPr>
        <w:t>7. Reliability, redundancy, and weighting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315B7D"/>
          </w:tcPr>
          <w:p>
            <w:r/>
            <w:r>
              <w:rPr>
                <w:rFonts w:ascii="Aptos" w:hAnsi="Aptos"/>
                <w:b/>
                <w:color w:val="FFFFFF"/>
                <w:sz w:val="15"/>
              </w:rPr>
              <w:t>Feature</w:t>
            </w:r>
          </w:p>
        </w:tc>
        <w:tc>
          <w:tcPr>
            <w:tcW w:type="dxa" w:w="2131"/>
            <w:vAlign w:val="center"/>
            <w:shd w:fill="315B7D"/>
          </w:tcPr>
          <w:p>
            <w:r/>
            <w:r>
              <w:rPr>
                <w:rFonts w:ascii="Aptos" w:hAnsi="Aptos"/>
                <w:b/>
                <w:color w:val="FFFFFF"/>
                <w:sz w:val="15"/>
              </w:rPr>
              <w:t>Paired participants</w:t>
            </w:r>
          </w:p>
        </w:tc>
        <w:tc>
          <w:tcPr>
            <w:tcW w:type="dxa" w:w="2131"/>
            <w:vAlign w:val="center"/>
            <w:shd w:fill="315B7D"/>
          </w:tcPr>
          <w:p>
            <w:r/>
            <w:r>
              <w:rPr>
                <w:rFonts w:ascii="Aptos" w:hAnsi="Aptos"/>
                <w:b/>
                <w:color w:val="FFFFFF"/>
                <w:sz w:val="15"/>
              </w:rPr>
              <w:t>Spearman ρ (95% CI)</w:t>
            </w:r>
          </w:p>
        </w:tc>
        <w:tc>
          <w:tcPr>
            <w:tcW w:type="dxa" w:w="2131"/>
            <w:vAlign w:val="center"/>
            <w:shd w:fill="315B7D"/>
          </w:tcPr>
          <w:p>
            <w:r/>
            <w:r>
              <w:rPr>
                <w:rFonts w:ascii="Aptos" w:hAnsi="Aptos"/>
                <w:b/>
                <w:color w:val="FFFFFF"/>
                <w:sz w:val="15"/>
              </w:rPr>
              <w:t>ICC(1) (95% CI)</w:t>
            </w:r>
          </w:p>
        </w:tc>
        <w:tc>
          <w:tcPr>
            <w:tcW w:type="dxa" w:w="2131"/>
            <w:vAlign w:val="center"/>
            <w:shd w:fill="315B7D"/>
          </w:tcPr>
          <w:p>
            <w:r/>
            <w:r>
              <w:rPr>
                <w:rFonts w:ascii="Aptos" w:hAnsi="Aptos"/>
                <w:b/>
                <w:color w:val="FFFFFF"/>
                <w:sz w:val="15"/>
              </w:rPr>
              <w:t>Median absolute difference</w:t>
            </w:r>
          </w:p>
        </w:tc>
      </w:tr>
      <w:tr>
        <w:tc>
          <w:tcPr>
            <w:tcW w:type="dxa" w:w="2131"/>
            <w:vAlign w:val="center"/>
          </w:tcPr>
          <w:p>
            <w:r/>
            <w:r>
              <w:rPr>
                <w:rFonts w:ascii="Aptos" w:hAnsi="Aptos"/>
                <w:b w:val="0"/>
                <w:sz w:val="15"/>
              </w:rPr>
              <w:t>ltas_distance_db</w:t>
            </w:r>
          </w:p>
        </w:tc>
        <w:tc>
          <w:tcPr>
            <w:tcW w:type="dxa" w:w="2131"/>
            <w:vAlign w:val="center"/>
          </w:tcPr>
          <w:p>
            <w:r/>
            <w:r>
              <w:rPr>
                <w:rFonts w:ascii="Aptos" w:hAnsi="Aptos"/>
                <w:b w:val="0"/>
                <w:sz w:val="15"/>
              </w:rPr>
              <w:t>158</w:t>
            </w:r>
          </w:p>
        </w:tc>
        <w:tc>
          <w:tcPr>
            <w:tcW w:type="dxa" w:w="2131"/>
            <w:vAlign w:val="center"/>
          </w:tcPr>
          <w:p>
            <w:r/>
            <w:r>
              <w:rPr>
                <w:rFonts w:ascii="Aptos" w:hAnsi="Aptos"/>
                <w:b w:val="0"/>
                <w:sz w:val="15"/>
              </w:rPr>
              <w:t>0.751 (0.663–0.817)</w:t>
            </w:r>
          </w:p>
        </w:tc>
        <w:tc>
          <w:tcPr>
            <w:tcW w:type="dxa" w:w="2131"/>
            <w:vAlign w:val="center"/>
          </w:tcPr>
          <w:p>
            <w:r/>
            <w:r>
              <w:rPr>
                <w:rFonts w:ascii="Aptos" w:hAnsi="Aptos"/>
                <w:b w:val="0"/>
                <w:sz w:val="15"/>
              </w:rPr>
              <w:t>0.788 (0.690–0.861)</w:t>
            </w:r>
          </w:p>
        </w:tc>
        <w:tc>
          <w:tcPr>
            <w:tcW w:type="dxa" w:w="2131"/>
            <w:vAlign w:val="center"/>
          </w:tcPr>
          <w:p>
            <w:r/>
            <w:r>
              <w:rPr>
                <w:rFonts w:ascii="Aptos" w:hAnsi="Aptos"/>
                <w:b w:val="0"/>
                <w:sz w:val="15"/>
              </w:rPr>
              <w:t>0.8627</w:t>
            </w:r>
          </w:p>
        </w:tc>
      </w:tr>
      <w:tr>
        <w:tc>
          <w:tcPr>
            <w:tcW w:type="dxa" w:w="2131"/>
            <w:vAlign w:val="center"/>
            <w:shd w:fill="EAF0F5"/>
          </w:tcPr>
          <w:p>
            <w:r/>
            <w:r>
              <w:rPr>
                <w:rFonts w:ascii="Aptos" w:hAnsi="Aptos"/>
                <w:b w:val="0"/>
                <w:sz w:val="15"/>
              </w:rPr>
              <w:t>rolloff95_deficit_hz</w:t>
            </w:r>
          </w:p>
        </w:tc>
        <w:tc>
          <w:tcPr>
            <w:tcW w:type="dxa" w:w="2131"/>
            <w:vAlign w:val="center"/>
            <w:shd w:fill="EAF0F5"/>
          </w:tcPr>
          <w:p>
            <w:r/>
            <w:r>
              <w:rPr>
                <w:rFonts w:ascii="Aptos" w:hAnsi="Aptos"/>
                <w:b w:val="0"/>
                <w:sz w:val="15"/>
              </w:rPr>
              <w:t>158</w:t>
            </w:r>
          </w:p>
        </w:tc>
        <w:tc>
          <w:tcPr>
            <w:tcW w:type="dxa" w:w="2131"/>
            <w:vAlign w:val="center"/>
            <w:shd w:fill="EAF0F5"/>
          </w:tcPr>
          <w:p>
            <w:r/>
            <w:r>
              <w:rPr>
                <w:rFonts w:ascii="Aptos" w:hAnsi="Aptos"/>
                <w:b w:val="0"/>
                <w:sz w:val="15"/>
              </w:rPr>
              <w:t>0.740 (0.641–0.825)</w:t>
            </w:r>
          </w:p>
        </w:tc>
        <w:tc>
          <w:tcPr>
            <w:tcW w:type="dxa" w:w="2131"/>
            <w:vAlign w:val="center"/>
            <w:shd w:fill="EAF0F5"/>
          </w:tcPr>
          <w:p>
            <w:r/>
            <w:r>
              <w:rPr>
                <w:rFonts w:ascii="Aptos" w:hAnsi="Aptos"/>
                <w:b w:val="0"/>
                <w:sz w:val="15"/>
              </w:rPr>
              <w:t>0.743 (0.634–0.830)</w:t>
            </w:r>
          </w:p>
        </w:tc>
        <w:tc>
          <w:tcPr>
            <w:tcW w:type="dxa" w:w="2131"/>
            <w:vAlign w:val="center"/>
            <w:shd w:fill="EAF0F5"/>
          </w:tcPr>
          <w:p>
            <w:r/>
            <w:r>
              <w:rPr>
                <w:rFonts w:ascii="Aptos" w:hAnsi="Aptos"/>
                <w:b w:val="0"/>
                <w:sz w:val="15"/>
              </w:rPr>
              <w:t>39.15</w:t>
            </w:r>
          </w:p>
        </w:tc>
      </w:tr>
      <w:tr>
        <w:tc>
          <w:tcPr>
            <w:tcW w:type="dxa" w:w="2131"/>
            <w:vAlign w:val="center"/>
          </w:tcPr>
          <w:p>
            <w:r/>
            <w:r>
              <w:rPr>
                <w:rFonts w:ascii="Aptos" w:hAnsi="Aptos"/>
                <w:b w:val="0"/>
                <w:sz w:val="15"/>
              </w:rPr>
              <w:t>highband_ratio_deficit</w:t>
            </w:r>
          </w:p>
        </w:tc>
        <w:tc>
          <w:tcPr>
            <w:tcW w:type="dxa" w:w="2131"/>
            <w:vAlign w:val="center"/>
          </w:tcPr>
          <w:p>
            <w:r/>
            <w:r>
              <w:rPr>
                <w:rFonts w:ascii="Aptos" w:hAnsi="Aptos"/>
                <w:b w:val="0"/>
                <w:sz w:val="15"/>
              </w:rPr>
              <w:t>158</w:t>
            </w:r>
          </w:p>
        </w:tc>
        <w:tc>
          <w:tcPr>
            <w:tcW w:type="dxa" w:w="2131"/>
            <w:vAlign w:val="center"/>
          </w:tcPr>
          <w:p>
            <w:r/>
            <w:r>
              <w:rPr>
                <w:rFonts w:ascii="Aptos" w:hAnsi="Aptos"/>
                <w:b w:val="0"/>
                <w:sz w:val="15"/>
              </w:rPr>
              <w:t>0.652 (0.531–0.756)</w:t>
            </w:r>
          </w:p>
        </w:tc>
        <w:tc>
          <w:tcPr>
            <w:tcW w:type="dxa" w:w="2131"/>
            <w:vAlign w:val="center"/>
          </w:tcPr>
          <w:p>
            <w:r/>
            <w:r>
              <w:rPr>
                <w:rFonts w:ascii="Aptos" w:hAnsi="Aptos"/>
                <w:b w:val="0"/>
                <w:sz w:val="15"/>
              </w:rPr>
              <w:t>0.701 (0.585–0.796)</w:t>
            </w:r>
          </w:p>
        </w:tc>
        <w:tc>
          <w:tcPr>
            <w:tcW w:type="dxa" w:w="2131"/>
            <w:vAlign w:val="center"/>
          </w:tcPr>
          <w:p>
            <w:r/>
            <w:r>
              <w:rPr>
                <w:rFonts w:ascii="Aptos" w:hAnsi="Aptos"/>
                <w:b w:val="0"/>
                <w:sz w:val="15"/>
              </w:rPr>
              <w:t>0.0007326</w:t>
            </w:r>
          </w:p>
        </w:tc>
      </w:tr>
      <w:tr>
        <w:tc>
          <w:tcPr>
            <w:tcW w:type="dxa" w:w="2131"/>
            <w:vAlign w:val="center"/>
            <w:shd w:fill="EAF0F5"/>
          </w:tcPr>
          <w:p>
            <w:r/>
            <w:r>
              <w:rPr>
                <w:rFonts w:ascii="Aptos" w:hAnsi="Aptos"/>
                <w:b w:val="0"/>
                <w:sz w:val="15"/>
              </w:rPr>
              <w:t>tilt_steepening_db_per_oct</w:t>
            </w:r>
          </w:p>
        </w:tc>
        <w:tc>
          <w:tcPr>
            <w:tcW w:type="dxa" w:w="2131"/>
            <w:vAlign w:val="center"/>
            <w:shd w:fill="EAF0F5"/>
          </w:tcPr>
          <w:p>
            <w:r/>
            <w:r>
              <w:rPr>
                <w:rFonts w:ascii="Aptos" w:hAnsi="Aptos"/>
                <w:b w:val="0"/>
                <w:sz w:val="15"/>
              </w:rPr>
              <w:t>158</w:t>
            </w:r>
          </w:p>
        </w:tc>
        <w:tc>
          <w:tcPr>
            <w:tcW w:type="dxa" w:w="2131"/>
            <w:vAlign w:val="center"/>
            <w:shd w:fill="EAF0F5"/>
          </w:tcPr>
          <w:p>
            <w:r/>
            <w:r>
              <w:rPr>
                <w:rFonts w:ascii="Aptos" w:hAnsi="Aptos"/>
                <w:b w:val="0"/>
                <w:sz w:val="15"/>
              </w:rPr>
              <w:t>0.774 (0.681–0.848)</w:t>
            </w:r>
          </w:p>
        </w:tc>
        <w:tc>
          <w:tcPr>
            <w:tcW w:type="dxa" w:w="2131"/>
            <w:vAlign w:val="center"/>
            <w:shd w:fill="EAF0F5"/>
          </w:tcPr>
          <w:p>
            <w:r/>
            <w:r>
              <w:rPr>
                <w:rFonts w:ascii="Aptos" w:hAnsi="Aptos"/>
                <w:b w:val="0"/>
                <w:sz w:val="15"/>
              </w:rPr>
              <w:t>0.767 (0.660–0.849)</w:t>
            </w:r>
          </w:p>
        </w:tc>
        <w:tc>
          <w:tcPr>
            <w:tcW w:type="dxa" w:w="2131"/>
            <w:vAlign w:val="center"/>
            <w:shd w:fill="EAF0F5"/>
          </w:tcPr>
          <w:p>
            <w:r/>
            <w:r>
              <w:rPr>
                <w:rFonts w:ascii="Aptos" w:hAnsi="Aptos"/>
                <w:b w:val="0"/>
                <w:sz w:val="15"/>
              </w:rPr>
              <w:t>0.1752</w:t>
            </w:r>
          </w:p>
        </w:tc>
      </w:tr>
    </w:tbl>
    <w:p>
      <w:pPr>
        <w:spacing w:after="60"/>
      </w:pPr>
      <w:r>
        <w:rPr>
          <w:rFonts w:ascii="Aptos" w:hAnsi="Aptos"/>
          <w:b w:val="0"/>
          <w:i w:val="0"/>
          <w:sz w:val="19"/>
        </w:rPr>
        <w:t>The strongest within-family correlations were rolloff versus tilt (ρ=0.703) and rolloff versus high-band deficit (ρ=0.616). LTAS distance was only modestly correlated with the one-sided descriptors. These patterns support separate features and prohibit a family scalar.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315B7D"/>
          </w:tcPr>
          <w:p>
            <w:r/>
            <w:r>
              <w:rPr>
                <w:rFonts w:ascii="Aptos" w:hAnsi="Aptos"/>
                <w:b/>
                <w:color w:val="FFFFFF"/>
                <w:sz w:val="15"/>
              </w:rPr>
              <w:t>Feature</w:t>
            </w:r>
          </w:p>
        </w:tc>
        <w:tc>
          <w:tcPr>
            <w:tcW w:type="dxa" w:w="2664"/>
            <w:vAlign w:val="center"/>
            <w:shd w:fill="315B7D"/>
          </w:tcPr>
          <w:p>
            <w:r/>
            <w:r>
              <w:rPr>
                <w:rFonts w:ascii="Aptos" w:hAnsi="Aptos"/>
                <w:b/>
                <w:color w:val="FFFFFF"/>
                <w:sz w:val="15"/>
              </w:rPr>
              <w:t>Recording-weighted median</w:t>
            </w:r>
          </w:p>
        </w:tc>
        <w:tc>
          <w:tcPr>
            <w:tcW w:type="dxa" w:w="2664"/>
            <w:vAlign w:val="center"/>
            <w:shd w:fill="315B7D"/>
          </w:tcPr>
          <w:p>
            <w:r/>
            <w:r>
              <w:rPr>
                <w:rFonts w:ascii="Aptos" w:hAnsi="Aptos"/>
                <w:b/>
                <w:color w:val="FFFFFF"/>
                <w:sz w:val="15"/>
              </w:rPr>
              <w:t>Participant-balanced median</w:t>
            </w:r>
          </w:p>
        </w:tc>
        <w:tc>
          <w:tcPr>
            <w:tcW w:type="dxa" w:w="2664"/>
            <w:vAlign w:val="center"/>
            <w:shd w:fill="315B7D"/>
          </w:tcPr>
          <w:p>
            <w:r/>
            <w:r>
              <w:rPr>
                <w:rFonts w:ascii="Aptos" w:hAnsi="Aptos"/>
                <w:b/>
                <w:color w:val="FFFFFF"/>
                <w:sz w:val="15"/>
              </w:rPr>
              <w:t>Participant-balanced 95% interval</w:t>
            </w:r>
          </w:p>
        </w:tc>
      </w:tr>
      <w:tr>
        <w:tc>
          <w:tcPr>
            <w:tcW w:type="dxa" w:w="2664"/>
            <w:vAlign w:val="center"/>
          </w:tcPr>
          <w:p>
            <w:r/>
            <w:r>
              <w:rPr>
                <w:rFonts w:ascii="Aptos" w:hAnsi="Aptos"/>
                <w:b w:val="0"/>
                <w:sz w:val="15"/>
              </w:rPr>
              <w:t>ltas_distance_db</w:t>
            </w:r>
          </w:p>
        </w:tc>
        <w:tc>
          <w:tcPr>
            <w:tcW w:type="dxa" w:w="2664"/>
            <w:vAlign w:val="center"/>
          </w:tcPr>
          <w:p>
            <w:r/>
            <w:r>
              <w:rPr>
                <w:rFonts w:ascii="Aptos" w:hAnsi="Aptos"/>
                <w:b w:val="0"/>
                <w:sz w:val="15"/>
              </w:rPr>
              <w:t>5.2415</w:t>
            </w:r>
          </w:p>
        </w:tc>
        <w:tc>
          <w:tcPr>
            <w:tcW w:type="dxa" w:w="2664"/>
            <w:vAlign w:val="center"/>
          </w:tcPr>
          <w:p>
            <w:r/>
            <w:r>
              <w:rPr>
                <w:rFonts w:ascii="Aptos" w:hAnsi="Aptos"/>
                <w:b w:val="0"/>
                <w:sz w:val="15"/>
              </w:rPr>
              <w:t>5.1124</w:t>
            </w:r>
          </w:p>
        </w:tc>
        <w:tc>
          <w:tcPr>
            <w:tcW w:type="dxa" w:w="2664"/>
            <w:vAlign w:val="center"/>
          </w:tcPr>
          <w:p>
            <w:r/>
            <w:r>
              <w:rPr>
                <w:rFonts w:ascii="Aptos" w:hAnsi="Aptos"/>
                <w:b w:val="0"/>
                <w:sz w:val="15"/>
              </w:rPr>
              <w:t>4.9973–5.2456</w:t>
            </w:r>
          </w:p>
        </w:tc>
      </w:tr>
      <w:tr>
        <w:tc>
          <w:tcPr>
            <w:tcW w:type="dxa" w:w="2664"/>
            <w:vAlign w:val="center"/>
            <w:shd w:fill="EAF0F5"/>
          </w:tcPr>
          <w:p>
            <w:r/>
            <w:r>
              <w:rPr>
                <w:rFonts w:ascii="Aptos" w:hAnsi="Aptos"/>
                <w:b w:val="0"/>
                <w:sz w:val="15"/>
              </w:rPr>
              <w:t>rolloff95_deficit_hz</w:t>
            </w:r>
          </w:p>
        </w:tc>
        <w:tc>
          <w:tcPr>
            <w:tcW w:type="dxa" w:w="2664"/>
            <w:vAlign w:val="center"/>
            <w:shd w:fill="EAF0F5"/>
          </w:tcPr>
          <w:p>
            <w:r/>
            <w:r>
              <w:rPr>
                <w:rFonts w:ascii="Aptos" w:hAnsi="Aptos"/>
                <w:b w:val="0"/>
                <w:sz w:val="15"/>
              </w:rPr>
              <w:t>0</w:t>
            </w:r>
          </w:p>
        </w:tc>
        <w:tc>
          <w:tcPr>
            <w:tcW w:type="dxa" w:w="2664"/>
            <w:vAlign w:val="center"/>
            <w:shd w:fill="EAF0F5"/>
          </w:tcPr>
          <w:p>
            <w:r/>
            <w:r>
              <w:rPr>
                <w:rFonts w:ascii="Aptos" w:hAnsi="Aptos"/>
                <w:b w:val="0"/>
                <w:sz w:val="15"/>
              </w:rPr>
              <w:t>0</w:t>
            </w:r>
          </w:p>
        </w:tc>
        <w:tc>
          <w:tcPr>
            <w:tcW w:type="dxa" w:w="2664"/>
            <w:vAlign w:val="center"/>
            <w:shd w:fill="EAF0F5"/>
          </w:tcPr>
          <w:p>
            <w:r/>
            <w:r>
              <w:rPr>
                <w:rFonts w:ascii="Aptos" w:hAnsi="Aptos"/>
                <w:b w:val="0"/>
                <w:sz w:val="15"/>
              </w:rPr>
              <w:t>0–6.2818</w:t>
            </w:r>
          </w:p>
        </w:tc>
      </w:tr>
      <w:tr>
        <w:tc>
          <w:tcPr>
            <w:tcW w:type="dxa" w:w="2664"/>
            <w:vAlign w:val="center"/>
          </w:tcPr>
          <w:p>
            <w:r/>
            <w:r>
              <w:rPr>
                <w:rFonts w:ascii="Aptos" w:hAnsi="Aptos"/>
                <w:b w:val="0"/>
                <w:sz w:val="15"/>
              </w:rPr>
              <w:t>highband_ratio_deficit</w:t>
            </w:r>
          </w:p>
        </w:tc>
        <w:tc>
          <w:tcPr>
            <w:tcW w:type="dxa" w:w="2664"/>
            <w:vAlign w:val="center"/>
          </w:tcPr>
          <w:p>
            <w:r/>
            <w:r>
              <w:rPr>
                <w:rFonts w:ascii="Aptos" w:hAnsi="Aptos"/>
                <w:b w:val="0"/>
                <w:sz w:val="15"/>
              </w:rPr>
              <w:t>0.00056046</w:t>
            </w:r>
          </w:p>
        </w:tc>
        <w:tc>
          <w:tcPr>
            <w:tcW w:type="dxa" w:w="2664"/>
            <w:vAlign w:val="center"/>
          </w:tcPr>
          <w:p>
            <w:r/>
            <w:r>
              <w:rPr>
                <w:rFonts w:ascii="Aptos" w:hAnsi="Aptos"/>
                <w:b w:val="0"/>
                <w:sz w:val="15"/>
              </w:rPr>
              <w:t>0.00028623</w:t>
            </w:r>
          </w:p>
        </w:tc>
        <w:tc>
          <w:tcPr>
            <w:tcW w:type="dxa" w:w="2664"/>
            <w:vAlign w:val="center"/>
          </w:tcPr>
          <w:p>
            <w:r/>
            <w:r>
              <w:rPr>
                <w:rFonts w:ascii="Aptos" w:hAnsi="Aptos"/>
                <w:b w:val="0"/>
                <w:sz w:val="15"/>
              </w:rPr>
              <w:t>0–0.0010758</w:t>
            </w:r>
          </w:p>
        </w:tc>
      </w:tr>
      <w:tr>
        <w:tc>
          <w:tcPr>
            <w:tcW w:type="dxa" w:w="2664"/>
            <w:vAlign w:val="center"/>
            <w:shd w:fill="EAF0F5"/>
          </w:tcPr>
          <w:p>
            <w:r/>
            <w:r>
              <w:rPr>
                <w:rFonts w:ascii="Aptos" w:hAnsi="Aptos"/>
                <w:b w:val="0"/>
                <w:sz w:val="15"/>
              </w:rPr>
              <w:t>tilt_steepening_db_per_oct</w:t>
            </w:r>
          </w:p>
        </w:tc>
        <w:tc>
          <w:tcPr>
            <w:tcW w:type="dxa" w:w="2664"/>
            <w:vAlign w:val="center"/>
            <w:shd w:fill="EAF0F5"/>
          </w:tcPr>
          <w:p>
            <w:r/>
            <w:r>
              <w:rPr>
                <w:rFonts w:ascii="Aptos" w:hAnsi="Aptos"/>
                <w:b w:val="0"/>
                <w:sz w:val="15"/>
              </w:rPr>
              <w:t>0.074576</w:t>
            </w:r>
          </w:p>
        </w:tc>
        <w:tc>
          <w:tcPr>
            <w:tcW w:type="dxa" w:w="2664"/>
            <w:vAlign w:val="center"/>
            <w:shd w:fill="EAF0F5"/>
          </w:tcPr>
          <w:p>
            <w:r/>
            <w:r>
              <w:rPr>
                <w:rFonts w:ascii="Aptos" w:hAnsi="Aptos"/>
                <w:b w:val="0"/>
                <w:sz w:val="15"/>
              </w:rPr>
              <w:t>0.0029282</w:t>
            </w:r>
          </w:p>
        </w:tc>
        <w:tc>
          <w:tcPr>
            <w:tcW w:type="dxa" w:w="2664"/>
            <w:vAlign w:val="center"/>
            <w:shd w:fill="EAF0F5"/>
          </w:tcPr>
          <w:p>
            <w:r/>
            <w:r>
              <w:rPr>
                <w:rFonts w:ascii="Aptos" w:hAnsi="Aptos"/>
                <w:b w:val="0"/>
                <w:sz w:val="15"/>
              </w:rPr>
              <w:t>0–0.14616</w:t>
            </w:r>
          </w:p>
        </w:tc>
      </w:tr>
    </w:tbl>
    <w:p>
      <w:pPr>
        <w:pStyle w:val="Heading1"/>
        <w:spacing w:before="100" w:after="60"/>
      </w:pPr>
      <w:r>
        <w:rPr>
          <w:rFonts w:ascii="Aptos Display" w:hAnsi="Aptos Display"/>
          <w:color w:val="315B7D"/>
        </w:rPr>
        <w:t>8. Figure-package audit</w:t>
      </w:r>
    </w:p>
    <w:p>
      <w:pPr>
        <w:spacing w:after="60"/>
      </w:pPr>
      <w:r>
        <w:rPr>
          <w:rFonts w:ascii="Aptos" w:hAnsi="Aptos"/>
          <w:b w:val="0"/>
          <w:i w:val="0"/>
          <w:sz w:val="19"/>
        </w:rPr>
        <w:t>Twenty-two applicable bundles are complete: 14 main panels and eight deterministic label-blind signal examples. Each bundle contains 300-dpi PNG, SVG, PDF, source CSV, caption, and provenance JSON. Panel I is explicit N/A.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315B7D"/>
          </w:tcPr>
          <w:p>
            <w:r/>
            <w:r>
              <w:rPr>
                <w:rFonts w:ascii="Aptos" w:hAnsi="Aptos"/>
                <w:b/>
                <w:color w:val="FFFFFF"/>
                <w:sz w:val="15"/>
              </w:rPr>
              <w:t>Panel group</w:t>
            </w:r>
          </w:p>
        </w:tc>
        <w:tc>
          <w:tcPr>
            <w:tcW w:type="dxa" w:w="3552"/>
            <w:vAlign w:val="center"/>
            <w:shd w:fill="315B7D"/>
          </w:tcPr>
          <w:p>
            <w:r/>
            <w:r>
              <w:rPr>
                <w:rFonts w:ascii="Aptos" w:hAnsi="Aptos"/>
                <w:b/>
                <w:color w:val="FFFFFF"/>
                <w:sz w:val="15"/>
              </w:rPr>
              <w:t>Evidence</w:t>
            </w:r>
          </w:p>
        </w:tc>
        <w:tc>
          <w:tcPr>
            <w:tcW w:type="dxa" w:w="3552"/>
            <w:vAlign w:val="center"/>
            <w:shd w:fill="315B7D"/>
          </w:tcPr>
          <w:p>
            <w:r/>
            <w:r>
              <w:rPr>
                <w:rFonts w:ascii="Aptos" w:hAnsi="Aptos"/>
                <w:b/>
                <w:color w:val="FFFFFF"/>
                <w:sz w:val="15"/>
              </w:rPr>
              <w:t>Final status</w:t>
            </w:r>
          </w:p>
        </w:tc>
      </w:tr>
      <w:tr>
        <w:tc>
          <w:tcPr>
            <w:tcW w:type="dxa" w:w="3552"/>
            <w:vAlign w:val="center"/>
          </w:tcPr>
          <w:p>
            <w:r/>
            <w:r>
              <w:rPr>
                <w:rFonts w:ascii="Aptos" w:hAnsi="Aptos"/>
                <w:b w:val="0"/>
                <w:sz w:val="15"/>
              </w:rPr>
              <w:t>A–C</w:t>
            </w:r>
          </w:p>
        </w:tc>
        <w:tc>
          <w:tcPr>
            <w:tcW w:type="dxa" w:w="3552"/>
            <w:vAlign w:val="center"/>
          </w:tcPr>
          <w:p>
            <w:r/>
            <w:r>
              <w:rPr>
                <w:rFonts w:ascii="Aptos" w:hAnsi="Aptos"/>
                <w:b w:val="0"/>
                <w:sz w:val="15"/>
              </w:rPr>
              <w:t>Construct response, specificity, transformation contract</w:t>
            </w:r>
          </w:p>
        </w:tc>
        <w:tc>
          <w:tcPr>
            <w:tcW w:type="dxa" w:w="3552"/>
            <w:vAlign w:val="center"/>
          </w:tcPr>
          <w:p>
            <w:r/>
            <w:r>
              <w:rPr>
                <w:rFonts w:ascii="Aptos" w:hAnsi="Aptos"/>
                <w:b w:val="0"/>
                <w:sz w:val="15"/>
              </w:rPr>
              <w:t>Accepted as produced</w:t>
            </w:r>
          </w:p>
        </w:tc>
      </w:tr>
      <w:tr>
        <w:tc>
          <w:tcPr>
            <w:tcW w:type="dxa" w:w="3552"/>
            <w:vAlign w:val="center"/>
            <w:shd w:fill="EAF0F5"/>
          </w:tcPr>
          <w:p>
            <w:r/>
            <w:r>
              <w:rPr>
                <w:rFonts w:ascii="Aptos" w:hAnsi="Aptos"/>
                <w:b w:val="0"/>
                <w:sz w:val="15"/>
              </w:rPr>
              <w:t>D1–D3</w:t>
            </w:r>
          </w:p>
        </w:tc>
        <w:tc>
          <w:tcPr>
            <w:tcW w:type="dxa" w:w="3552"/>
            <w:vAlign w:val="center"/>
            <w:shd w:fill="EAF0F5"/>
          </w:tcPr>
          <w:p>
            <w:r/>
            <w:r>
              <w:rPr>
                <w:rFonts w:ascii="Aptos" w:hAnsi="Aptos"/>
                <w:b w:val="0"/>
                <w:sz w:val="15"/>
              </w:rPr>
              <w:t>Target support, reference support, native bandwidth</w:t>
            </w:r>
          </w:p>
        </w:tc>
        <w:tc>
          <w:tcPr>
            <w:tcW w:type="dxa" w:w="3552"/>
            <w:vAlign w:val="center"/>
            <w:shd w:fill="EAF0F5"/>
          </w:tcPr>
          <w:p>
            <w:r/>
            <w:r>
              <w:rPr>
                <w:rFonts w:ascii="Aptos" w:hAnsi="Aptos"/>
                <w:b w:val="0"/>
                <w:sz w:val="15"/>
              </w:rPr>
              <w:t>Accepted as produced</w:t>
            </w:r>
          </w:p>
        </w:tc>
      </w:tr>
      <w:tr>
        <w:tc>
          <w:tcPr>
            <w:tcW w:type="dxa" w:w="3552"/>
            <w:vAlign w:val="center"/>
          </w:tcPr>
          <w:p>
            <w:r/>
            <w:r>
              <w:rPr>
                <w:rFonts w:ascii="Aptos" w:hAnsi="Aptos"/>
                <w:b w:val="0"/>
                <w:sz w:val="15"/>
              </w:rPr>
              <w:t>E1–E3</w:t>
            </w:r>
          </w:p>
        </w:tc>
        <w:tc>
          <w:tcPr>
            <w:tcW w:type="dxa" w:w="3552"/>
            <w:vAlign w:val="center"/>
          </w:tcPr>
          <w:p>
            <w:r/>
            <w:r>
              <w:rPr>
                <w:rFonts w:ascii="Aptos" w:hAnsi="Aptos"/>
                <w:b w:val="0"/>
                <w:sz w:val="15"/>
              </w:rPr>
              <w:t>Target, reference, and parameter sensitivity</w:t>
            </w:r>
          </w:p>
        </w:tc>
        <w:tc>
          <w:tcPr>
            <w:tcW w:type="dxa" w:w="3552"/>
            <w:vAlign w:val="center"/>
          </w:tcPr>
          <w:p>
            <w:r/>
            <w:r>
              <w:rPr>
                <w:rFonts w:ascii="Aptos" w:hAnsi="Aptos"/>
                <w:b w:val="0"/>
                <w:sz w:val="15"/>
              </w:rPr>
              <w:t>Regenerated with median + p95 evidence</w:t>
            </w:r>
          </w:p>
        </w:tc>
      </w:tr>
      <w:tr>
        <w:tc>
          <w:tcPr>
            <w:tcW w:type="dxa" w:w="3552"/>
            <w:vAlign w:val="center"/>
            <w:shd w:fill="EAF0F5"/>
          </w:tcPr>
          <w:p>
            <w:r/>
            <w:r>
              <w:rPr>
                <w:rFonts w:ascii="Aptos" w:hAnsi="Aptos"/>
                <w:b w:val="0"/>
                <w:sz w:val="15"/>
              </w:rPr>
              <w:t>F</w:t>
            </w:r>
          </w:p>
        </w:tc>
        <w:tc>
          <w:tcPr>
            <w:tcW w:type="dxa" w:w="3552"/>
            <w:vAlign w:val="center"/>
            <w:shd w:fill="EAF0F5"/>
          </w:tcPr>
          <w:p>
            <w:r/>
            <w:r>
              <w:rPr>
                <w:rFonts w:ascii="Aptos" w:hAnsi="Aptos"/>
                <w:b w:val="0"/>
                <w:sz w:val="15"/>
              </w:rPr>
              <w:t>Empirical distributions and zero masses</w:t>
            </w:r>
          </w:p>
        </w:tc>
        <w:tc>
          <w:tcPr>
            <w:tcW w:type="dxa" w:w="3552"/>
            <w:vAlign w:val="center"/>
            <w:shd w:fill="EAF0F5"/>
          </w:tcPr>
          <w:p>
            <w:r/>
            <w:r>
              <w:rPr>
                <w:rFonts w:ascii="Aptos" w:hAnsi="Aptos"/>
                <w:b w:val="0"/>
                <w:sz w:val="15"/>
              </w:rPr>
              <w:t>Accepted as produced</w:t>
            </w:r>
          </w:p>
        </w:tc>
      </w:tr>
      <w:tr>
        <w:tc>
          <w:tcPr>
            <w:tcW w:type="dxa" w:w="3552"/>
            <w:vAlign w:val="center"/>
          </w:tcPr>
          <w:p>
            <w:r/>
            <w:r>
              <w:rPr>
                <w:rFonts w:ascii="Aptos" w:hAnsi="Aptos"/>
                <w:b w:val="0"/>
                <w:sz w:val="15"/>
              </w:rPr>
              <w:t>G</w:t>
            </w:r>
          </w:p>
        </w:tc>
        <w:tc>
          <w:tcPr>
            <w:tcW w:type="dxa" w:w="3552"/>
            <w:vAlign w:val="center"/>
          </w:tcPr>
          <w:p>
            <w:r/>
            <w:r>
              <w:rPr>
                <w:rFonts w:ascii="Aptos" w:hAnsi="Aptos"/>
                <w:b w:val="0"/>
                <w:sz w:val="15"/>
              </w:rPr>
              <w:t>Eight linked waveform/spectrogram/LTAS examples</w:t>
            </w:r>
          </w:p>
        </w:tc>
        <w:tc>
          <w:tcPr>
            <w:tcW w:type="dxa" w:w="3552"/>
            <w:vAlign w:val="center"/>
          </w:tcPr>
          <w:p>
            <w:r/>
            <w:r>
              <w:rPr>
                <w:rFonts w:ascii="Aptos" w:hAnsi="Aptos"/>
                <w:b w:val="0"/>
                <w:sz w:val="15"/>
              </w:rPr>
              <w:t>Accepted after R2/R3 contracts</w:t>
            </w:r>
          </w:p>
        </w:tc>
      </w:tr>
      <w:tr>
        <w:tc>
          <w:tcPr>
            <w:tcW w:type="dxa" w:w="3552"/>
            <w:vAlign w:val="center"/>
            <w:shd w:fill="EAF0F5"/>
          </w:tcPr>
          <w:p>
            <w:r/>
            <w:r>
              <w:rPr>
                <w:rFonts w:ascii="Aptos" w:hAnsi="Aptos"/>
                <w:b w:val="0"/>
                <w:sz w:val="15"/>
              </w:rPr>
              <w:t>H1</w:t>
            </w:r>
          </w:p>
        </w:tc>
        <w:tc>
          <w:tcPr>
            <w:tcW w:type="dxa" w:w="3552"/>
            <w:vAlign w:val="center"/>
            <w:shd w:fill="EAF0F5"/>
          </w:tcPr>
          <w:p>
            <w:r/>
            <w:r>
              <w:rPr>
                <w:rFonts w:ascii="Aptos" w:hAnsi="Aptos"/>
                <w:b w:val="0"/>
                <w:sz w:val="15"/>
              </w:rPr>
              <w:t>Repeated-recording persistence</w:t>
            </w:r>
          </w:p>
        </w:tc>
        <w:tc>
          <w:tcPr>
            <w:tcW w:type="dxa" w:w="3552"/>
            <w:vAlign w:val="center"/>
            <w:shd w:fill="EAF0F5"/>
          </w:tcPr>
          <w:p>
            <w:r/>
            <w:r>
              <w:rPr>
                <w:rFonts w:ascii="Aptos" w:hAnsi="Aptos"/>
                <w:b w:val="0"/>
                <w:sz w:val="15"/>
              </w:rPr>
              <w:t>Regenerated with participant-bootstrap CIs</w:t>
            </w:r>
          </w:p>
        </w:tc>
      </w:tr>
      <w:tr>
        <w:tc>
          <w:tcPr>
            <w:tcW w:type="dxa" w:w="3552"/>
            <w:vAlign w:val="center"/>
          </w:tcPr>
          <w:p>
            <w:r/>
            <w:r>
              <w:rPr>
                <w:rFonts w:ascii="Aptos" w:hAnsi="Aptos"/>
                <w:b w:val="0"/>
                <w:sz w:val="15"/>
              </w:rPr>
              <w:t>H2</w:t>
            </w:r>
          </w:p>
        </w:tc>
        <w:tc>
          <w:tcPr>
            <w:tcW w:type="dxa" w:w="3552"/>
            <w:vAlign w:val="center"/>
          </w:tcPr>
          <w:p>
            <w:r/>
            <w:r>
              <w:rPr>
                <w:rFonts w:ascii="Aptos" w:hAnsi="Aptos"/>
                <w:b w:val="0"/>
                <w:sz w:val="15"/>
              </w:rPr>
              <w:t>Redundancy and signed/truncated behavior</w:t>
            </w:r>
          </w:p>
        </w:tc>
        <w:tc>
          <w:tcPr>
            <w:tcW w:type="dxa" w:w="3552"/>
            <w:vAlign w:val="center"/>
          </w:tcPr>
          <w:p>
            <w:r/>
            <w:r>
              <w:rPr>
                <w:rFonts w:ascii="Aptos" w:hAnsi="Aptos"/>
                <w:b w:val="0"/>
                <w:sz w:val="15"/>
              </w:rPr>
              <w:t>Accepted as produced</w:t>
            </w:r>
          </w:p>
        </w:tc>
      </w:tr>
      <w:tr>
        <w:tc>
          <w:tcPr>
            <w:tcW w:type="dxa" w:w="3552"/>
            <w:vAlign w:val="center"/>
            <w:shd w:fill="EAF0F5"/>
          </w:tcPr>
          <w:p>
            <w:r/>
            <w:r>
              <w:rPr>
                <w:rFonts w:ascii="Aptos" w:hAnsi="Aptos"/>
                <w:b w:val="0"/>
                <w:sz w:val="15"/>
              </w:rPr>
              <w:t>H3</w:t>
            </w:r>
          </w:p>
        </w:tc>
        <w:tc>
          <w:tcPr>
            <w:tcW w:type="dxa" w:w="3552"/>
            <w:vAlign w:val="center"/>
            <w:shd w:fill="EAF0F5"/>
          </w:tcPr>
          <w:p>
            <w:r/>
            <w:r>
              <w:rPr>
                <w:rFonts w:ascii="Aptos" w:hAnsi="Aptos"/>
                <w:b w:val="0"/>
                <w:sz w:val="15"/>
              </w:rPr>
              <w:t>Recording vs participant weighting</w:t>
            </w:r>
          </w:p>
        </w:tc>
        <w:tc>
          <w:tcPr>
            <w:tcW w:type="dxa" w:w="3552"/>
            <w:vAlign w:val="center"/>
            <w:shd w:fill="EAF0F5"/>
          </w:tcPr>
          <w:p>
            <w:r/>
            <w:r>
              <w:rPr>
                <w:rFonts w:ascii="Aptos" w:hAnsi="Aptos"/>
                <w:b w:val="0"/>
                <w:sz w:val="15"/>
              </w:rPr>
              <w:t>Regenerated with 95% intervals</w:t>
            </w:r>
          </w:p>
        </w:tc>
      </w:tr>
      <w:tr>
        <w:tc>
          <w:tcPr>
            <w:tcW w:type="dxa" w:w="3552"/>
            <w:vAlign w:val="center"/>
          </w:tcPr>
          <w:p>
            <w:r/>
            <w:r>
              <w:rPr>
                <w:rFonts w:ascii="Aptos" w:hAnsi="Aptos"/>
                <w:b w:val="0"/>
                <w:sz w:val="15"/>
              </w:rPr>
              <w:t>I</w:t>
            </w:r>
          </w:p>
        </w:tc>
        <w:tc>
          <w:tcPr>
            <w:tcW w:type="dxa" w:w="3552"/>
            <w:vAlign w:val="center"/>
          </w:tcPr>
          <w:p>
            <w:r/>
            <w:r>
              <w:rPr>
                <w:rFonts w:ascii="Aptos" w:hAnsi="Aptos"/>
                <w:b w:val="0"/>
                <w:sz w:val="15"/>
              </w:rPr>
              <w:t>Event verification</w:t>
            </w:r>
          </w:p>
        </w:tc>
        <w:tc>
          <w:tcPr>
            <w:tcW w:type="dxa" w:w="3552"/>
            <w:vAlign w:val="center"/>
          </w:tcPr>
          <w:p>
            <w:r/>
            <w:r>
              <w:rPr>
                <w:rFonts w:ascii="Aptos" w:hAnsi="Aptos"/>
                <w:b w:val="0"/>
                <w:sz w:val="15"/>
              </w:rPr>
              <w:t>N/A — no retained detector</w:t>
            </w:r>
          </w:p>
        </w:tc>
      </w:tr>
      <w:tr>
        <w:tc>
          <w:tcPr>
            <w:tcW w:type="dxa" w:w="3552"/>
            <w:vAlign w:val="center"/>
            <w:shd w:fill="EAF0F5"/>
          </w:tcPr>
          <w:p>
            <w:r/>
            <w:r>
              <w:rPr>
                <w:rFonts w:ascii="Aptos" w:hAnsi="Aptos"/>
                <w:b w:val="0"/>
                <w:sz w:val="15"/>
              </w:rPr>
              <w:t>J</w:t>
            </w:r>
          </w:p>
        </w:tc>
        <w:tc>
          <w:tcPr>
            <w:tcW w:type="dxa" w:w="3552"/>
            <w:vAlign w:val="center"/>
            <w:shd w:fill="EAF0F5"/>
          </w:tcPr>
          <w:p>
            <w:r/>
            <w:r>
              <w:rPr>
                <w:rFonts w:ascii="Aptos" w:hAnsi="Aptos"/>
                <w:b w:val="0"/>
                <w:sz w:val="15"/>
              </w:rPr>
              <w:t>Support-aware non-imputed ML handoff</w:t>
            </w:r>
          </w:p>
        </w:tc>
        <w:tc>
          <w:tcPr>
            <w:tcW w:type="dxa" w:w="3552"/>
            <w:vAlign w:val="center"/>
            <w:shd w:fill="EAF0F5"/>
          </w:tcPr>
          <w:p>
            <w:r/>
            <w:r>
              <w:rPr>
                <w:rFonts w:ascii="Aptos" w:hAnsi="Aptos"/>
                <w:b w:val="0"/>
                <w:sz w:val="15"/>
              </w:rPr>
              <w:t>Accepted as produced</w:t>
            </w:r>
          </w:p>
        </w:tc>
      </w:tr>
    </w:tbl>
    <w:p>
      <w:pPr>
        <w:pStyle w:val="Heading1"/>
        <w:spacing w:before="100" w:after="60"/>
      </w:pPr>
      <w:r>
        <w:rPr>
          <w:rFonts w:ascii="Aptos Display" w:hAnsi="Aptos Display"/>
          <w:color w:val="315B7D"/>
        </w:rPr>
        <w:t>9. Downstream analysis contract</w:t>
      </w:r>
    </w:p>
    <w:p>
      <w:pPr>
        <w:ind w:left="259" w:hanging="173"/>
      </w:pPr>
      <w:r>
        <w:rPr>
          <w:rFonts w:ascii="Aptos" w:hAnsi="Aptos"/>
          <w:sz w:val="18"/>
        </w:rPr>
        <w:t>• Use LTAS distance, rolloff-95 deficit, and high-band ratio deficit in the default manuscript set; retain tilt steepening as exploratory.</w:t>
      </w:r>
    </w:p>
    <w:p>
      <w:pPr>
        <w:ind w:left="259" w:hanging="173"/>
      </w:pPr>
      <w:r>
        <w:rPr>
          <w:rFonts w:ascii="Aptos" w:hAnsi="Aptos"/>
          <w:sz w:val="18"/>
        </w:rPr>
        <w:t>• Carry support, target status, source sample rate/Nyquist, reference counts, task, reference vintage, and signed precursors with every value.</w:t>
      </w:r>
    </w:p>
    <w:p>
      <w:pPr>
        <w:ind w:left="259" w:hanging="173"/>
      </w:pPr>
      <w:r>
        <w:rPr>
          <w:rFonts w:ascii="Aptos" w:hAnsi="Aptos"/>
          <w:sz w:val="18"/>
        </w:rPr>
        <w:t>• Treat one-sided zeros as signed equal-or-upward cases, not as proof that no channel effect exists.</w:t>
      </w:r>
    </w:p>
    <w:p>
      <w:pPr>
        <w:ind w:left="259" w:hanging="173"/>
      </w:pPr>
      <w:r>
        <w:rPr>
          <w:rFonts w:ascii="Aptos" w:hAnsi="Aptos"/>
          <w:sz w:val="18"/>
        </w:rPr>
        <w:t>• Do not zero-impute missingness, build a QCHAN scalar, or define a standalone exclusion threshold.</w:t>
      </w:r>
    </w:p>
    <w:p>
      <w:pPr>
        <w:ind w:left="259" w:hanging="173"/>
      </w:pPr>
      <w:r>
        <w:rPr>
          <w:rFonts w:ascii="Aptos" w:hAnsi="Aptos"/>
          <w:sz w:val="18"/>
        </w:rPr>
        <w:t>• Use participant-aware splitting and participant-balanced sensitivity analyses downstream.</w:t>
      </w:r>
    </w:p>
    <w:p>
      <w:pPr>
        <w:ind w:left="259" w:hanging="173"/>
      </w:pPr>
      <w:r>
        <w:rPr>
          <w:rFonts w:ascii="Aptos" w:hAnsi="Aptos"/>
          <w:sz w:val="18"/>
        </w:rPr>
        <w:t>• Any estimator or reference-vintage change requires a new semantic measurement version.</w:t>
      </w:r>
    </w:p>
    <w:p>
      <w:pPr>
        <w:pStyle w:val="Heading1"/>
        <w:spacing w:before="100" w:after="60"/>
      </w:pPr>
      <w:r>
        <w:rPr>
          <w:rFonts w:ascii="Aptos Display" w:hAnsi="Aptos Display"/>
          <w:color w:val="315B7D"/>
        </w:rPr>
        <w:t>10. Final acceptance</w:t>
      </w:r>
    </w:p>
    <w:p>
      <w:pPr>
        <w:spacing w:after="160"/>
      </w:pPr>
      <w:r>
        <w:rPr>
          <w:rFonts w:ascii="Aptos" w:hAnsi="Aptos"/>
          <w:b/>
          <w:i w:val="0"/>
          <w:color w:val="226E43"/>
          <w:sz w:val="20"/>
        </w:rPr>
        <w:t>QCHAN v4.0.0 is accepted as scientifically defensible, numerically auditable, reference-governed, and publication-ready within its claim boundaries. Finalization is authorized without rerunning audio extraction. The numerical measurement and standardized figure package must be frozen separately and atomically.</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315B7D"/>
          </w:tcPr>
          <w:p>
            <w:r/>
            <w:r>
              <w:rPr>
                <w:rFonts w:ascii="Aptos" w:hAnsi="Aptos"/>
                <w:b/>
                <w:color w:val="FFFFFF"/>
                <w:sz w:val="16"/>
              </w:rPr>
              <w:t>Release item</w:t>
            </w:r>
          </w:p>
        </w:tc>
        <w:tc>
          <w:tcPr>
            <w:tcW w:type="dxa" w:w="5328"/>
            <w:vAlign w:val="center"/>
            <w:shd w:fill="315B7D"/>
          </w:tcPr>
          <w:p>
            <w:r/>
            <w:r>
              <w:rPr>
                <w:rFonts w:ascii="Aptos" w:hAnsi="Aptos"/>
                <w:b/>
                <w:color w:val="FFFFFF"/>
                <w:sz w:val="16"/>
              </w:rPr>
              <w:t>Final value</w:t>
            </w:r>
          </w:p>
        </w:tc>
      </w:tr>
      <w:tr>
        <w:tc>
          <w:tcPr>
            <w:tcW w:type="dxa" w:w="5328"/>
            <w:vAlign w:val="center"/>
          </w:tcPr>
          <w:p>
            <w:r/>
            <w:r>
              <w:rPr>
                <w:rFonts w:ascii="Aptos" w:hAnsi="Aptos"/>
                <w:b w:val="0"/>
                <w:sz w:val="16"/>
              </w:rPr>
              <w:t>Measurement version</w:t>
            </w:r>
          </w:p>
        </w:tc>
        <w:tc>
          <w:tcPr>
            <w:tcW w:type="dxa" w:w="5328"/>
            <w:vAlign w:val="center"/>
          </w:tcPr>
          <w:p>
            <w:r/>
            <w:r>
              <w:rPr>
                <w:rFonts w:ascii="Aptos" w:hAnsi="Aptos"/>
                <w:b w:val="0"/>
                <w:sz w:val="16"/>
              </w:rPr>
              <w:t>qchan-v4.0.0</w:t>
            </w:r>
          </w:p>
        </w:tc>
      </w:tr>
      <w:tr>
        <w:tc>
          <w:tcPr>
            <w:tcW w:type="dxa" w:w="5328"/>
            <w:vAlign w:val="center"/>
            <w:shd w:fill="EAF0F5"/>
          </w:tcPr>
          <w:p>
            <w:r/>
            <w:r>
              <w:rPr>
                <w:rFonts w:ascii="Aptos" w:hAnsi="Aptos"/>
                <w:b w:val="0"/>
                <w:sz w:val="16"/>
              </w:rPr>
              <w:t>Default manuscript features</w:t>
            </w:r>
          </w:p>
        </w:tc>
        <w:tc>
          <w:tcPr>
            <w:tcW w:type="dxa" w:w="5328"/>
            <w:vAlign w:val="center"/>
            <w:shd w:fill="EAF0F5"/>
          </w:tcPr>
          <w:p>
            <w:r/>
            <w:r>
              <w:rPr>
                <w:rFonts w:ascii="Aptos" w:hAnsi="Aptos"/>
                <w:b w:val="0"/>
                <w:sz w:val="16"/>
              </w:rPr>
              <w:t>LTAS distance; rolloff-95 deficit; high-band ratio deficit</w:t>
            </w:r>
          </w:p>
        </w:tc>
      </w:tr>
      <w:tr>
        <w:tc>
          <w:tcPr>
            <w:tcW w:type="dxa" w:w="5328"/>
            <w:vAlign w:val="center"/>
          </w:tcPr>
          <w:p>
            <w:r/>
            <w:r>
              <w:rPr>
                <w:rFonts w:ascii="Aptos" w:hAnsi="Aptos"/>
                <w:b w:val="0"/>
                <w:sz w:val="16"/>
              </w:rPr>
              <w:t>Exploratory feature</w:t>
            </w:r>
          </w:p>
        </w:tc>
        <w:tc>
          <w:tcPr>
            <w:tcW w:type="dxa" w:w="5328"/>
            <w:vAlign w:val="center"/>
          </w:tcPr>
          <w:p>
            <w:r/>
            <w:r>
              <w:rPr>
                <w:rFonts w:ascii="Aptos" w:hAnsi="Aptos"/>
                <w:b w:val="0"/>
                <w:sz w:val="16"/>
              </w:rPr>
              <w:t>Tilt steepening</w:t>
            </w:r>
          </w:p>
        </w:tc>
      </w:tr>
      <w:tr>
        <w:tc>
          <w:tcPr>
            <w:tcW w:type="dxa" w:w="5328"/>
            <w:vAlign w:val="center"/>
            <w:shd w:fill="EAF0F5"/>
          </w:tcPr>
          <w:p>
            <w:r/>
            <w:r>
              <w:rPr>
                <w:rFonts w:ascii="Aptos" w:hAnsi="Aptos"/>
                <w:b w:val="0"/>
                <w:sz w:val="16"/>
              </w:rPr>
              <w:t>Reference vintage</w:t>
            </w:r>
          </w:p>
        </w:tc>
        <w:tc>
          <w:tcPr>
            <w:tcW w:type="dxa" w:w="5328"/>
            <w:vAlign w:val="center"/>
            <w:shd w:fill="EAF0F5"/>
          </w:tcPr>
          <w:p>
            <w:r/>
            <w:r>
              <w:rPr>
                <w:rFonts w:ascii="Aptos" w:hAnsi="Aptos"/>
                <w:b w:val="0"/>
                <w:sz w:val="16"/>
              </w:rPr>
              <w:t>74c0b334f69b5b7aa5d5fd8919810bbf8e40c7991f4485b754fcfabf0acd622e</w:t>
            </w:r>
          </w:p>
        </w:tc>
      </w:tr>
      <w:tr>
        <w:tc>
          <w:tcPr>
            <w:tcW w:type="dxa" w:w="5328"/>
            <w:vAlign w:val="center"/>
          </w:tcPr>
          <w:p>
            <w:r/>
            <w:r>
              <w:rPr>
                <w:rFonts w:ascii="Aptos" w:hAnsi="Aptos"/>
                <w:b w:val="0"/>
                <w:sz w:val="16"/>
              </w:rPr>
              <w:t>Expected tests</w:t>
            </w:r>
          </w:p>
        </w:tc>
        <w:tc>
          <w:tcPr>
            <w:tcW w:type="dxa" w:w="5328"/>
            <w:vAlign w:val="center"/>
          </w:tcPr>
          <w:p>
            <w:r/>
            <w:r>
              <w:rPr>
                <w:rFonts w:ascii="Aptos" w:hAnsi="Aptos"/>
                <w:b w:val="0"/>
                <w:sz w:val="16"/>
              </w:rPr>
              <w:t>47 passed</w:t>
            </w:r>
          </w:p>
        </w:tc>
      </w:tr>
      <w:tr>
        <w:tc>
          <w:tcPr>
            <w:tcW w:type="dxa" w:w="5328"/>
            <w:vAlign w:val="center"/>
            <w:shd w:fill="EAF0F5"/>
          </w:tcPr>
          <w:p>
            <w:r/>
            <w:r>
              <w:rPr>
                <w:rFonts w:ascii="Aptos" w:hAnsi="Aptos"/>
                <w:b w:val="0"/>
                <w:sz w:val="16"/>
              </w:rPr>
              <w:t>Freeze order</w:t>
            </w:r>
          </w:p>
        </w:tc>
        <w:tc>
          <w:tcPr>
            <w:tcW w:type="dxa" w:w="5328"/>
            <w:vAlign w:val="center"/>
            <w:shd w:fill="EAF0F5"/>
          </w:tcPr>
          <w:p>
            <w:r/>
            <w:r>
              <w:rPr>
                <w:rFonts w:ascii="Aptos" w:hAnsi="Aptos"/>
                <w:b w:val="0"/>
                <w:sz w:val="16"/>
              </w:rPr>
              <w:t>Numerical measurement first; standardized figure package second</w:t>
            </w:r>
          </w:p>
        </w:tc>
      </w:tr>
    </w:tbl>
    <w:sectPr w:rsidR="00FC693F" w:rsidRPr="0006063C" w:rsidSect="00034616">
      <w:headerReference w:type="default" r:id="rId9"/>
      <w:footerReference w:type="default" r:id="rId10"/>
      <w:pgSz w:w="12240" w:h="15840"/>
      <w:pgMar w:top="691" w:right="792" w:bottom="691" w:left="792"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Finalized 2026-08-04  •  Measurement values unchanged from completed cohort candidate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QCHAN v4.0.0  |  Final scientific evaluation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