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E2_29/2022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 Dusanka</w:t>
      </w:r>
      <w:r>
        <w:rPr>
          <w:b w:val="false"/>
          <w:bCs w:val="false"/>
          <w:sz w:val="22"/>
          <w:szCs w:val="22"/>
        </w:rPr>
        <w:t xml:space="preserve"> disk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Western Digital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WD10SPZX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718037845319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Sanja Drinic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66</Words>
  <Characters>438</Characters>
  <CharactersWithSpaces>481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2023-03-06T15:03:40Z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