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C6D32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程序源代码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：</w:t>
      </w:r>
    </w:p>
    <w:p w14:paraId="10690D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</w:pPr>
      <w:r>
        <w:rPr>
          <w:rFonts w:hint="eastAsia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文件一：</w:t>
      </w:r>
    </w:p>
    <w:p w14:paraId="6F5FF8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clc; clear; close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all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;</w:t>
      </w:r>
    </w:p>
    <w:p w14:paraId="530755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</w:p>
    <w:p w14:paraId="0818D4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时间范围</w:t>
      </w:r>
    </w:p>
    <w:p w14:paraId="1E315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t = linspace(0, 10, 200);</w:t>
      </w:r>
    </w:p>
    <w:p w14:paraId="0835FE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</w:p>
    <w:p w14:paraId="47EC89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两条线（可以根据需要调整斜率和截距）</w:t>
      </w:r>
    </w:p>
    <w:p w14:paraId="65512C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g_f = 0.5*t + 2;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上方线 g(f)</w:t>
      </w:r>
    </w:p>
    <w:p w14:paraId="387C43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g_c = 0.3*t + 1;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下方线 g(c)</w:t>
      </w:r>
    </w:p>
    <w:p w14:paraId="0FD2AE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</w:p>
    <w:p w14:paraId="43FD66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区间 [t_i, t_j]</w:t>
      </w:r>
    </w:p>
    <w:p w14:paraId="2A405D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t_i = 3;</w:t>
      </w:r>
    </w:p>
    <w:p w14:paraId="337500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t_j = 7;</w:t>
      </w:r>
    </w:p>
    <w:p w14:paraId="4E760A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</w:p>
    <w:p w14:paraId="7A7B47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绘图</w:t>
      </w:r>
    </w:p>
    <w:p w14:paraId="337A7B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figure; hold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;</w:t>
      </w:r>
    </w:p>
    <w:p w14:paraId="73B3B8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</w:p>
    <w:p w14:paraId="19A384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画两条线</w:t>
      </w:r>
    </w:p>
    <w:p w14:paraId="55DED1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plot(t, g_f,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'k'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'LineWidth'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, 1.5);</w:t>
      </w:r>
    </w:p>
    <w:p w14:paraId="4E9B86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plot(t, g_c,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'k'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'LineWidth'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, 1.5);</w:t>
      </w:r>
    </w:p>
    <w:p w14:paraId="5C4CF5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</w:p>
    <w:p w14:paraId="0B5EE5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找到区间内的点</w:t>
      </w:r>
    </w:p>
    <w:p w14:paraId="03862C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idx = (t &gt;= t_i) &amp; (t &lt;= t_j);</w:t>
      </w:r>
    </w:p>
    <w:p w14:paraId="4E9800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</w:p>
    <w:p w14:paraId="474CC2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填充区域（斜线效果用 hatch 或简单透明代替）</w:t>
      </w:r>
    </w:p>
    <w:p w14:paraId="0C7C00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fill([t(idx), fliplr(t(idx))],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E00FF"/>
          <w:kern w:val="0"/>
          <w:sz w:val="18"/>
          <w:szCs w:val="18"/>
          <w:bdr w:val="none" w:color="auto" w:sz="0" w:space="0"/>
          <w:lang w:val="en-US" w:eastAsia="zh-CN" w:bidi="ar"/>
        </w:rPr>
        <w:t>...</w:t>
      </w:r>
    </w:p>
    <w:p w14:paraId="269902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[g_f(idx), fliplr(g_c(idx))],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E00FF"/>
          <w:kern w:val="0"/>
          <w:sz w:val="18"/>
          <w:szCs w:val="18"/>
          <w:bdr w:val="none" w:color="auto" w:sz="0" w:space="0"/>
          <w:lang w:val="en-US" w:eastAsia="zh-CN" w:bidi="ar"/>
        </w:rPr>
        <w:t>...</w:t>
      </w:r>
    </w:p>
    <w:p w14:paraId="7F4F2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[0.8 0.8 0.8],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'EdgeColor'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'none'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'FaceAlpha'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, 0.5);</w:t>
      </w:r>
    </w:p>
    <w:p w14:paraId="1ABE6C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</w:p>
    <w:p w14:paraId="5DAFD7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画竖线 ti 和 tj</w:t>
      </w:r>
    </w:p>
    <w:p w14:paraId="6A421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plot([t_i t_i], [0 g_f(find(t&gt;=t_i,1))],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'k--'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);</w:t>
      </w:r>
    </w:p>
    <w:p w14:paraId="708DBC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plot([t_j t_j], [0 g_f(find(t&gt;=t_j,1))],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'k--'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);</w:t>
      </w:r>
    </w:p>
    <w:p w14:paraId="5C27D6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</w:p>
    <w:p w14:paraId="6CD3CD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坐标轴</w:t>
      </w:r>
    </w:p>
    <w:p w14:paraId="0E960A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xlabel(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't'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);</w:t>
      </w:r>
    </w:p>
    <w:p w14:paraId="0300F1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ylabel(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'F / C'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);</w:t>
      </w:r>
    </w:p>
    <w:p w14:paraId="528334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</w:p>
    <w:p w14:paraId="28C33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标注</w:t>
      </w:r>
    </w:p>
    <w:p w14:paraId="4A0E5D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text(8, g_f(end),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'g(f)'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);</w:t>
      </w:r>
    </w:p>
    <w:p w14:paraId="6701D1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text(8, g_c(end),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'g(c)'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);</w:t>
      </w:r>
    </w:p>
    <w:p w14:paraId="1ED26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text(t_i, -0.5,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't_i'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'HorizontalAlignment'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'center'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);</w:t>
      </w:r>
    </w:p>
    <w:p w14:paraId="453B74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text(t_j, -0.5,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't_j'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'HorizontalAlignment'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'center'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);</w:t>
      </w:r>
    </w:p>
    <w:p w14:paraId="34637F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</w:p>
    <w:p w14:paraId="48FCF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轴样式</w:t>
      </w:r>
    </w:p>
    <w:p w14:paraId="2676F3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xlim([0 10]);</w:t>
      </w:r>
    </w:p>
    <w:p w14:paraId="09569D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ylim([0 8]);</w:t>
      </w:r>
    </w:p>
    <w:p w14:paraId="46B265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box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;</w:t>
      </w:r>
    </w:p>
    <w:p w14:paraId="415AE5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</w:p>
    <w:p w14:paraId="1A0CB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'养老保险现金流示意图'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);</w:t>
      </w:r>
    </w:p>
    <w:p w14:paraId="231958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</w:p>
    <w:p w14:paraId="511C2C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off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;</w:t>
      </w:r>
    </w:p>
    <w:p w14:paraId="6F09004A">
      <w:bookmarkStart w:id="0" w:name="_GoBack"/>
      <w:bookmarkEnd w:id="0"/>
    </w:p>
    <w:p w14:paraId="75757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文件二：</w:t>
      </w:r>
    </w:p>
    <w:p w14:paraId="0C2155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clc; clear; close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all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02974B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</w:p>
    <w:p w14:paraId="66D81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===== 常数 =====</w:t>
      </w:r>
    </w:p>
    <w:p w14:paraId="27095B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e = 1.602e-19;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电子电荷</w:t>
      </w:r>
    </w:p>
    <w:p w14:paraId="428D13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k = 1.381e-23;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玻尔兹曼常数</w:t>
      </w:r>
    </w:p>
    <w:p w14:paraId="6E216E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T = 300;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温度</w:t>
      </w:r>
    </w:p>
    <w:p w14:paraId="35E212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beta = 2; </w:t>
      </w:r>
    </w:p>
    <w:p w14:paraId="497AE9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I0 = 1e-6;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稍微调大一点更容易看清</w:t>
      </w:r>
    </w:p>
    <w:p w14:paraId="2FD9F1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</w:p>
    <w:p w14:paraId="25A488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===== 电压范围 =====</w:t>
      </w:r>
    </w:p>
    <w:p w14:paraId="6EBB49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V = linspace(-3, 2, 600);</w:t>
      </w:r>
    </w:p>
    <w:p w14:paraId="1CA0AB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</w:p>
    <w:p w14:paraId="4607AE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===== 分段模型 =====</w:t>
      </w:r>
    </w:p>
    <w:p w14:paraId="66F4C3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I = zeros(size(V));</w:t>
      </w:r>
    </w:p>
    <w:p w14:paraId="154614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</w:p>
    <w:p w14:paraId="09DC24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E00FF"/>
          <w:kern w:val="0"/>
          <w:sz w:val="21"/>
          <w:szCs w:val="21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i = 1:length(V)</w:t>
      </w:r>
    </w:p>
    <w:p w14:paraId="31A937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E00FF"/>
          <w:kern w:val="0"/>
          <w:sz w:val="21"/>
          <w:szCs w:val="21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V(i) &gt;= 0</w:t>
      </w:r>
    </w:p>
    <w:p w14:paraId="4296A9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正向（Shockley）</w:t>
      </w:r>
    </w:p>
    <w:p w14:paraId="43DDDB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I(i) = I0 * (exp(e*V(i)/(beta*k*T)) - 1);</w:t>
      </w:r>
    </w:p>
    <w:p w14:paraId="4A3A55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E00FF"/>
          <w:kern w:val="0"/>
          <w:sz w:val="21"/>
          <w:szCs w:val="21"/>
          <w:bdr w:val="none" w:color="auto" w:sz="0" w:space="0"/>
          <w:lang w:val="en-US" w:eastAsia="zh-CN" w:bidi="ar"/>
        </w:rPr>
        <w:t xml:space="preserve">elseif 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V(i) &gt; -1</w:t>
      </w:r>
    </w:p>
    <w:p w14:paraId="655015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小反向（缓慢变化）</w:t>
      </w:r>
    </w:p>
    <w:p w14:paraId="424E5A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I(i) = -I0 * (1 + 0.5*abs(V(i)));</w:t>
      </w:r>
    </w:p>
    <w:p w14:paraId="42DEB6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E00FF"/>
          <w:kern w:val="0"/>
          <w:sz w:val="21"/>
          <w:szCs w:val="21"/>
          <w:bdr w:val="none" w:color="auto" w:sz="0" w:space="0"/>
          <w:lang w:val="en-US" w:eastAsia="zh-CN" w:bidi="ar"/>
        </w:rPr>
        <w:t>else</w:t>
      </w:r>
    </w:p>
    <w:p w14:paraId="54C80F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击穿区（快速下降）</w:t>
      </w:r>
    </w:p>
    <w:p w14:paraId="06DAC4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I(i) = -I0 * exp(3*abs(V(i)));</w:t>
      </w:r>
    </w:p>
    <w:p w14:paraId="6B3FD8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E00FF"/>
          <w:kern w:val="0"/>
          <w:sz w:val="21"/>
          <w:szCs w:val="21"/>
          <w:bdr w:val="none" w:color="auto" w:sz="0" w:space="0"/>
          <w:lang w:val="en-US" w:eastAsia="zh-CN" w:bidi="ar"/>
        </w:rPr>
        <w:t>end</w:t>
      </w:r>
    </w:p>
    <w:p w14:paraId="617554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E00FF"/>
          <w:kern w:val="0"/>
          <w:sz w:val="21"/>
          <w:szCs w:val="21"/>
          <w:bdr w:val="none" w:color="auto" w:sz="0" w:space="0"/>
          <w:lang w:val="en-US" w:eastAsia="zh-CN" w:bidi="ar"/>
        </w:rPr>
        <w:t>end</w:t>
      </w:r>
    </w:p>
    <w:p w14:paraId="6D5A49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</w:p>
    <w:p w14:paraId="6A5199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===== 绘图 =====</w:t>
      </w:r>
    </w:p>
    <w:p w14:paraId="06E762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figure; hold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3ED2A9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</w:p>
    <w:p w14:paraId="7D598C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plot(V, I,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'k'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'LineWidth'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, 2);</w:t>
      </w:r>
    </w:p>
    <w:p w14:paraId="777B9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</w:p>
    <w:p w14:paraId="774740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坐标轴</w:t>
      </w:r>
    </w:p>
    <w:p w14:paraId="491EC9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plot([-3 2], [0 0],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'k'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横轴</w:t>
      </w:r>
    </w:p>
    <w:p w14:paraId="26B926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plot([0 0], [-0.01 0.05],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'k'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纵轴</w:t>
      </w:r>
    </w:p>
    <w:p w14:paraId="695735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</w:p>
    <w:p w14:paraId="749E84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箭头</w:t>
      </w:r>
    </w:p>
    <w:p w14:paraId="1FF02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quiver(1.8, 0, 0.2, 0, 0,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'k'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'MaxHeadSize'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, 0.5);</w:t>
      </w:r>
    </w:p>
    <w:p w14:paraId="57875A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quiver(0, 0.045, 0, 0.005, 0,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'k'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'MaxHeadSize'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, 0.5);</w:t>
      </w:r>
    </w:p>
    <w:p w14:paraId="204B66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</w:p>
    <w:p w14:paraId="0BEEDA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标注</w:t>
      </w:r>
    </w:p>
    <w:p w14:paraId="2680CF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text(1.9, -0.002,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'U'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5E9339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text(-0.2, 0.045,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'I'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716A81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text(-0.1, -0.002,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'O'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1383F8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</w:p>
    <w:p w14:paraId="3FDCB3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区域文字（可选）</w:t>
      </w:r>
    </w:p>
    <w:p w14:paraId="6AE838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text(-2.5, -0.005,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'反向区'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5E94FF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text(0.3, 0.002,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'正向区'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428B10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text(1.0, 0.02,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'工作区'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561D0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</w:p>
    <w:p w14:paraId="5F142B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美化</w:t>
      </w:r>
    </w:p>
    <w:p w14:paraId="5DC773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xlim([-3 2]);</w:t>
      </w:r>
    </w:p>
    <w:p w14:paraId="116A3B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ylim([-0.01 0.05]);</w:t>
      </w:r>
    </w:p>
    <w:p w14:paraId="619A68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set(gca,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'XTick'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[],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'YTick'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, []);</w:t>
      </w:r>
    </w:p>
    <w:p w14:paraId="1EDFD9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box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off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0479E8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</w:p>
    <w:p w14:paraId="2D2DA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'LED伏安特性（分段模型）'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54C57E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</w:p>
    <w:p w14:paraId="0CFE1E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off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539E1DF0">
      <w:pPr>
        <w:rPr>
          <w:rFonts w:hint="default"/>
          <w:lang w:val="en-US" w:eastAsia="zh-CN"/>
        </w:rPr>
      </w:pPr>
    </w:p>
    <w:p w14:paraId="135E2228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程序输出的图形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：</w:t>
      </w:r>
    </w:p>
    <w:p w14:paraId="185B7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48605" cy="3218815"/>
            <wp:effectExtent l="0" t="0" r="10795" b="6985"/>
            <wp:docPr id="1" name="图片 1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icture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860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C67E">
      <w:pPr>
        <w:rPr>
          <w:rFonts w:hint="default"/>
          <w:lang w:val="en-US" w:eastAsia="zh-CN"/>
        </w:rPr>
      </w:pPr>
    </w:p>
    <w:p w14:paraId="5C7238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47005" cy="2552700"/>
            <wp:effectExtent l="0" t="0" r="10795" b="12700"/>
            <wp:docPr id="3" name="图片 3" descr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icture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4729">
      <w:pPr>
        <w:rPr>
          <w:rFonts w:hint="default"/>
          <w:lang w:val="en-US" w:eastAsia="zh-CN"/>
        </w:rPr>
      </w:pPr>
    </w:p>
    <w:p w14:paraId="575F51CF">
      <w:pP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第一个图像描述的是现金流入和现金流出随时间的变化图像（分别是</w:t>
      </w:r>
      <m:oMath>
        <m:r>
          <m:rPr/>
          <w:rPr>
            <w:rFonts w:hint="eastAsia" w:ascii="DejaVu Math TeX Gyre" w:hAnsi="DejaVu Math TeX Gyre" w:cstheme="minorBidi"/>
            <w:kern w:val="2"/>
            <w:sz w:val="21"/>
            <w:szCs w:val="24"/>
            <w:lang w:val="en-US" w:eastAsia="zh-CN" w:bidi="ar-SA"/>
          </w:rPr>
          <m:t>g</m:t>
        </m:r>
        <m:r>
          <m:rPr/>
          <w:rPr>
            <w:rFonts w:hint="default" w:ascii="DejaVu Math TeX Gyre" w:hAnsi="DejaVu Math TeX Gyre" w:cstheme="minorBidi"/>
            <w:kern w:val="2"/>
            <w:sz w:val="21"/>
            <w:szCs w:val="24"/>
            <w:lang w:val="en-US" w:eastAsia="zh-CN" w:bidi="ar-SA"/>
          </w:rPr>
          <m:t>(f),g(c)</m:t>
        </m:r>
      </m:oMath>
      <w: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）</w:t>
      </w:r>
    </w:p>
    <w:p w14:paraId="48B25A77">
      <w:pPr>
        <m:rPr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第二个图像描述的是LED灯的伏安特性曲线图，基于物理公式</w:t>
      </w:r>
      <m:oMath>
        <m:r>
          <m:rPr/>
          <w:rPr>
            <w:rFonts w:hint="default" w:ascii="DejaVu Math TeX Gyre" w:hAnsi="DejaVu Math TeX Gyre" w:cstheme="minorBidi"/>
            <w:kern w:val="2"/>
            <w:sz w:val="21"/>
            <w:szCs w:val="24"/>
            <w:lang w:val="en-US" w:eastAsia="zh-CN" w:bidi="ar-SA"/>
          </w:rPr>
          <m:t xml:space="preserve">I = </m:t>
        </m:r>
        <m:sSub>
          <m:sSubPr>
            <m:ctrlPr>
              <m:rPr/>
              <w:rPr>
                <w:rFonts w:hint="default" w:ascii="DejaVu Math TeX Gyre" w:hAnsi="DejaVu Math TeX Gyre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DejaVu Math TeX Gyre" w:hAnsi="DejaVu Math TeX Gyre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m:rPr/>
              <w:rPr>
                <w:rFonts w:hint="default" w:ascii="DejaVu Math TeX Gyre" w:hAnsi="DejaVu Math TeX Gyre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DejaVu Math TeX Gyre" w:hAnsi="DejaVu Math TeX Gyre" w:cstheme="minorBidi"/>
                <w:kern w:val="2"/>
                <w:sz w:val="21"/>
                <w:szCs w:val="24"/>
                <w:lang w:val="en-US" w:eastAsia="zh-CN" w:bidi="ar-SA"/>
              </w:rPr>
              <m:t>s</m:t>
            </m:r>
            <m:ctrlPr>
              <m:rPr/>
              <w:rPr>
                <w:rFonts w:hint="default" w:ascii="DejaVu Math TeX Gyre" w:hAnsi="DejaVu Math TeX Gyre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DejaVu Math TeX Gyre" w:hAnsi="DejaVu Math TeX Gyre" w:cstheme="minorBidi"/>
            <w:kern w:val="2"/>
            <w:sz w:val="21"/>
            <w:szCs w:val="24"/>
            <w:lang w:val="en-US" w:eastAsia="zh-CN" w:bidi="ar-SA"/>
          </w:rPr>
          <m:t>(</m:t>
        </m:r>
        <m:sSup>
          <m:sSupPr>
            <m:ctrlPr>
              <m:rPr/>
              <w:rPr>
                <w:rFonts w:hint="default" w:ascii="DejaVu Math TeX Gyre" w:hAnsi="DejaVu Math TeX Gyre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DejaVu Math TeX Gyre" w:hAnsi="DejaVu Math TeX Gyre" w:cstheme="minorBidi"/>
                <w:kern w:val="2"/>
                <w:sz w:val="21"/>
                <w:szCs w:val="24"/>
                <w:lang w:val="en-US" w:eastAsia="zh-CN" w:bidi="ar-SA"/>
              </w:rPr>
              <m:t>e</m:t>
            </m:r>
            <m:ctrlPr>
              <m:rPr/>
              <w:rPr>
                <w:rFonts w:hint="default" w:ascii="DejaVu Math TeX Gyre" w:hAnsi="DejaVu Math TeX Gyre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DejaVu Math TeX Gyre" w:hAnsi="DejaVu Math TeX Gyre" w:cstheme="minorBidi"/>
                <w:kern w:val="2"/>
                <w:sz w:val="21"/>
                <w:szCs w:val="24"/>
                <w:lang w:val="en-US" w:eastAsia="zh-CN" w:bidi="ar-SA"/>
              </w:rPr>
              <m:t>kU</m:t>
            </m:r>
            <m:ctrlPr>
              <m:rPr/>
              <w:rPr>
                <w:rFonts w:hint="default" w:ascii="DejaVu Math TeX Gyre" w:hAnsi="DejaVu Math TeX Gyre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p>
        </m:sSup>
        <m:r>
          <m:rPr/>
          <w:rPr>
            <w:rFonts w:hint="default" w:ascii="DejaVu Math TeX Gyre" w:hAnsi="DejaVu Math TeX Gyre" w:cstheme="minorBidi"/>
            <w:kern w:val="2"/>
            <w:sz w:val="21"/>
            <w:szCs w:val="24"/>
            <w:lang w:val="en-US" w:eastAsia="zh-CN" w:bidi="ar-SA"/>
          </w:rPr>
          <m:t xml:space="preserve"> − 1)</m:t>
        </m:r>
      </m:oMath>
      <w:r>
        <m:rPr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,</w:t>
      </w:r>
    </w:p>
    <w:p w14:paraId="18DD8917">
      <w:pP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3BC2A82E">
      <w:pP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科技论文：</w:t>
      </w:r>
    </w:p>
    <w:p w14:paraId="7A031788">
      <w:pP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[1]李曜.养老保险基金运行的经济学与社会实证研究[D].华东师范大学,1998.</w:t>
      </w:r>
    </w:p>
    <w:p w14:paraId="39D4F038">
      <w:pP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[2]王学仁.基于LED的CCD校准用光源的设计[D].西安工业大学,2011.</w:t>
      </w:r>
    </w:p>
    <w:p w14:paraId="6FD2066B">
      <w:pP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1C660832">
      <w:pP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论文中的原图：</w:t>
      </w:r>
    </w:p>
    <w:p w14:paraId="2CF4D247">
      <w:pP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991100" cy="3762375"/>
            <wp:effectExtent l="0" t="0" r="12700" b="22225"/>
            <wp:docPr id="6" name="图片 6" descr="截屏2026-03-17 20.11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3-17 20.11.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76DA">
      <w:pP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991100" cy="4352925"/>
            <wp:effectExtent l="0" t="0" r="12700" b="15875"/>
            <wp:docPr id="5" name="图片 5" descr="截屏2026-03-17 20.16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3-17 20.16.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5F0C">
      <w:pPr>
        <m:rPr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3A218"/>
    <w:rsid w:val="6A7F30F9"/>
    <w:rsid w:val="F7F3A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2026-03-17T20:38:00Z</dcterms:created>
  <dc:creator>贺正泽</dc:creator>
  <cp:lastModifiedBy>贺正泽</cp:lastModifiedBy>
  <dcterms:modified xsi:type="dcterms:W3CDTF">2026-03-17T20:59:29Z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CC8AFAE9E9A8A4442A4BB9694CBD14D5_41</vt:lpwstr>
  </property>
</Properties>
</file>