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09DE" w14:textId="2EC7BA8A" w:rsidR="003718A4" w:rsidRDefault="008C2B3A" w:rsidP="008C2B3A">
      <w:pPr>
        <w:pStyle w:val="aa"/>
        <w:numPr>
          <w:ilvl w:val="0"/>
          <w:numId w:val="1"/>
        </w:numPr>
      </w:pPr>
      <w:r w:rsidRPr="008C2B3A">
        <w:rPr>
          <w:rFonts w:hint="eastAsia"/>
        </w:rPr>
        <w:t>管理会计工具及应用案例——</w:t>
      </w:r>
      <w:r>
        <w:rPr>
          <w:rFonts w:hint="eastAsia"/>
        </w:rPr>
        <w:t>本量</w:t>
      </w:r>
      <w:r w:rsidRPr="008C2B3A">
        <w:rPr>
          <w:rFonts w:hint="eastAsia"/>
        </w:rPr>
        <w:t>利分析模型的决策指标及应用_温素彬</w:t>
      </w:r>
      <w:r>
        <w:br/>
      </w:r>
      <w:r>
        <w:rPr>
          <w:rFonts w:hint="eastAsia"/>
        </w:rPr>
        <w:t>本文详细给出了本量利分析所需要的前提假设：</w:t>
      </w:r>
    </w:p>
    <w:p w14:paraId="23B0B5CF" w14:textId="77777777" w:rsidR="008C2B3A" w:rsidRPr="008C2B3A" w:rsidRDefault="008C2B3A" w:rsidP="008C2B3A">
      <w:pPr>
        <w:pStyle w:val="aa"/>
        <w:ind w:left="360"/>
        <w:rPr>
          <w:b/>
          <w:bCs/>
        </w:rPr>
      </w:pPr>
      <w:r w:rsidRPr="008C2B3A">
        <w:rPr>
          <w:b/>
          <w:bCs/>
        </w:rPr>
        <w:t>1. 成本按性态分类及变动成本法假设</w:t>
      </w:r>
    </w:p>
    <w:p w14:paraId="4D3B9792" w14:textId="77777777" w:rsidR="008C2B3A" w:rsidRPr="008C2B3A" w:rsidRDefault="008C2B3A" w:rsidP="008C2B3A">
      <w:pPr>
        <w:pStyle w:val="aa"/>
        <w:ind w:left="360"/>
      </w:pPr>
      <w:r w:rsidRPr="008C2B3A">
        <w:t>本量利分析假设企业的成本可以明确划分为固定成本（Fixed Costs）和变动成本（Variable Costs）：</w:t>
      </w:r>
    </w:p>
    <w:p w14:paraId="02329FEC" w14:textId="77777777" w:rsidR="008C2B3A" w:rsidRPr="008C2B3A" w:rsidRDefault="008C2B3A" w:rsidP="008C2B3A">
      <w:pPr>
        <w:pStyle w:val="aa"/>
        <w:numPr>
          <w:ilvl w:val="0"/>
          <w:numId w:val="2"/>
        </w:numPr>
      </w:pPr>
      <w:r w:rsidRPr="008C2B3A">
        <w:rPr>
          <w:b/>
          <w:bCs/>
        </w:rPr>
        <w:t>固定成本</w:t>
      </w:r>
      <w:r w:rsidRPr="008C2B3A">
        <w:t>：在一定时期内和一定业务量范围内，不随业务量的增减而变化的成本，如租金、设备折旧等。</w:t>
      </w:r>
    </w:p>
    <w:p w14:paraId="6B2DD914" w14:textId="77777777" w:rsidR="008C2B3A" w:rsidRPr="008C2B3A" w:rsidRDefault="008C2B3A" w:rsidP="008C2B3A">
      <w:pPr>
        <w:pStyle w:val="aa"/>
        <w:numPr>
          <w:ilvl w:val="0"/>
          <w:numId w:val="2"/>
        </w:numPr>
      </w:pPr>
      <w:r w:rsidRPr="008C2B3A">
        <w:rPr>
          <w:b/>
          <w:bCs/>
        </w:rPr>
        <w:t>变动成本</w:t>
      </w:r>
      <w:r w:rsidRPr="008C2B3A">
        <w:t>：随业务量的增减成正比例变化的成本，如原材料成本、直接人工成本等。</w:t>
      </w:r>
    </w:p>
    <w:p w14:paraId="3027F434" w14:textId="77777777" w:rsidR="008C2B3A" w:rsidRPr="008C2B3A" w:rsidRDefault="008C2B3A" w:rsidP="008C2B3A">
      <w:pPr>
        <w:pStyle w:val="aa"/>
        <w:ind w:left="360"/>
        <w:rPr>
          <w:b/>
          <w:bCs/>
        </w:rPr>
      </w:pPr>
      <w:r w:rsidRPr="008C2B3A">
        <w:rPr>
          <w:b/>
          <w:bCs/>
        </w:rPr>
        <w:t>2. 单一成本动因假设</w:t>
      </w:r>
    </w:p>
    <w:p w14:paraId="07D03E2B" w14:textId="77777777" w:rsidR="008C2B3A" w:rsidRPr="008C2B3A" w:rsidRDefault="008C2B3A" w:rsidP="008C2B3A">
      <w:pPr>
        <w:pStyle w:val="aa"/>
        <w:ind w:left="360"/>
      </w:pPr>
      <w:r w:rsidRPr="008C2B3A">
        <w:t>本量利分析通常假设企业的成本变化主要受单一成本动因（如生产量或销售量）的影响。</w:t>
      </w:r>
    </w:p>
    <w:p w14:paraId="24EC4D6A" w14:textId="77777777" w:rsidR="008C2B3A" w:rsidRPr="008C2B3A" w:rsidRDefault="008C2B3A" w:rsidP="008C2B3A">
      <w:pPr>
        <w:pStyle w:val="aa"/>
        <w:ind w:left="360"/>
        <w:rPr>
          <w:b/>
          <w:bCs/>
        </w:rPr>
      </w:pPr>
      <w:r w:rsidRPr="008C2B3A">
        <w:rPr>
          <w:b/>
          <w:bCs/>
        </w:rPr>
        <w:t>3. 相关范围和线性相关假设</w:t>
      </w:r>
    </w:p>
    <w:p w14:paraId="1862A431" w14:textId="77777777" w:rsidR="008C2B3A" w:rsidRPr="008C2B3A" w:rsidRDefault="008C2B3A" w:rsidP="008C2B3A">
      <w:pPr>
        <w:pStyle w:val="aa"/>
        <w:ind w:left="360"/>
      </w:pPr>
      <w:r w:rsidRPr="008C2B3A">
        <w:t>本量利分析假设在一定的业务量范围内，成本与业务量之间存在线性关系，即：</w:t>
      </w:r>
    </w:p>
    <w:p w14:paraId="1B41A69F" w14:textId="77777777" w:rsidR="008C2B3A" w:rsidRPr="008C2B3A" w:rsidRDefault="008C2B3A" w:rsidP="008C2B3A">
      <w:pPr>
        <w:pStyle w:val="aa"/>
        <w:numPr>
          <w:ilvl w:val="0"/>
          <w:numId w:val="5"/>
        </w:numPr>
      </w:pPr>
      <w:r w:rsidRPr="008C2B3A">
        <w:t>固定成本保持不变；</w:t>
      </w:r>
    </w:p>
    <w:p w14:paraId="40A1EBCB" w14:textId="77777777" w:rsidR="008C2B3A" w:rsidRPr="008C2B3A" w:rsidRDefault="008C2B3A" w:rsidP="008C2B3A">
      <w:pPr>
        <w:pStyle w:val="aa"/>
        <w:numPr>
          <w:ilvl w:val="0"/>
          <w:numId w:val="5"/>
        </w:numPr>
      </w:pPr>
      <w:r w:rsidRPr="008C2B3A">
        <w:t>变动成本与业务量成正比例变化。</w:t>
      </w:r>
    </w:p>
    <w:p w14:paraId="4A7C2A91" w14:textId="77777777" w:rsidR="008C2B3A" w:rsidRPr="008C2B3A" w:rsidRDefault="008C2B3A" w:rsidP="008C2B3A">
      <w:pPr>
        <w:pStyle w:val="aa"/>
        <w:ind w:left="360"/>
        <w:rPr>
          <w:b/>
          <w:bCs/>
        </w:rPr>
      </w:pPr>
      <w:r w:rsidRPr="008C2B3A">
        <w:rPr>
          <w:b/>
          <w:bCs/>
        </w:rPr>
        <w:t>4. 产销平衡假设</w:t>
      </w:r>
    </w:p>
    <w:p w14:paraId="1879E0D1" w14:textId="77777777" w:rsidR="008C2B3A" w:rsidRPr="008C2B3A" w:rsidRDefault="008C2B3A" w:rsidP="008C2B3A">
      <w:pPr>
        <w:pStyle w:val="aa"/>
        <w:ind w:left="360"/>
      </w:pPr>
      <w:r w:rsidRPr="008C2B3A">
        <w:t>本量利分析假设企业的生产量等于销售量，即不存在存货积压或缺货的情况。</w:t>
      </w:r>
    </w:p>
    <w:p w14:paraId="7B9D054D" w14:textId="77777777" w:rsidR="008C2B3A" w:rsidRPr="008C2B3A" w:rsidRDefault="008C2B3A" w:rsidP="008C2B3A">
      <w:pPr>
        <w:pStyle w:val="aa"/>
        <w:ind w:left="360"/>
        <w:rPr>
          <w:b/>
          <w:bCs/>
        </w:rPr>
      </w:pPr>
      <w:r w:rsidRPr="008C2B3A">
        <w:rPr>
          <w:b/>
          <w:bCs/>
        </w:rPr>
        <w:t>5. 产品结构不变假设</w:t>
      </w:r>
    </w:p>
    <w:p w14:paraId="51E14BF7" w14:textId="77777777" w:rsidR="008C2B3A" w:rsidRPr="008C2B3A" w:rsidRDefault="008C2B3A" w:rsidP="008C2B3A">
      <w:pPr>
        <w:pStyle w:val="aa"/>
        <w:ind w:left="360"/>
      </w:pPr>
      <w:r w:rsidRPr="008C2B3A">
        <w:t>本量利分析假设企业在分析期间的产品结构保持不变，即各种产品的销售比例和成本结构不发生变化。</w:t>
      </w:r>
    </w:p>
    <w:p w14:paraId="663F6F1C" w14:textId="1F89B19B" w:rsidR="008C2B3A" w:rsidRPr="008C2B3A" w:rsidRDefault="00826BB4" w:rsidP="008C2B3A">
      <w:pPr>
        <w:pStyle w:val="aa"/>
        <w:ind w:left="360"/>
        <w:rPr>
          <w:rFonts w:hint="eastAsia"/>
        </w:rPr>
      </w:pPr>
      <w:r>
        <w:rPr>
          <w:rFonts w:hint="eastAsia"/>
        </w:rPr>
        <w:t>（可选）引入经济学量“边际贡献”与“安全边界”</w:t>
      </w:r>
      <w:r>
        <w:br/>
      </w:r>
    </w:p>
    <w:p w14:paraId="5AAFFB72" w14:textId="006F4C79" w:rsidR="008C2B3A" w:rsidRDefault="008C2B3A" w:rsidP="008C2B3A">
      <w:pPr>
        <w:pStyle w:val="aa"/>
        <w:numPr>
          <w:ilvl w:val="0"/>
          <w:numId w:val="1"/>
        </w:numPr>
      </w:pPr>
      <w:r w:rsidRPr="008C2B3A">
        <w:rPr>
          <w:rFonts w:hint="eastAsia"/>
        </w:rPr>
        <w:t>敏感性分析在利润预测中应用研究_步瑞</w:t>
      </w:r>
      <w:r>
        <w:br/>
      </w:r>
      <w:r w:rsidR="00826BB4">
        <w:br/>
      </w:r>
    </w:p>
    <w:p w14:paraId="1B7B58EB" w14:textId="67C7D866" w:rsidR="008C2B3A" w:rsidRDefault="008C2B3A" w:rsidP="008C2B3A">
      <w:pPr>
        <w:pStyle w:val="aa"/>
        <w:numPr>
          <w:ilvl w:val="0"/>
          <w:numId w:val="1"/>
        </w:numPr>
        <w:rPr>
          <w:rFonts w:hint="eastAsia"/>
        </w:rPr>
      </w:pPr>
      <w:r w:rsidRPr="008C2B3A">
        <w:rPr>
          <w:rFonts w:hint="eastAsia"/>
        </w:rPr>
        <w:t>经济政策不确定性和公司业绩预告_陈胜蓝</w:t>
      </w:r>
    </w:p>
    <w:sectPr w:rsidR="008C2B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A447C" w14:textId="77777777" w:rsidR="00704FC1" w:rsidRDefault="00704FC1" w:rsidP="008C2B3A">
      <w:pPr>
        <w:rPr>
          <w:rFonts w:hint="eastAsia"/>
        </w:rPr>
      </w:pPr>
      <w:r>
        <w:separator/>
      </w:r>
    </w:p>
  </w:endnote>
  <w:endnote w:type="continuationSeparator" w:id="0">
    <w:p w14:paraId="432FEAC3" w14:textId="77777777" w:rsidR="00704FC1" w:rsidRDefault="00704FC1" w:rsidP="008C2B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3B6A2" w14:textId="77777777" w:rsidR="00704FC1" w:rsidRDefault="00704FC1" w:rsidP="008C2B3A">
      <w:pPr>
        <w:rPr>
          <w:rFonts w:hint="eastAsia"/>
        </w:rPr>
      </w:pPr>
      <w:r>
        <w:separator/>
      </w:r>
    </w:p>
  </w:footnote>
  <w:footnote w:type="continuationSeparator" w:id="0">
    <w:p w14:paraId="2AE8F1CD" w14:textId="77777777" w:rsidR="00704FC1" w:rsidRDefault="00704FC1" w:rsidP="008C2B3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76E6"/>
    <w:multiLevelType w:val="multilevel"/>
    <w:tmpl w:val="2BA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F76F2D"/>
    <w:multiLevelType w:val="multilevel"/>
    <w:tmpl w:val="B46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5A3D9F"/>
    <w:multiLevelType w:val="multilevel"/>
    <w:tmpl w:val="55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6E751D"/>
    <w:multiLevelType w:val="multilevel"/>
    <w:tmpl w:val="44A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87583E"/>
    <w:multiLevelType w:val="multilevel"/>
    <w:tmpl w:val="FE54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B13274"/>
    <w:multiLevelType w:val="hybridMultilevel"/>
    <w:tmpl w:val="99280700"/>
    <w:lvl w:ilvl="0" w:tplc="E9B44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9362B6A"/>
    <w:multiLevelType w:val="multilevel"/>
    <w:tmpl w:val="9D7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FC75F5"/>
    <w:multiLevelType w:val="multilevel"/>
    <w:tmpl w:val="28C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75067">
    <w:abstractNumId w:val="5"/>
  </w:num>
  <w:num w:numId="2" w16cid:durableId="1836071442">
    <w:abstractNumId w:val="6"/>
  </w:num>
  <w:num w:numId="3" w16cid:durableId="20060138">
    <w:abstractNumId w:val="2"/>
  </w:num>
  <w:num w:numId="4" w16cid:durableId="810027024">
    <w:abstractNumId w:val="4"/>
  </w:num>
  <w:num w:numId="5" w16cid:durableId="548347920">
    <w:abstractNumId w:val="1"/>
  </w:num>
  <w:num w:numId="6" w16cid:durableId="1492983692">
    <w:abstractNumId w:val="3"/>
  </w:num>
  <w:num w:numId="7" w16cid:durableId="73825962">
    <w:abstractNumId w:val="0"/>
  </w:num>
  <w:num w:numId="8" w16cid:durableId="284654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4C"/>
    <w:rsid w:val="00034CD8"/>
    <w:rsid w:val="0004298D"/>
    <w:rsid w:val="003718A4"/>
    <w:rsid w:val="005D6E40"/>
    <w:rsid w:val="00704FC1"/>
    <w:rsid w:val="0072463A"/>
    <w:rsid w:val="00801C4C"/>
    <w:rsid w:val="00826BB4"/>
    <w:rsid w:val="008C2B3A"/>
    <w:rsid w:val="00CE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1CAF0"/>
  <w15:chartTrackingRefBased/>
  <w15:docId w15:val="{D0B80CD2-E492-46AE-BB46-28AE9B2D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1C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C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C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C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C4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C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C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C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01C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1C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1C4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1C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1C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1C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1C4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01C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0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01C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01C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01C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01C4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01C4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01C4C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0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01C4C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01C4C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C2B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C2B3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C2B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C2B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0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9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6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5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0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2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5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1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3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5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1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9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7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67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6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9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3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0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231</Words>
  <Characters>285</Characters>
  <Application>Microsoft Office Word</Application>
  <DocSecurity>0</DocSecurity>
  <Lines>17</Lines>
  <Paragraphs>24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zhengze He</dc:creator>
  <cp:keywords/>
  <dc:description/>
  <cp:lastModifiedBy>zhengze He</cp:lastModifiedBy>
  <cp:revision>2</cp:revision>
  <dcterms:created xsi:type="dcterms:W3CDTF">2025-04-19T15:51:00Z</dcterms:created>
  <dcterms:modified xsi:type="dcterms:W3CDTF">2025-04-19T17:14:00Z</dcterms:modified>
</cp:coreProperties>
</file>