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D9A7A3">
      <w:pPr>
        <w:jc w:val="both"/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一、基本数据与假设</w:t>
      </w:r>
    </w:p>
    <w:p w14:paraId="3FC6D51E">
      <w:pPr>
        <w:jc w:val="both"/>
        <w:rPr>
          <w:sz w:val="28"/>
          <w:szCs w:val="32"/>
        </w:rPr>
      </w:pPr>
      <w:r>
        <w:rPr>
          <w:rFonts w:hint="eastAsia"/>
          <w:sz w:val="28"/>
          <w:szCs w:val="32"/>
        </w:rPr>
        <w:t>1. 货车箱体参数（两种标准车型）</w:t>
      </w:r>
    </w:p>
    <w:p w14:paraId="3105270A">
      <w:pPr>
        <w:jc w:val="both"/>
        <w:rPr>
          <w:sz w:val="28"/>
          <w:szCs w:val="32"/>
        </w:rPr>
      </w:pPr>
      <w:r>
        <w:rPr>
          <w:rFonts w:hint="eastAsia"/>
          <w:sz w:val="28"/>
          <w:szCs w:val="32"/>
        </w:rPr>
        <w:t>- 车型1（轻型厢式货车）</w:t>
      </w:r>
    </w:p>
    <w:p w14:paraId="4D10767C">
      <w:pPr>
        <w:jc w:val="both"/>
        <w:rPr>
          <w:sz w:val="28"/>
          <w:szCs w:val="32"/>
        </w:rPr>
      </w:pPr>
      <w:r>
        <w:rPr>
          <w:rFonts w:hint="eastAsia"/>
          <w:sz w:val="28"/>
          <w:szCs w:val="32"/>
        </w:rPr>
        <w:t>内尺寸：长 420cm × 宽 210cm × 高 220cm</w:t>
      </w:r>
    </w:p>
    <w:p w14:paraId="31721803">
      <w:pPr>
        <w:jc w:val="both"/>
        <w:rPr>
          <w:sz w:val="28"/>
          <w:szCs w:val="32"/>
        </w:rPr>
      </w:pPr>
      <w:r>
        <w:rPr>
          <w:rFonts w:hint="eastAsia"/>
          <w:sz w:val="28"/>
          <w:szCs w:val="32"/>
        </w:rPr>
        <w:t>额定载重：6000kg</w:t>
      </w:r>
    </w:p>
    <w:p w14:paraId="0FCF9AC8">
      <w:pPr>
        <w:jc w:val="both"/>
        <w:rPr>
          <w:sz w:val="28"/>
          <w:szCs w:val="32"/>
        </w:rPr>
      </w:pPr>
      <w:r>
        <w:rPr>
          <w:rFonts w:hint="eastAsia"/>
          <w:sz w:val="28"/>
          <w:szCs w:val="32"/>
        </w:rPr>
        <w:t>单次运输成本：450 元/趟（含油费、过路费、人工）</w:t>
      </w:r>
    </w:p>
    <w:p w14:paraId="77996179">
      <w:pPr>
        <w:jc w:val="both"/>
        <w:rPr>
          <w:sz w:val="28"/>
          <w:szCs w:val="32"/>
        </w:rPr>
      </w:pPr>
      <w:r>
        <w:rPr>
          <w:rFonts w:hint="eastAsia"/>
          <w:sz w:val="28"/>
          <w:szCs w:val="32"/>
        </w:rPr>
        <w:t>- 车型2（中型厢式货车）</w:t>
      </w:r>
    </w:p>
    <w:p w14:paraId="278F79CB">
      <w:pPr>
        <w:jc w:val="both"/>
        <w:rPr>
          <w:sz w:val="28"/>
          <w:szCs w:val="32"/>
        </w:rPr>
      </w:pPr>
      <w:r>
        <w:rPr>
          <w:rFonts w:hint="eastAsia"/>
          <w:sz w:val="28"/>
          <w:szCs w:val="32"/>
        </w:rPr>
        <w:t>内尺寸：长 680cm × 宽 245cm × 高 250cm</w:t>
      </w:r>
    </w:p>
    <w:p w14:paraId="760B6847">
      <w:pPr>
        <w:jc w:val="both"/>
        <w:rPr>
          <w:sz w:val="28"/>
          <w:szCs w:val="32"/>
        </w:rPr>
      </w:pPr>
      <w:r>
        <w:rPr>
          <w:rFonts w:hint="eastAsia"/>
          <w:sz w:val="28"/>
          <w:szCs w:val="32"/>
        </w:rPr>
        <w:t>额定载重：10000kg</w:t>
      </w:r>
    </w:p>
    <w:p w14:paraId="152FC0A0">
      <w:pPr>
        <w:jc w:val="both"/>
        <w:rPr>
          <w:sz w:val="28"/>
          <w:szCs w:val="32"/>
        </w:rPr>
      </w:pPr>
      <w:r>
        <w:rPr>
          <w:rFonts w:hint="eastAsia"/>
          <w:sz w:val="28"/>
          <w:szCs w:val="32"/>
        </w:rPr>
        <w:t>单次运输成本：700 元/趟</w:t>
      </w:r>
    </w:p>
    <w:p w14:paraId="0E4CBA37">
      <w:pPr>
        <w:jc w:val="both"/>
        <w:rPr>
          <w:sz w:val="28"/>
          <w:szCs w:val="32"/>
        </w:rPr>
      </w:pPr>
      <w:r>
        <w:rPr>
          <w:rFonts w:hint="eastAsia"/>
          <w:sz w:val="28"/>
          <w:szCs w:val="32"/>
        </w:rPr>
        <w:t>2. 货物类型与基础约束</w:t>
      </w:r>
    </w:p>
    <w:p w14:paraId="384B56BB">
      <w:pPr>
        <w:jc w:val="both"/>
        <w:rPr>
          <w:sz w:val="28"/>
          <w:szCs w:val="32"/>
        </w:rPr>
      </w:pPr>
      <w:r>
        <w:rPr>
          <w:rFonts w:hint="eastAsia"/>
          <w:sz w:val="28"/>
          <w:szCs w:val="32"/>
        </w:rPr>
        <w:t>现有一批待运货物，分为三类：</w:t>
      </w:r>
    </w:p>
    <w:p w14:paraId="63D05EB7">
      <w:pPr>
        <w:jc w:val="both"/>
        <w:rPr>
          <w:sz w:val="28"/>
          <w:szCs w:val="32"/>
        </w:rPr>
      </w:pPr>
      <w:r>
        <w:rPr>
          <w:rFonts w:hint="eastAsia"/>
          <w:sz w:val="28"/>
          <w:szCs w:val="32"/>
        </w:rPr>
        <w:t>（1）标准件：长方体纸箱，可任意方向摆放，可堆叠，无特殊约束；</w:t>
      </w:r>
    </w:p>
    <w:p w14:paraId="0FD2A3D7">
      <w:pPr>
        <w:jc w:val="both"/>
        <w:rPr>
          <w:sz w:val="28"/>
          <w:szCs w:val="32"/>
        </w:rPr>
      </w:pPr>
      <w:r>
        <w:rPr>
          <w:rFonts w:hint="eastAsia"/>
          <w:sz w:val="28"/>
          <w:szCs w:val="32"/>
        </w:rPr>
        <w:t>（2）易碎件：仅允许单层放置，不可堆叠，摆放时底面必须完全贴合箱体底面或其他标准件顶面；</w:t>
      </w:r>
    </w:p>
    <w:p w14:paraId="66AC9FA2">
      <w:pPr>
        <w:jc w:val="both"/>
        <w:rPr>
          <w:sz w:val="28"/>
          <w:szCs w:val="32"/>
        </w:rPr>
      </w:pPr>
      <w:r>
        <w:rPr>
          <w:rFonts w:hint="eastAsia"/>
          <w:sz w:val="28"/>
          <w:szCs w:val="32"/>
        </w:rPr>
        <w:t>（3）定向件：有明确方向要求（如“向上”标识），仅允许一种摆放姿态，可堆叠但上层货物重心不得超出下层投影范围。</w:t>
      </w:r>
    </w:p>
    <w:p w14:paraId="1E701118">
      <w:pPr>
        <w:jc w:val="both"/>
        <w:rPr>
          <w:sz w:val="28"/>
          <w:szCs w:val="32"/>
        </w:rPr>
      </w:pPr>
      <w:r>
        <w:rPr>
          <w:rFonts w:hint="eastAsia"/>
          <w:sz w:val="28"/>
          <w:szCs w:val="32"/>
        </w:rPr>
        <w:t>所有货物均为刚性长方体，不可挤压、不可拆分，装箱时货物之间、货物与箱体之间不得重叠，必须保持正交摆放（棱与箱体棱平行）。</w:t>
      </w:r>
    </w:p>
    <w:p w14:paraId="7ECA0444">
      <w:pPr>
        <w:jc w:val="both"/>
        <w:rPr>
          <w:sz w:val="28"/>
          <w:szCs w:val="32"/>
        </w:rPr>
      </w:pPr>
      <w:r>
        <w:rPr>
          <w:rFonts w:hint="eastAsia"/>
          <w:sz w:val="28"/>
          <w:szCs w:val="32"/>
        </w:rPr>
        <w:t>3. 附加约束</w:t>
      </w:r>
    </w:p>
    <w:p w14:paraId="09EAD3A8">
      <w:pPr>
        <w:jc w:val="both"/>
        <w:rPr>
          <w:sz w:val="28"/>
          <w:szCs w:val="32"/>
        </w:rPr>
      </w:pPr>
      <w:r>
        <w:rPr>
          <w:rFonts w:hint="eastAsia"/>
          <w:sz w:val="28"/>
          <w:szCs w:val="32"/>
        </w:rPr>
        <w:t>（1）承重约束：下层货物承重上限为 500kg/平方米，超重则不允许堆叠；</w:t>
      </w:r>
    </w:p>
    <w:p w14:paraId="0D67C9B4">
      <w:pPr>
        <w:jc w:val="both"/>
        <w:rPr>
          <w:sz w:val="28"/>
          <w:szCs w:val="32"/>
        </w:rPr>
      </w:pPr>
      <w:r>
        <w:rPr>
          <w:rFonts w:hint="eastAsia"/>
          <w:sz w:val="28"/>
          <w:szCs w:val="32"/>
        </w:rPr>
        <w:t xml:space="preserve">（2）稳定性约束：货物高度不得超过车厢高度，且顶层货物距车厢顶部预留不小于 </w:t>
      </w:r>
      <w:r>
        <w:rPr>
          <w:sz w:val="28"/>
          <w:szCs w:val="32"/>
        </w:rPr>
        <w:t>3</w:t>
      </w:r>
      <w:r>
        <w:rPr>
          <w:rFonts w:hint="eastAsia"/>
          <w:sz w:val="28"/>
          <w:szCs w:val="32"/>
        </w:rPr>
        <w:t>cm 安全间隙。</w:t>
      </w:r>
    </w:p>
    <w:p w14:paraId="25331B16">
      <w:pPr>
        <w:jc w:val="both"/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二、任务数据</w:t>
      </w:r>
    </w:p>
    <w:p w14:paraId="168540AA">
      <w:pPr>
        <w:jc w:val="both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现有某批次货物参数信息如下（单位：cm，kg）：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6032B006">
        <w:tc>
          <w:tcPr>
            <w:tcW w:w="1704" w:type="dxa"/>
            <w:vAlign w:val="center"/>
          </w:tcPr>
          <w:p w14:paraId="6D3C3C25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货物编号</w:t>
            </w:r>
          </w:p>
        </w:tc>
        <w:tc>
          <w:tcPr>
            <w:tcW w:w="1704" w:type="dxa"/>
            <w:vAlign w:val="center"/>
          </w:tcPr>
          <w:p w14:paraId="73CD2D7C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类型</w:t>
            </w:r>
          </w:p>
        </w:tc>
        <w:tc>
          <w:tcPr>
            <w:tcW w:w="1704" w:type="dxa"/>
            <w:vAlign w:val="center"/>
          </w:tcPr>
          <w:p w14:paraId="1010B917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长×宽×高</w:t>
            </w:r>
          </w:p>
        </w:tc>
        <w:tc>
          <w:tcPr>
            <w:tcW w:w="1705" w:type="dxa"/>
            <w:vAlign w:val="center"/>
          </w:tcPr>
          <w:p w14:paraId="0661CEF3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单重</w:t>
            </w:r>
          </w:p>
        </w:tc>
        <w:tc>
          <w:tcPr>
            <w:tcW w:w="1705" w:type="dxa"/>
            <w:vAlign w:val="center"/>
          </w:tcPr>
          <w:p w14:paraId="291BAF07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数量</w:t>
            </w:r>
          </w:p>
        </w:tc>
      </w:tr>
      <w:tr w14:paraId="04E61C0F">
        <w:tc>
          <w:tcPr>
            <w:tcW w:w="1704" w:type="dxa"/>
            <w:vAlign w:val="center"/>
          </w:tcPr>
          <w:p w14:paraId="19C6CD61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G1</w:t>
            </w:r>
          </w:p>
        </w:tc>
        <w:tc>
          <w:tcPr>
            <w:tcW w:w="1704" w:type="dxa"/>
            <w:vAlign w:val="center"/>
          </w:tcPr>
          <w:p w14:paraId="413B3689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标准件</w:t>
            </w:r>
          </w:p>
        </w:tc>
        <w:tc>
          <w:tcPr>
            <w:tcW w:w="1704" w:type="dxa"/>
            <w:vAlign w:val="center"/>
          </w:tcPr>
          <w:p w14:paraId="266B32C4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60×40×30</w:t>
            </w:r>
          </w:p>
        </w:tc>
        <w:tc>
          <w:tcPr>
            <w:tcW w:w="1705" w:type="dxa"/>
            <w:vAlign w:val="center"/>
          </w:tcPr>
          <w:p w14:paraId="5B68A038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12</w:t>
            </w:r>
          </w:p>
        </w:tc>
        <w:tc>
          <w:tcPr>
            <w:tcW w:w="1705" w:type="dxa"/>
            <w:vAlign w:val="center"/>
          </w:tcPr>
          <w:p w14:paraId="31079EA5">
            <w:pPr>
              <w:jc w:val="center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</w:rPr>
              <w:t>80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0</w:t>
            </w:r>
          </w:p>
        </w:tc>
      </w:tr>
      <w:tr w14:paraId="4615EDC3">
        <w:tc>
          <w:tcPr>
            <w:tcW w:w="1704" w:type="dxa"/>
            <w:vAlign w:val="center"/>
          </w:tcPr>
          <w:p w14:paraId="556E0648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G2</w:t>
            </w:r>
          </w:p>
        </w:tc>
        <w:tc>
          <w:tcPr>
            <w:tcW w:w="1704" w:type="dxa"/>
            <w:vAlign w:val="center"/>
          </w:tcPr>
          <w:p w14:paraId="670A70AD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标准件</w:t>
            </w:r>
          </w:p>
        </w:tc>
        <w:tc>
          <w:tcPr>
            <w:tcW w:w="1704" w:type="dxa"/>
            <w:vAlign w:val="center"/>
          </w:tcPr>
          <w:p w14:paraId="5C7AEB58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50×35×25</w:t>
            </w:r>
          </w:p>
        </w:tc>
        <w:tc>
          <w:tcPr>
            <w:tcW w:w="1705" w:type="dxa"/>
            <w:vAlign w:val="center"/>
          </w:tcPr>
          <w:p w14:paraId="02C2C72D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8</w:t>
            </w:r>
          </w:p>
        </w:tc>
        <w:tc>
          <w:tcPr>
            <w:tcW w:w="1705" w:type="dxa"/>
            <w:vAlign w:val="center"/>
          </w:tcPr>
          <w:p w14:paraId="2ECB39B4">
            <w:pPr>
              <w:jc w:val="center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</w:rPr>
              <w:t>100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0</w:t>
            </w:r>
          </w:p>
        </w:tc>
      </w:tr>
      <w:tr w14:paraId="6CCB0935">
        <w:tc>
          <w:tcPr>
            <w:tcW w:w="1704" w:type="dxa"/>
            <w:vAlign w:val="center"/>
          </w:tcPr>
          <w:p w14:paraId="59858A62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G3</w:t>
            </w:r>
          </w:p>
        </w:tc>
        <w:tc>
          <w:tcPr>
            <w:tcW w:w="1704" w:type="dxa"/>
            <w:vAlign w:val="center"/>
          </w:tcPr>
          <w:p w14:paraId="23FBFF6C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易碎件</w:t>
            </w:r>
          </w:p>
        </w:tc>
        <w:tc>
          <w:tcPr>
            <w:tcW w:w="1704" w:type="dxa"/>
            <w:vAlign w:val="center"/>
          </w:tcPr>
          <w:p w14:paraId="015217A4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70×50×40</w:t>
            </w:r>
          </w:p>
        </w:tc>
        <w:tc>
          <w:tcPr>
            <w:tcW w:w="1705" w:type="dxa"/>
            <w:vAlign w:val="center"/>
          </w:tcPr>
          <w:p w14:paraId="3C446A99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15</w:t>
            </w:r>
          </w:p>
        </w:tc>
        <w:tc>
          <w:tcPr>
            <w:tcW w:w="1705" w:type="dxa"/>
            <w:vAlign w:val="center"/>
          </w:tcPr>
          <w:p w14:paraId="5BDF9815">
            <w:pPr>
              <w:jc w:val="center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</w:rPr>
              <w:t>30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0</w:t>
            </w:r>
          </w:p>
        </w:tc>
      </w:tr>
      <w:tr w14:paraId="244D7EF4">
        <w:tc>
          <w:tcPr>
            <w:tcW w:w="1704" w:type="dxa"/>
            <w:vAlign w:val="center"/>
          </w:tcPr>
          <w:p w14:paraId="3EED9F28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G4</w:t>
            </w:r>
          </w:p>
        </w:tc>
        <w:tc>
          <w:tcPr>
            <w:tcW w:w="1704" w:type="dxa"/>
            <w:vAlign w:val="center"/>
          </w:tcPr>
          <w:p w14:paraId="2D6E5F20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定向件</w:t>
            </w:r>
          </w:p>
        </w:tc>
        <w:tc>
          <w:tcPr>
            <w:tcW w:w="1704" w:type="dxa"/>
            <w:vAlign w:val="center"/>
          </w:tcPr>
          <w:p w14:paraId="65851AAD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80×60×50</w:t>
            </w:r>
          </w:p>
        </w:tc>
        <w:tc>
          <w:tcPr>
            <w:tcW w:w="1705" w:type="dxa"/>
            <w:vAlign w:val="center"/>
          </w:tcPr>
          <w:p w14:paraId="0408618E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25</w:t>
            </w:r>
          </w:p>
        </w:tc>
        <w:tc>
          <w:tcPr>
            <w:tcW w:w="1705" w:type="dxa"/>
            <w:vAlign w:val="center"/>
          </w:tcPr>
          <w:p w14:paraId="7DD73970">
            <w:pPr>
              <w:jc w:val="center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</w:rPr>
              <w:t>40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0</w:t>
            </w:r>
          </w:p>
        </w:tc>
      </w:tr>
      <w:tr w14:paraId="0243C979">
        <w:tc>
          <w:tcPr>
            <w:tcW w:w="1704" w:type="dxa"/>
            <w:vAlign w:val="center"/>
          </w:tcPr>
          <w:p w14:paraId="401CC67F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G5</w:t>
            </w:r>
          </w:p>
        </w:tc>
        <w:tc>
          <w:tcPr>
            <w:tcW w:w="1704" w:type="dxa"/>
            <w:vAlign w:val="center"/>
          </w:tcPr>
          <w:p w14:paraId="5018C001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定向件</w:t>
            </w:r>
          </w:p>
        </w:tc>
        <w:tc>
          <w:tcPr>
            <w:tcW w:w="1704" w:type="dxa"/>
            <w:vAlign w:val="center"/>
          </w:tcPr>
          <w:p w14:paraId="7F2FDB70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40×40×60</w:t>
            </w:r>
          </w:p>
        </w:tc>
        <w:tc>
          <w:tcPr>
            <w:tcW w:w="1705" w:type="dxa"/>
            <w:vAlign w:val="center"/>
          </w:tcPr>
          <w:p w14:paraId="35159EDF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18</w:t>
            </w:r>
          </w:p>
        </w:tc>
        <w:tc>
          <w:tcPr>
            <w:tcW w:w="1705" w:type="dxa"/>
            <w:vAlign w:val="center"/>
          </w:tcPr>
          <w:p w14:paraId="29E77918">
            <w:pPr>
              <w:jc w:val="center"/>
              <w:rPr>
                <w:rFonts w:hint="eastAsia"/>
                <w:sz w:val="24"/>
                <w:szCs w:val="24"/>
                <w:vertAlign w:val="baseline"/>
              </w:rPr>
            </w:pPr>
            <w:r>
              <w:rPr>
                <w:rFonts w:hint="eastAsia"/>
                <w:sz w:val="24"/>
                <w:szCs w:val="24"/>
              </w:rPr>
              <w:t>5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0</w:t>
            </w:r>
            <w:r>
              <w:rPr>
                <w:rFonts w:hint="eastAsia"/>
                <w:sz w:val="24"/>
                <w:szCs w:val="24"/>
              </w:rPr>
              <w:t>0</w:t>
            </w:r>
          </w:p>
        </w:tc>
      </w:tr>
    </w:tbl>
    <w:p w14:paraId="0B5445EE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5538"/>
    <w:rsid w:val="00235538"/>
    <w:rsid w:val="003A7760"/>
    <w:rsid w:val="00572166"/>
    <w:rsid w:val="006C32ED"/>
    <w:rsid w:val="007B4509"/>
    <w:rsid w:val="00847913"/>
    <w:rsid w:val="008638AD"/>
    <w:rsid w:val="00983C85"/>
    <w:rsid w:val="00AA13F4"/>
    <w:rsid w:val="00B049AC"/>
    <w:rsid w:val="00CD3E8A"/>
    <w:rsid w:val="00CE45BC"/>
    <w:rsid w:val="00F7135B"/>
    <w:rsid w:val="25872FCC"/>
    <w:rsid w:val="2C3521FB"/>
    <w:rsid w:val="5E6CB7E9"/>
    <w:rsid w:val="E7BAC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spacing w:after="0" w:line="240" w:lineRule="auto"/>
    </w:pPr>
    <w:rPr>
      <w:sz w:val="18"/>
      <w:szCs w:val="18"/>
      <w14:ligatures w14:val="none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after="0" w:line="240" w:lineRule="auto"/>
      <w:jc w:val="center"/>
    </w:pPr>
    <w:rPr>
      <w:sz w:val="18"/>
      <w:szCs w:val="18"/>
      <w14:ligatures w14:val="none"/>
    </w:rPr>
  </w:style>
  <w:style w:type="table" w:styleId="5">
    <w:name w:val="Table Grid"/>
    <w:basedOn w:val="4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Char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561</Words>
  <Characters>644</Characters>
  <Lines>5</Lines>
  <Paragraphs>1</Paragraphs>
  <TotalTime>1804</TotalTime>
  <ScaleCrop>false</ScaleCrop>
  <LinksUpToDate>false</LinksUpToDate>
  <CharactersWithSpaces>669</CharactersWithSpaces>
  <Application>WPS Office_12.1.23141.23141_F1E327BC-269C-435d-A152-05C5408002CA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2026-04-05T15:45:00Z</dcterms:created>
  <dc:creator>yhlmath</dc:creator>
  <cp:lastModifiedBy>贺正泽</cp:lastModifiedBy>
  <dcterms:modified xsi:type="dcterms:W3CDTF">2026-04-21T18:55:04Z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eyJoZGlkIjoiZjAxZTJhZmUwNGNkYWMwMWIzOTJlZDUzM2MwMDA5NzQiLCJ1c2VySWQiOiIxMTI3MzUzMTY5In0=</vt:lpwstr>
  </property>
  <property fmtid="{D5CDD505-2E9C-101B-9397-08002B2CF9AE}" pid="3" name="KSOProductBuildVer">
    <vt:lpwstr>2052-12.1.23141.23141</vt:lpwstr>
  </property>
  <property fmtid="{D5CDD505-2E9C-101B-9397-08002B2CF9AE}" pid="4" name="ICV">
    <vt:lpwstr>5A0A6F45EE884429AB3E37670595DF1D_12</vt:lpwstr>
  </property>
</Properties>
</file>