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D39247" w14:textId="77777777" w:rsidR="005947D3" w:rsidRPr="00EF2107" w:rsidRDefault="00000000" w:rsidP="00EF2107">
      <w:pPr>
        <w:pStyle w:val="Heading1"/>
        <w:spacing w:line="276" w:lineRule="auto"/>
        <w:rPr>
          <w:rFonts w:ascii="Arial" w:hAnsi="Arial" w:cs="Arial"/>
        </w:rPr>
      </w:pPr>
      <w:r w:rsidRPr="00EF2107">
        <w:rPr>
          <w:rFonts w:ascii="Arial" w:hAnsi="Arial" w:cs="Arial"/>
        </w:rPr>
        <w:t>2. Literature Review</w:t>
      </w:r>
    </w:p>
    <w:p w14:paraId="2F9F86BC" w14:textId="77777777" w:rsidR="005947D3" w:rsidRPr="00EF2107" w:rsidRDefault="00000000" w:rsidP="00EF2107">
      <w:pPr>
        <w:spacing w:after="120" w:line="276" w:lineRule="auto"/>
        <w:jc w:val="both"/>
        <w:rPr>
          <w:rFonts w:ascii="Arial" w:hAnsi="Arial" w:cs="Arial"/>
        </w:rPr>
      </w:pPr>
      <w:r w:rsidRPr="00EF2107">
        <w:rPr>
          <w:rFonts w:ascii="Arial" w:hAnsi="Arial" w:cs="Arial"/>
        </w:rPr>
        <w:t xml:space="preserve">This chapter reviews the body of literature underpinning </w:t>
      </w:r>
      <w:proofErr w:type="spellStart"/>
      <w:r w:rsidRPr="00EF2107">
        <w:rPr>
          <w:rFonts w:ascii="Arial" w:hAnsi="Arial" w:cs="Arial"/>
        </w:rPr>
        <w:t>DeepFocus</w:t>
      </w:r>
      <w:proofErr w:type="spellEnd"/>
      <w:r w:rsidRPr="00EF2107">
        <w:rPr>
          <w:rFonts w:ascii="Arial" w:hAnsi="Arial" w:cs="Arial"/>
        </w:rPr>
        <w:t xml:space="preserve">, a multimodal browser-based system for measuring concentration. The review is structured thematically across five parts. Sections 2.1 to 2.3 lay the theoretical groundwork, examining how cognitive psychology defines attention and concentration and how researchers have attempted to measure these constructs over the decades. Sections 2.4 and 2.5 turn to gaze estimation and face detection—the visual technologies that allow webcam-based attention monitoring. Sections 2.6 and 2.7 consider keyboard and mouse behavioural analysis as complementary indicators of cognitive engagement. Sections 2.8 and 2.9 then address browser-based monitoring techniques, including the APIs that make unobtrusive data collection possible within web environments. The final part, Sections 2.10 and 2.11, compares existing engagement and concentration detection systems and identifies the specific gap that </w:t>
      </w:r>
      <w:proofErr w:type="spellStart"/>
      <w:r w:rsidRPr="00EF2107">
        <w:rPr>
          <w:rFonts w:ascii="Arial" w:hAnsi="Arial" w:cs="Arial"/>
        </w:rPr>
        <w:t>DeepFocus</w:t>
      </w:r>
      <w:proofErr w:type="spellEnd"/>
      <w:r w:rsidRPr="00EF2107">
        <w:rPr>
          <w:rFonts w:ascii="Arial" w:hAnsi="Arial" w:cs="Arial"/>
        </w:rPr>
        <w:t xml:space="preserve"> is designed to fill.</w:t>
      </w:r>
    </w:p>
    <w:p w14:paraId="1600A514" w14:textId="77777777" w:rsidR="005947D3" w:rsidRPr="00EF2107" w:rsidRDefault="00000000" w:rsidP="00EF2107">
      <w:pPr>
        <w:pStyle w:val="Heading2"/>
        <w:spacing w:line="276" w:lineRule="auto"/>
        <w:rPr>
          <w:rFonts w:ascii="Arial" w:hAnsi="Arial" w:cs="Arial"/>
        </w:rPr>
      </w:pPr>
      <w:r w:rsidRPr="00EF2107">
        <w:rPr>
          <w:rFonts w:ascii="Arial" w:hAnsi="Arial" w:cs="Arial"/>
        </w:rPr>
        <w:t>2.1 Attention and Concentration: Theoretical Foundations</w:t>
      </w:r>
    </w:p>
    <w:p w14:paraId="31C9AE62" w14:textId="77777777" w:rsidR="005947D3" w:rsidRPr="00EF2107" w:rsidRDefault="00000000" w:rsidP="00EF2107">
      <w:pPr>
        <w:pStyle w:val="Heading3"/>
        <w:spacing w:line="276" w:lineRule="auto"/>
        <w:rPr>
          <w:rFonts w:ascii="Arial" w:hAnsi="Arial" w:cs="Arial"/>
        </w:rPr>
      </w:pPr>
      <w:r w:rsidRPr="00EF2107">
        <w:rPr>
          <w:rFonts w:ascii="Arial" w:hAnsi="Arial" w:cs="Arial"/>
        </w:rPr>
        <w:t>2.1.1 Defining Attention in Cognitive Psychology</w:t>
      </w:r>
    </w:p>
    <w:p w14:paraId="19C88F96" w14:textId="77777777" w:rsidR="00EF2107" w:rsidRDefault="00EF2107" w:rsidP="00EF2107">
      <w:pPr>
        <w:spacing w:after="120" w:line="276" w:lineRule="auto"/>
        <w:jc w:val="both"/>
        <w:rPr>
          <w:rStyle w:val="hoverbg-blue-100"/>
          <w:rFonts w:ascii="Arial" w:hAnsi="Arial" w:cs="Arial"/>
          <w:color w:val="000000"/>
        </w:rPr>
      </w:pPr>
      <w:r w:rsidRPr="00EF2107">
        <w:rPr>
          <w:rStyle w:val="hoverbg-blue-100"/>
          <w:rFonts w:ascii="Arial" w:hAnsi="Arial" w:cs="Arial"/>
          <w:color w:val="000000"/>
        </w:rPr>
        <w:t>Attention is one of the most popular subjects of research in psychology.</w:t>
      </w:r>
      <w:r w:rsidRPr="00EF2107">
        <w:rPr>
          <w:rStyle w:val="apple-converted-space"/>
          <w:rFonts w:ascii="Arial" w:hAnsi="Arial" w:cs="Arial"/>
          <w:color w:val="000000"/>
        </w:rPr>
        <w:t> </w:t>
      </w:r>
      <w:r w:rsidRPr="00EF2107">
        <w:rPr>
          <w:rStyle w:val="hoverbg-blue-100"/>
          <w:rFonts w:ascii="Arial" w:hAnsi="Arial" w:cs="Arial"/>
          <w:color w:val="000000"/>
        </w:rPr>
        <w:t>Despite this fact (or perhaps because of it), providing a succinct definition has proven difficult.</w:t>
      </w:r>
      <w:r w:rsidRPr="00EF2107">
        <w:rPr>
          <w:rStyle w:val="apple-converted-space"/>
          <w:rFonts w:ascii="Arial" w:hAnsi="Arial" w:cs="Arial"/>
          <w:color w:val="000000"/>
        </w:rPr>
        <w:t> </w:t>
      </w:r>
      <w:r w:rsidRPr="00EF2107">
        <w:rPr>
          <w:rStyle w:val="hoverbg-blue-100"/>
          <w:rFonts w:ascii="Arial" w:hAnsi="Arial" w:cs="Arial"/>
          <w:color w:val="000000"/>
        </w:rPr>
        <w:t>William James (1890) stated that “Everyone knows what attention is.</w:t>
      </w:r>
      <w:r w:rsidRPr="00EF2107">
        <w:rPr>
          <w:rStyle w:val="apple-converted-space"/>
          <w:rFonts w:ascii="Arial" w:hAnsi="Arial" w:cs="Arial"/>
          <w:color w:val="000000"/>
        </w:rPr>
        <w:t> </w:t>
      </w:r>
      <w:r w:rsidRPr="00EF2107">
        <w:rPr>
          <w:rStyle w:val="hoverbg-blue-100"/>
          <w:rFonts w:ascii="Arial" w:hAnsi="Arial" w:cs="Arial"/>
          <w:color w:val="000000"/>
        </w:rPr>
        <w:t>It is the taking possession of the mind, in clear awareness, by one out of what may seem several simultaneously possible objects or trains of thought.” Perhaps what’s interesting about this antiquated definition is that it’s still applicable today.</w:t>
      </w:r>
      <w:r w:rsidRPr="00EF2107">
        <w:rPr>
          <w:rStyle w:val="apple-converted-space"/>
          <w:rFonts w:ascii="Arial" w:hAnsi="Arial" w:cs="Arial"/>
          <w:color w:val="000000"/>
        </w:rPr>
        <w:t> </w:t>
      </w:r>
      <w:r w:rsidRPr="00EF2107">
        <w:rPr>
          <w:rStyle w:val="hoverbg-blue-100"/>
          <w:rFonts w:ascii="Arial" w:hAnsi="Arial" w:cs="Arial"/>
          <w:color w:val="000000"/>
        </w:rPr>
        <w:t>The key feature of attention, captured by James’ definition, is selectivity.</w:t>
      </w:r>
    </w:p>
    <w:p w14:paraId="0E9B9B29" w14:textId="45EC6AC3" w:rsidR="00EF2107" w:rsidRPr="00EF2107" w:rsidRDefault="00EF2107" w:rsidP="00EF2107">
      <w:pPr>
        <w:spacing w:after="120" w:line="276" w:lineRule="auto"/>
        <w:jc w:val="both"/>
        <w:rPr>
          <w:rStyle w:val="hoverbg-blue-100"/>
          <w:rFonts w:ascii="Arial" w:hAnsi="Arial" w:cs="Arial"/>
          <w:color w:val="000000"/>
        </w:rPr>
      </w:pPr>
      <w:r w:rsidRPr="00EF2107">
        <w:rPr>
          <w:rStyle w:val="hoverbg-blue-100"/>
          <w:rFonts w:ascii="Arial" w:hAnsi="Arial" w:cs="Arial"/>
          <w:color w:val="000000"/>
        </w:rPr>
        <w:t>Fast-forward 100 years and attention research was refined even further.</w:t>
      </w:r>
      <w:r w:rsidRPr="00EF2107">
        <w:rPr>
          <w:rStyle w:val="apple-converted-space"/>
          <w:rFonts w:ascii="Arial" w:hAnsi="Arial" w:cs="Arial"/>
          <w:color w:val="000000"/>
        </w:rPr>
        <w:t> </w:t>
      </w:r>
      <w:r w:rsidRPr="00EF2107">
        <w:rPr>
          <w:rStyle w:val="text-black"/>
          <w:rFonts w:ascii="Arial" w:hAnsi="Arial" w:cs="Arial"/>
          <w:color w:val="000000"/>
        </w:rPr>
        <w:t>Posner and Petersen (1990) defined three distinct attention networks: alerting, orienting, and executive control.</w:t>
      </w:r>
      <w:r w:rsidRPr="00EF2107">
        <w:rPr>
          <w:rStyle w:val="apple-converted-space"/>
          <w:rFonts w:ascii="Arial" w:hAnsi="Arial" w:cs="Arial"/>
          <w:color w:val="000000"/>
        </w:rPr>
        <w:t> </w:t>
      </w:r>
      <w:r w:rsidRPr="00EF2107">
        <w:rPr>
          <w:rStyle w:val="hoverbg-blue-100"/>
          <w:rFonts w:ascii="Arial" w:hAnsi="Arial" w:cs="Arial"/>
          <w:color w:val="000000"/>
        </w:rPr>
        <w:t>Alerting refers to maintaining a state of readiness.</w:t>
      </w:r>
      <w:r w:rsidRPr="00EF2107">
        <w:rPr>
          <w:rStyle w:val="apple-converted-space"/>
          <w:rFonts w:ascii="Arial" w:hAnsi="Arial" w:cs="Arial"/>
          <w:color w:val="000000"/>
        </w:rPr>
        <w:t> </w:t>
      </w:r>
      <w:r w:rsidRPr="00EF2107">
        <w:rPr>
          <w:rStyle w:val="text-black"/>
          <w:rFonts w:ascii="Arial" w:hAnsi="Arial" w:cs="Arial"/>
          <w:color w:val="000000"/>
        </w:rPr>
        <w:t>Orienting involves focusing on sensory events.</w:t>
      </w:r>
      <w:r w:rsidRPr="00EF2107">
        <w:rPr>
          <w:rStyle w:val="apple-converted-space"/>
          <w:rFonts w:ascii="Arial" w:hAnsi="Arial" w:cs="Arial"/>
          <w:color w:val="000000"/>
        </w:rPr>
        <w:t> </w:t>
      </w:r>
      <w:r w:rsidRPr="00EF2107">
        <w:rPr>
          <w:rStyle w:val="hoverbg-blue-100"/>
          <w:rFonts w:ascii="Arial" w:hAnsi="Arial" w:cs="Arial"/>
          <w:color w:val="000000"/>
        </w:rPr>
        <w:t xml:space="preserve">Executive control is the conflict resolution system that keeps our </w:t>
      </w:r>
      <w:proofErr w:type="gramStart"/>
      <w:r w:rsidRPr="00EF2107">
        <w:rPr>
          <w:rStyle w:val="hoverbg-blue-100"/>
          <w:rFonts w:ascii="Arial" w:hAnsi="Arial" w:cs="Arial"/>
          <w:color w:val="000000"/>
        </w:rPr>
        <w:t>responses</w:t>
      </w:r>
      <w:proofErr w:type="gramEnd"/>
      <w:r w:rsidRPr="00EF2107">
        <w:rPr>
          <w:rStyle w:val="hoverbg-blue-100"/>
          <w:rFonts w:ascii="Arial" w:hAnsi="Arial" w:cs="Arial"/>
          <w:color w:val="000000"/>
        </w:rPr>
        <w:t xml:space="preserve"> goal directed.</w:t>
      </w:r>
      <w:r w:rsidRPr="00EF2107">
        <w:rPr>
          <w:rStyle w:val="apple-converted-space"/>
          <w:rFonts w:ascii="Arial" w:hAnsi="Arial" w:cs="Arial"/>
          <w:color w:val="000000"/>
        </w:rPr>
        <w:t> </w:t>
      </w:r>
      <w:r w:rsidRPr="00EF2107">
        <w:rPr>
          <w:rStyle w:val="hoverbg-blue-100"/>
          <w:rFonts w:ascii="Arial" w:hAnsi="Arial" w:cs="Arial"/>
          <w:color w:val="000000"/>
        </w:rPr>
        <w:t>Subsequent neuroimaging research has found general support for this model (Fan et al., 2002), and so it remains popular to this day.</w:t>
      </w:r>
      <w:r w:rsidRPr="00EF2107">
        <w:rPr>
          <w:rStyle w:val="apple-converted-space"/>
          <w:rFonts w:ascii="Arial" w:hAnsi="Arial" w:cs="Arial"/>
          <w:color w:val="000000"/>
        </w:rPr>
        <w:t> </w:t>
      </w:r>
      <w:r w:rsidRPr="00EF2107">
        <w:rPr>
          <w:rStyle w:val="hoverbg-blue-100"/>
          <w:rFonts w:ascii="Arial" w:hAnsi="Arial" w:cs="Arial"/>
          <w:color w:val="000000"/>
        </w:rPr>
        <w:t xml:space="preserve">Of the three networks described above, executive control is the one most relevant to </w:t>
      </w:r>
      <w:proofErr w:type="spellStart"/>
      <w:r w:rsidRPr="00EF2107">
        <w:rPr>
          <w:rStyle w:val="hoverbg-blue-100"/>
          <w:rFonts w:ascii="Arial" w:hAnsi="Arial" w:cs="Arial"/>
          <w:color w:val="000000"/>
        </w:rPr>
        <w:t>DeepFocus</w:t>
      </w:r>
      <w:proofErr w:type="spellEnd"/>
      <w:r w:rsidRPr="00EF2107">
        <w:rPr>
          <w:rStyle w:val="hoverbg-blue-100"/>
          <w:rFonts w:ascii="Arial" w:hAnsi="Arial" w:cs="Arial"/>
          <w:color w:val="000000"/>
        </w:rPr>
        <w:t>.</w:t>
      </w:r>
      <w:r w:rsidRPr="00EF2107">
        <w:rPr>
          <w:rStyle w:val="apple-converted-space"/>
          <w:rFonts w:ascii="Arial" w:hAnsi="Arial" w:cs="Arial"/>
          <w:color w:val="000000"/>
        </w:rPr>
        <w:t> </w:t>
      </w:r>
      <w:r w:rsidRPr="00EF2107">
        <w:rPr>
          <w:rStyle w:val="hoverbg-blue-100"/>
          <w:rFonts w:ascii="Arial" w:hAnsi="Arial" w:cs="Arial"/>
          <w:color w:val="000000"/>
        </w:rPr>
        <w:t>It is the system we use to stay focused on a goal and ignore distractions, and it is the aspect of attention that a user will draw upon while working or studying.</w:t>
      </w:r>
    </w:p>
    <w:p w14:paraId="42811583" w14:textId="3D500DF6" w:rsidR="00EF2107" w:rsidRPr="00EF2107" w:rsidRDefault="00EF2107" w:rsidP="00EF2107">
      <w:pPr>
        <w:pStyle w:val="Heading3"/>
        <w:spacing w:line="276" w:lineRule="auto"/>
        <w:rPr>
          <w:rStyle w:val="hoverbg-blue-100"/>
          <w:rFonts w:ascii="Arial" w:hAnsi="Arial" w:cs="Arial"/>
          <w:b w:val="0"/>
          <w:bCs w:val="0"/>
          <w:color w:val="000000"/>
          <w:sz w:val="24"/>
          <w:szCs w:val="24"/>
        </w:rPr>
      </w:pPr>
      <w:r w:rsidRPr="00EF2107">
        <w:rPr>
          <w:rStyle w:val="hoverbg-blue-100"/>
          <w:rFonts w:ascii="Arial" w:hAnsi="Arial" w:cs="Arial"/>
          <w:b w:val="0"/>
          <w:bCs w:val="0"/>
          <w:color w:val="000000"/>
          <w:sz w:val="24"/>
          <w:szCs w:val="24"/>
        </w:rPr>
        <w:t>There is another useful taxonomy that divides attention into selective attention, sustained attention, and divided attention.</w:t>
      </w:r>
      <w:r w:rsidRPr="00EF2107">
        <w:rPr>
          <w:rStyle w:val="apple-converted-space"/>
          <w:rFonts w:ascii="Arial" w:hAnsi="Arial" w:cs="Arial"/>
          <w:b w:val="0"/>
          <w:bCs w:val="0"/>
          <w:color w:val="000000"/>
          <w:sz w:val="24"/>
          <w:szCs w:val="24"/>
        </w:rPr>
        <w:t> </w:t>
      </w:r>
      <w:r w:rsidRPr="00EF2107">
        <w:rPr>
          <w:rStyle w:val="hoverbg-blue-100"/>
          <w:rFonts w:ascii="Arial" w:hAnsi="Arial" w:cs="Arial"/>
          <w:b w:val="0"/>
          <w:bCs w:val="0"/>
          <w:color w:val="000000"/>
          <w:sz w:val="24"/>
          <w:szCs w:val="24"/>
        </w:rPr>
        <w:t xml:space="preserve">Selective attention refers to how we filter what’s important from what’s not (Broadbent, 1958; </w:t>
      </w:r>
      <w:proofErr w:type="spellStart"/>
      <w:r w:rsidRPr="00EF2107">
        <w:rPr>
          <w:rStyle w:val="hoverbg-blue-100"/>
          <w:rFonts w:ascii="Arial" w:hAnsi="Arial" w:cs="Arial"/>
          <w:b w:val="0"/>
          <w:bCs w:val="0"/>
          <w:color w:val="000000"/>
          <w:sz w:val="24"/>
          <w:szCs w:val="24"/>
        </w:rPr>
        <w:t>Treisman</w:t>
      </w:r>
      <w:proofErr w:type="spellEnd"/>
      <w:r w:rsidRPr="00EF2107">
        <w:rPr>
          <w:rStyle w:val="hoverbg-blue-100"/>
          <w:rFonts w:ascii="Arial" w:hAnsi="Arial" w:cs="Arial"/>
          <w:b w:val="0"/>
          <w:bCs w:val="0"/>
          <w:color w:val="000000"/>
          <w:sz w:val="24"/>
          <w:szCs w:val="24"/>
        </w:rPr>
        <w:t>, 1964).</w:t>
      </w:r>
      <w:r w:rsidRPr="00EF2107">
        <w:rPr>
          <w:rStyle w:val="apple-converted-space"/>
          <w:rFonts w:ascii="Arial" w:hAnsi="Arial" w:cs="Arial"/>
          <w:b w:val="0"/>
          <w:bCs w:val="0"/>
          <w:color w:val="000000"/>
          <w:sz w:val="24"/>
          <w:szCs w:val="24"/>
        </w:rPr>
        <w:t> </w:t>
      </w:r>
      <w:r w:rsidRPr="00EF2107">
        <w:rPr>
          <w:rStyle w:val="hoverbg-blue-100"/>
          <w:rFonts w:ascii="Arial" w:hAnsi="Arial" w:cs="Arial"/>
          <w:b w:val="0"/>
          <w:bCs w:val="0"/>
          <w:color w:val="000000"/>
          <w:sz w:val="24"/>
          <w:szCs w:val="24"/>
        </w:rPr>
        <w:t>Sustained attention, also known as vigilance, is the ability to maintain attention over time (Parasuraman, 1998).</w:t>
      </w:r>
      <w:r w:rsidRPr="00EF2107">
        <w:rPr>
          <w:rStyle w:val="apple-converted-space"/>
          <w:rFonts w:ascii="Arial" w:hAnsi="Arial" w:cs="Arial"/>
          <w:b w:val="0"/>
          <w:bCs w:val="0"/>
          <w:color w:val="000000"/>
          <w:sz w:val="24"/>
          <w:szCs w:val="24"/>
        </w:rPr>
        <w:t> </w:t>
      </w:r>
      <w:r w:rsidRPr="00EF2107">
        <w:rPr>
          <w:rStyle w:val="hoverbg-blue-100"/>
          <w:rFonts w:ascii="Arial" w:hAnsi="Arial" w:cs="Arial"/>
          <w:b w:val="0"/>
          <w:bCs w:val="0"/>
          <w:color w:val="000000"/>
          <w:sz w:val="24"/>
          <w:szCs w:val="24"/>
        </w:rPr>
        <w:t xml:space="preserve">Divided attention refers to paying attention to more than one </w:t>
      </w:r>
      <w:r w:rsidRPr="00EF2107">
        <w:rPr>
          <w:rStyle w:val="hoverbg-blue-100"/>
          <w:rFonts w:ascii="Arial" w:hAnsi="Arial" w:cs="Arial"/>
          <w:b w:val="0"/>
          <w:bCs w:val="0"/>
          <w:color w:val="000000"/>
          <w:sz w:val="24"/>
          <w:szCs w:val="24"/>
        </w:rPr>
        <w:lastRenderedPageBreak/>
        <w:t>thing at a time (</w:t>
      </w:r>
      <w:proofErr w:type="spellStart"/>
      <w:r w:rsidRPr="00EF2107">
        <w:rPr>
          <w:rStyle w:val="hoverbg-blue-100"/>
          <w:rFonts w:ascii="Arial" w:hAnsi="Arial" w:cs="Arial"/>
          <w:b w:val="0"/>
          <w:bCs w:val="0"/>
          <w:color w:val="000000"/>
          <w:sz w:val="24"/>
          <w:szCs w:val="24"/>
        </w:rPr>
        <w:t>Pashler</w:t>
      </w:r>
      <w:proofErr w:type="spellEnd"/>
      <w:r w:rsidRPr="00EF2107">
        <w:rPr>
          <w:rStyle w:val="hoverbg-blue-100"/>
          <w:rFonts w:ascii="Arial" w:hAnsi="Arial" w:cs="Arial"/>
          <w:b w:val="0"/>
          <w:bCs w:val="0"/>
          <w:color w:val="000000"/>
          <w:sz w:val="24"/>
          <w:szCs w:val="24"/>
        </w:rPr>
        <w:t>, 1998).</w:t>
      </w:r>
      <w:r w:rsidRPr="00EF2107">
        <w:rPr>
          <w:rStyle w:val="apple-converted-space"/>
          <w:rFonts w:ascii="Arial" w:hAnsi="Arial" w:cs="Arial"/>
          <w:b w:val="0"/>
          <w:bCs w:val="0"/>
          <w:color w:val="000000"/>
          <w:sz w:val="24"/>
          <w:szCs w:val="24"/>
        </w:rPr>
        <w:t> </w:t>
      </w:r>
      <w:r w:rsidRPr="00EF2107">
        <w:rPr>
          <w:rStyle w:val="hoverbg-blue-100"/>
          <w:rFonts w:ascii="Arial" w:hAnsi="Arial" w:cs="Arial"/>
          <w:b w:val="0"/>
          <w:bCs w:val="0"/>
          <w:color w:val="000000"/>
          <w:sz w:val="24"/>
          <w:szCs w:val="24"/>
        </w:rPr>
        <w:t xml:space="preserve">All these types of attention come into play when using a computer, but sustained attention is most relevant to </w:t>
      </w:r>
      <w:proofErr w:type="spellStart"/>
      <w:r w:rsidRPr="00EF2107">
        <w:rPr>
          <w:rStyle w:val="hoverbg-blue-100"/>
          <w:rFonts w:ascii="Arial" w:hAnsi="Arial" w:cs="Arial"/>
          <w:b w:val="0"/>
          <w:bCs w:val="0"/>
          <w:color w:val="000000"/>
          <w:sz w:val="24"/>
          <w:szCs w:val="24"/>
        </w:rPr>
        <w:t>DeepFocus</w:t>
      </w:r>
      <w:proofErr w:type="spellEnd"/>
      <w:r w:rsidRPr="00EF2107">
        <w:rPr>
          <w:rStyle w:val="hoverbg-blue-100"/>
          <w:rFonts w:ascii="Arial" w:hAnsi="Arial" w:cs="Arial"/>
          <w:b w:val="0"/>
          <w:bCs w:val="0"/>
          <w:color w:val="000000"/>
          <w:sz w:val="24"/>
          <w:szCs w:val="24"/>
        </w:rPr>
        <w:t>.</w:t>
      </w:r>
      <w:r w:rsidRPr="00EF2107">
        <w:rPr>
          <w:rStyle w:val="apple-converted-space"/>
          <w:rFonts w:ascii="Arial" w:hAnsi="Arial" w:cs="Arial"/>
          <w:b w:val="0"/>
          <w:bCs w:val="0"/>
          <w:color w:val="000000"/>
          <w:sz w:val="24"/>
          <w:szCs w:val="24"/>
        </w:rPr>
        <w:t> </w:t>
      </w:r>
      <w:r w:rsidRPr="00EF2107">
        <w:rPr>
          <w:rStyle w:val="hoverbg-blue-100"/>
          <w:rFonts w:ascii="Arial" w:hAnsi="Arial" w:cs="Arial"/>
          <w:b w:val="0"/>
          <w:bCs w:val="0"/>
          <w:color w:val="000000"/>
          <w:sz w:val="24"/>
          <w:szCs w:val="24"/>
        </w:rPr>
        <w:t>Focusing on a task for an extended period is a sustained attention activity.</w:t>
      </w:r>
    </w:p>
    <w:p w14:paraId="3ACBE537" w14:textId="4FEC979C" w:rsidR="005947D3" w:rsidRPr="00EF2107" w:rsidRDefault="00000000" w:rsidP="00EF2107">
      <w:pPr>
        <w:pStyle w:val="Heading3"/>
        <w:spacing w:line="276" w:lineRule="auto"/>
        <w:rPr>
          <w:rFonts w:ascii="Arial" w:hAnsi="Arial" w:cs="Arial"/>
        </w:rPr>
      </w:pPr>
      <w:r w:rsidRPr="00EF2107">
        <w:rPr>
          <w:rFonts w:ascii="Arial" w:hAnsi="Arial" w:cs="Arial"/>
        </w:rPr>
        <w:t>2.1.2 Concentration as a Dimension of Sustained Attention</w:t>
      </w:r>
    </w:p>
    <w:p w14:paraId="3B25309E" w14:textId="77777777" w:rsidR="005947D3" w:rsidRPr="00EF2107" w:rsidRDefault="00000000" w:rsidP="00EF2107">
      <w:pPr>
        <w:spacing w:after="120" w:line="276" w:lineRule="auto"/>
        <w:jc w:val="both"/>
        <w:rPr>
          <w:rFonts w:ascii="Arial" w:hAnsi="Arial" w:cs="Arial"/>
        </w:rPr>
      </w:pPr>
      <w:r w:rsidRPr="00EF2107">
        <w:rPr>
          <w:rFonts w:ascii="Arial" w:hAnsi="Arial" w:cs="Arial"/>
        </w:rPr>
        <w:t xml:space="preserve">Where attention is the broader theoretical umbrella, concentration tends to be treated in the literature as a more applied, context-bound construct. Educational and workplace psychologists typically define it as the intensity and continuity of mental effort directed at a specific task (Csikszentmihalyi, 1990; </w:t>
      </w:r>
      <w:proofErr w:type="spellStart"/>
      <w:r w:rsidRPr="00EF2107">
        <w:rPr>
          <w:rFonts w:ascii="Arial" w:hAnsi="Arial" w:cs="Arial"/>
        </w:rPr>
        <w:t>Corno</w:t>
      </w:r>
      <w:proofErr w:type="spellEnd"/>
      <w:r w:rsidRPr="00EF2107">
        <w:rPr>
          <w:rFonts w:ascii="Arial" w:hAnsi="Arial" w:cs="Arial"/>
        </w:rPr>
        <w:t>, 1993). This framing shares obvious common ground with sustained attention but places greater emphasis on voluntary effort and active task engagement.</w:t>
      </w:r>
    </w:p>
    <w:p w14:paraId="1CC6FBBC" w14:textId="77777777" w:rsidR="005947D3" w:rsidRPr="00EF2107" w:rsidRDefault="00000000" w:rsidP="00EF2107">
      <w:pPr>
        <w:spacing w:after="120" w:line="276" w:lineRule="auto"/>
        <w:jc w:val="both"/>
        <w:rPr>
          <w:rFonts w:ascii="Arial" w:hAnsi="Arial" w:cs="Arial"/>
        </w:rPr>
      </w:pPr>
      <w:r w:rsidRPr="00EF2107">
        <w:rPr>
          <w:rFonts w:ascii="Arial" w:hAnsi="Arial" w:cs="Arial"/>
        </w:rPr>
        <w:t>Csikszentmihalyi's (1990) concept of flow offers a particularly vivid picture of concentration at its peak. Flow involves complete absorption in an activity, a diminished awareness of self, and a distorted perception of time. Reaching flow is not always possible—it depends on a balance between perceived challenge and skill level—but the underlying dimensions of deep focus and intrinsic engagement provide a workable theoretical reference for what high concentration looks like. At the opposite end, low concentration maps onto what Smallwood and Schooler (2006) call mind wandering: the drift of attention from a primary task to unrelated internal thoughts. The prevalence of mind wandering is striking. Research suggests it occupies roughly 30 to 50 per cent of waking life and is consistently linked to poorer task performance (</w:t>
      </w:r>
      <w:proofErr w:type="spellStart"/>
      <w:r w:rsidRPr="00EF2107">
        <w:rPr>
          <w:rFonts w:ascii="Arial" w:hAnsi="Arial" w:cs="Arial"/>
        </w:rPr>
        <w:t>Seli</w:t>
      </w:r>
      <w:proofErr w:type="spellEnd"/>
      <w:r w:rsidRPr="00EF2107">
        <w:rPr>
          <w:rFonts w:ascii="Arial" w:hAnsi="Arial" w:cs="Arial"/>
        </w:rPr>
        <w:t xml:space="preserve"> et al., 2016; </w:t>
      </w:r>
      <w:proofErr w:type="spellStart"/>
      <w:r w:rsidRPr="00EF2107">
        <w:rPr>
          <w:rFonts w:ascii="Arial" w:hAnsi="Arial" w:cs="Arial"/>
        </w:rPr>
        <w:t>Risko</w:t>
      </w:r>
      <w:proofErr w:type="spellEnd"/>
      <w:r w:rsidRPr="00EF2107">
        <w:rPr>
          <w:rFonts w:ascii="Arial" w:hAnsi="Arial" w:cs="Arial"/>
        </w:rPr>
        <w:t xml:space="preserve"> et al., 2012).</w:t>
      </w:r>
    </w:p>
    <w:p w14:paraId="18B42913" w14:textId="77777777" w:rsidR="005947D3" w:rsidRPr="00EF2107" w:rsidRDefault="00000000" w:rsidP="00EF2107">
      <w:pPr>
        <w:spacing w:after="120" w:line="276" w:lineRule="auto"/>
        <w:jc w:val="both"/>
        <w:rPr>
          <w:rFonts w:ascii="Arial" w:hAnsi="Arial" w:cs="Arial"/>
        </w:rPr>
      </w:pPr>
      <w:proofErr w:type="spellStart"/>
      <w:r w:rsidRPr="00EF2107">
        <w:rPr>
          <w:rFonts w:ascii="Arial" w:hAnsi="Arial" w:cs="Arial"/>
        </w:rPr>
        <w:t>DeepFocus</w:t>
      </w:r>
      <w:proofErr w:type="spellEnd"/>
      <w:r w:rsidRPr="00EF2107">
        <w:rPr>
          <w:rFonts w:ascii="Arial" w:hAnsi="Arial" w:cs="Arial"/>
        </w:rPr>
        <w:t xml:space="preserve"> operationalises concentration as a continuous spectrum ranging from low—characterised by frequent disengagement and task-irrelevant behaviour—to high—marked by sustained, uninterrupted task focus. This operational definition draws on the sustained attention literature while grounding itself in the behavioural indicators that a web-based system can actually </w:t>
      </w:r>
      <w:proofErr w:type="gramStart"/>
      <w:r w:rsidRPr="00EF2107">
        <w:rPr>
          <w:rFonts w:ascii="Arial" w:hAnsi="Arial" w:cs="Arial"/>
        </w:rPr>
        <w:t>observe:</w:t>
      </w:r>
      <w:proofErr w:type="gramEnd"/>
      <w:r w:rsidRPr="00EF2107">
        <w:rPr>
          <w:rFonts w:ascii="Arial" w:hAnsi="Arial" w:cs="Arial"/>
        </w:rPr>
        <w:t xml:space="preserve"> gaze direction, interaction patterns, and tab-switching activity.</w:t>
      </w:r>
    </w:p>
    <w:p w14:paraId="52988635" w14:textId="77777777" w:rsidR="005947D3" w:rsidRPr="00EF2107" w:rsidRDefault="00000000" w:rsidP="00EF2107">
      <w:pPr>
        <w:pStyle w:val="Heading3"/>
        <w:spacing w:line="276" w:lineRule="auto"/>
        <w:rPr>
          <w:rFonts w:ascii="Arial" w:hAnsi="Arial" w:cs="Arial"/>
        </w:rPr>
      </w:pPr>
      <w:r w:rsidRPr="00EF2107">
        <w:rPr>
          <w:rFonts w:ascii="Arial" w:hAnsi="Arial" w:cs="Arial"/>
        </w:rPr>
        <w:t>2.1.3 Attention in Digital Learning and Work Environments</w:t>
      </w:r>
    </w:p>
    <w:p w14:paraId="1F8D52DE" w14:textId="0F71E7C3" w:rsidR="005947D3" w:rsidRPr="00EF2107" w:rsidRDefault="00EF2107" w:rsidP="00EF2107">
      <w:pPr>
        <w:spacing w:after="120" w:line="276" w:lineRule="auto"/>
        <w:jc w:val="both"/>
        <w:rPr>
          <w:rFonts w:ascii="Arial" w:hAnsi="Arial" w:cs="Arial"/>
        </w:rPr>
      </w:pPr>
      <w:r w:rsidRPr="00EF2107">
        <w:rPr>
          <w:rFonts w:ascii="Arial" w:hAnsi="Arial" w:cs="Arial"/>
        </w:rPr>
        <w:t xml:space="preserve">Learning and working online has created new challenges for attention maintenance. </w:t>
      </w:r>
      <w:proofErr w:type="spellStart"/>
      <w:r w:rsidRPr="00EF2107">
        <w:rPr>
          <w:rFonts w:ascii="Arial" w:hAnsi="Arial" w:cs="Arial"/>
        </w:rPr>
        <w:t>Roda</w:t>
      </w:r>
      <w:proofErr w:type="spellEnd"/>
      <w:r w:rsidRPr="00EF2107">
        <w:rPr>
          <w:rFonts w:ascii="Arial" w:hAnsi="Arial" w:cs="Arial"/>
        </w:rPr>
        <w:t xml:space="preserve"> (2011) suggests that the open-ended nature of digital platforms creates a barrage of </w:t>
      </w:r>
      <w:proofErr w:type="spellStart"/>
      <w:r w:rsidRPr="00EF2107">
        <w:rPr>
          <w:rFonts w:ascii="Arial" w:hAnsi="Arial" w:cs="Arial"/>
        </w:rPr>
        <w:t>interrupptions</w:t>
      </w:r>
      <w:proofErr w:type="spellEnd"/>
      <w:r w:rsidRPr="00EF2107">
        <w:rPr>
          <w:rFonts w:ascii="Arial" w:hAnsi="Arial" w:cs="Arial"/>
        </w:rPr>
        <w:t xml:space="preserve"> (notifications, links, etc.) that fundamentally alter attention allocation when compared to traditional, non-digital contexts. </w:t>
      </w:r>
      <w:proofErr w:type="gramStart"/>
      <w:r w:rsidRPr="00EF2107">
        <w:rPr>
          <w:rFonts w:ascii="Arial" w:hAnsi="Arial" w:cs="Arial"/>
        </w:rPr>
        <w:t>Supporting this claim, there</w:t>
      </w:r>
      <w:proofErr w:type="gramEnd"/>
      <w:r w:rsidRPr="00EF2107">
        <w:rPr>
          <w:rFonts w:ascii="Arial" w:hAnsi="Arial" w:cs="Arial"/>
        </w:rPr>
        <w:t xml:space="preserve"> is evidence that workers in digital spaces switch tasks approximately every three minutes (Mark et al., 2008), leading to both increased anxiety and lower quality of work. Similar issues occur in learning environments. </w:t>
      </w:r>
      <w:proofErr w:type="spellStart"/>
      <w:r w:rsidRPr="00EF2107">
        <w:rPr>
          <w:rFonts w:ascii="Arial" w:hAnsi="Arial" w:cs="Arial"/>
        </w:rPr>
        <w:t>Risko</w:t>
      </w:r>
      <w:proofErr w:type="spellEnd"/>
      <w:r w:rsidRPr="00EF2107">
        <w:rPr>
          <w:rFonts w:ascii="Arial" w:hAnsi="Arial" w:cs="Arial"/>
        </w:rPr>
        <w:t xml:space="preserve"> et al. (2013) show students engaged in digital learning tasks frequently engage in off-task </w:t>
      </w:r>
      <w:proofErr w:type="spellStart"/>
      <w:r w:rsidRPr="00EF2107">
        <w:rPr>
          <w:rFonts w:ascii="Arial" w:hAnsi="Arial" w:cs="Arial"/>
        </w:rPr>
        <w:t>behavior</w:t>
      </w:r>
      <w:proofErr w:type="spellEnd"/>
      <w:r w:rsidRPr="00EF2107">
        <w:rPr>
          <w:rFonts w:ascii="Arial" w:hAnsi="Arial" w:cs="Arial"/>
        </w:rPr>
        <w:t xml:space="preserve"> such as visiting non-class-related websites, using social media, or multitasking with other projects. Off-task </w:t>
      </w:r>
      <w:proofErr w:type="spellStart"/>
      <w:r w:rsidRPr="00EF2107">
        <w:rPr>
          <w:rFonts w:ascii="Arial" w:hAnsi="Arial" w:cs="Arial"/>
        </w:rPr>
        <w:t>behavior</w:t>
      </w:r>
      <w:proofErr w:type="spellEnd"/>
      <w:r w:rsidRPr="00EF2107">
        <w:rPr>
          <w:rFonts w:ascii="Arial" w:hAnsi="Arial" w:cs="Arial"/>
        </w:rPr>
        <w:t xml:space="preserve"> is exactly what can be inferred from browsing history and keystroke patterns, motivating </w:t>
      </w:r>
      <w:proofErr w:type="spellStart"/>
      <w:r w:rsidRPr="00EF2107">
        <w:rPr>
          <w:rFonts w:ascii="Arial" w:hAnsi="Arial" w:cs="Arial"/>
        </w:rPr>
        <w:t>DeepFocus</w:t>
      </w:r>
      <w:proofErr w:type="spellEnd"/>
      <w:r w:rsidRPr="00EF2107">
        <w:rPr>
          <w:rFonts w:ascii="Arial" w:hAnsi="Arial" w:cs="Arial"/>
        </w:rPr>
        <w:t xml:space="preserve">’ multimodal capture strategy. The key difference between conducting a lab-based attention experiment, complete with carefully crafted </w:t>
      </w:r>
      <w:r w:rsidRPr="00EF2107">
        <w:rPr>
          <w:rFonts w:ascii="Arial" w:hAnsi="Arial" w:cs="Arial"/>
        </w:rPr>
        <w:lastRenderedPageBreak/>
        <w:t xml:space="preserve">stimuli and tightly controlled paradigms, and measuring attention in the wild of a digital workspace is one of complexity. In the wild, attention must be inferred from coarse, overlapping signals of user </w:t>
      </w:r>
      <w:proofErr w:type="spellStart"/>
      <w:r w:rsidRPr="00EF2107">
        <w:rPr>
          <w:rFonts w:ascii="Arial" w:hAnsi="Arial" w:cs="Arial"/>
        </w:rPr>
        <w:t>behavior</w:t>
      </w:r>
      <w:proofErr w:type="spellEnd"/>
      <w:r w:rsidRPr="00EF2107">
        <w:rPr>
          <w:rFonts w:ascii="Arial" w:hAnsi="Arial" w:cs="Arial"/>
        </w:rPr>
        <w:t xml:space="preserve"> and visual attention rather than unitary tasks. The recent COVID-19 pandemic brought this issue to the forefront of research as users worldwide transitioned to online learning and working, leading to new interest in passive attention monitoring technologies that can operate at a distance (Means and </w:t>
      </w:r>
      <w:proofErr w:type="spellStart"/>
      <w:r w:rsidRPr="00EF2107">
        <w:rPr>
          <w:rFonts w:ascii="Arial" w:hAnsi="Arial" w:cs="Arial"/>
        </w:rPr>
        <w:t>Neisler</w:t>
      </w:r>
      <w:proofErr w:type="spellEnd"/>
      <w:r w:rsidRPr="00EF2107">
        <w:rPr>
          <w:rFonts w:ascii="Arial" w:hAnsi="Arial" w:cs="Arial"/>
        </w:rPr>
        <w:t xml:space="preserve">, 2021). </w:t>
      </w:r>
      <w:proofErr w:type="spellStart"/>
      <w:r w:rsidRPr="00EF2107">
        <w:rPr>
          <w:rFonts w:ascii="Arial" w:hAnsi="Arial" w:cs="Arial"/>
        </w:rPr>
        <w:t>DeepFocus</w:t>
      </w:r>
      <w:proofErr w:type="spellEnd"/>
      <w:r w:rsidRPr="00EF2107">
        <w:rPr>
          <w:rFonts w:ascii="Arial" w:hAnsi="Arial" w:cs="Arial"/>
        </w:rPr>
        <w:t xml:space="preserve"> contributes to this space by providing a browser-based solution to measuring attention that operates in real-time and does not require any external hardware.</w:t>
      </w:r>
    </w:p>
    <w:p w14:paraId="0BB0C679" w14:textId="77777777" w:rsidR="005947D3" w:rsidRPr="000E2790" w:rsidRDefault="00000000" w:rsidP="000E2790">
      <w:pPr>
        <w:pStyle w:val="Heading2"/>
        <w:spacing w:line="276" w:lineRule="auto"/>
        <w:rPr>
          <w:rFonts w:ascii="Arial" w:hAnsi="Arial" w:cs="Arial"/>
        </w:rPr>
      </w:pPr>
      <w:r w:rsidRPr="000E2790">
        <w:rPr>
          <w:rFonts w:ascii="Arial" w:hAnsi="Arial" w:cs="Arial"/>
        </w:rPr>
        <w:t>2.2 Measuring Attention and Concentration</w:t>
      </w:r>
    </w:p>
    <w:p w14:paraId="17BACFCC" w14:textId="77777777" w:rsidR="005947D3" w:rsidRPr="000E2790" w:rsidRDefault="00000000" w:rsidP="000E2790">
      <w:pPr>
        <w:spacing w:after="120" w:line="276" w:lineRule="auto"/>
        <w:jc w:val="both"/>
        <w:rPr>
          <w:rFonts w:ascii="Arial" w:hAnsi="Arial" w:cs="Arial"/>
          <w:lang w:val="en-US"/>
        </w:rPr>
      </w:pPr>
      <w:r w:rsidRPr="000E2790">
        <w:rPr>
          <w:rFonts w:ascii="Arial" w:hAnsi="Arial" w:cs="Arial"/>
        </w:rPr>
        <w:t>Measuring attention and concentration remains one of the more stubborn challenges across psychology, neuroscience, and human–computer interaction. The available methods differ considerably in invasiveness, ecological validity, and suitability for real-time use. The subsections below review four broad categories of measurement, assessing their strengths and limitations specifically in relation to browser-based concentration detection.</w:t>
      </w:r>
    </w:p>
    <w:p w14:paraId="74C295A8" w14:textId="77777777" w:rsidR="005947D3" w:rsidRPr="000E2790" w:rsidRDefault="00000000">
      <w:pPr>
        <w:pStyle w:val="Heading3"/>
        <w:rPr>
          <w:rFonts w:ascii="Arial" w:hAnsi="Arial" w:cs="Arial"/>
        </w:rPr>
      </w:pPr>
      <w:r w:rsidRPr="000E2790">
        <w:rPr>
          <w:rFonts w:ascii="Arial" w:hAnsi="Arial" w:cs="Arial"/>
        </w:rPr>
        <w:t>2.2.1 Self-Report and Subjective Measures</w:t>
      </w:r>
    </w:p>
    <w:p w14:paraId="23935084" w14:textId="77777777" w:rsidR="000E2790" w:rsidRPr="000E2790" w:rsidRDefault="000E2790" w:rsidP="000E2790">
      <w:pPr>
        <w:pStyle w:val="Heading3"/>
        <w:spacing w:line="276" w:lineRule="auto"/>
        <w:rPr>
          <w:rFonts w:ascii="Arial" w:hAnsi="Arial" w:cs="Arial"/>
          <w:b w:val="0"/>
          <w:bCs w:val="0"/>
          <w:sz w:val="24"/>
          <w:szCs w:val="24"/>
        </w:rPr>
      </w:pPr>
      <w:r w:rsidRPr="000E2790">
        <w:rPr>
          <w:rFonts w:ascii="Arial" w:hAnsi="Arial" w:cs="Arial"/>
          <w:b w:val="0"/>
          <w:bCs w:val="0"/>
          <w:sz w:val="24"/>
          <w:szCs w:val="24"/>
        </w:rPr>
        <w:t xml:space="preserve">Self-report scales are overwhelmingly the most common way to measure attention/concentration, especially in educational and workplace contexts. The NASA Task Load Index (NASA-TLX) asks users to self-report their perceived workload on dimensions like mental demand and effort; the NASA-TLX has been validated in lab and field studies (Hart and </w:t>
      </w:r>
      <w:proofErr w:type="spellStart"/>
      <w:r w:rsidRPr="000E2790">
        <w:rPr>
          <w:rFonts w:ascii="Arial" w:hAnsi="Arial" w:cs="Arial"/>
          <w:b w:val="0"/>
          <w:bCs w:val="0"/>
          <w:sz w:val="24"/>
          <w:szCs w:val="24"/>
        </w:rPr>
        <w:t>Staveland</w:t>
      </w:r>
      <w:proofErr w:type="spellEnd"/>
      <w:r w:rsidRPr="000E2790">
        <w:rPr>
          <w:rFonts w:ascii="Arial" w:hAnsi="Arial" w:cs="Arial"/>
          <w:b w:val="0"/>
          <w:bCs w:val="0"/>
          <w:sz w:val="24"/>
          <w:szCs w:val="24"/>
        </w:rPr>
        <w:t>, 1988). Experience sampling methods use probes to periodically query whether users are on-task or distracted at a given moment (Csikszentmihalyi and Larson, 1987). Custom Likert scales have also been used to ask learners to self-report their concentration during online lessons or workers to do so during computer-mediated tasks (</w:t>
      </w:r>
      <w:proofErr w:type="spellStart"/>
      <w:r w:rsidRPr="000E2790">
        <w:rPr>
          <w:rFonts w:ascii="Arial" w:hAnsi="Arial" w:cs="Arial"/>
          <w:b w:val="0"/>
          <w:bCs w:val="0"/>
          <w:sz w:val="24"/>
          <w:szCs w:val="24"/>
        </w:rPr>
        <w:t>D'Mello</w:t>
      </w:r>
      <w:proofErr w:type="spellEnd"/>
      <w:r w:rsidRPr="000E2790">
        <w:rPr>
          <w:rFonts w:ascii="Arial" w:hAnsi="Arial" w:cs="Arial"/>
          <w:b w:val="0"/>
          <w:bCs w:val="0"/>
          <w:sz w:val="24"/>
          <w:szCs w:val="24"/>
        </w:rPr>
        <w:t xml:space="preserve"> and </w:t>
      </w:r>
      <w:proofErr w:type="spellStart"/>
      <w:r w:rsidRPr="000E2790">
        <w:rPr>
          <w:rFonts w:ascii="Arial" w:hAnsi="Arial" w:cs="Arial"/>
          <w:b w:val="0"/>
          <w:bCs w:val="0"/>
          <w:sz w:val="24"/>
          <w:szCs w:val="24"/>
        </w:rPr>
        <w:t>Graesser</w:t>
      </w:r>
      <w:proofErr w:type="spellEnd"/>
      <w:r w:rsidRPr="000E2790">
        <w:rPr>
          <w:rFonts w:ascii="Arial" w:hAnsi="Arial" w:cs="Arial"/>
          <w:b w:val="0"/>
          <w:bCs w:val="0"/>
          <w:sz w:val="24"/>
          <w:szCs w:val="24"/>
        </w:rPr>
        <w:t xml:space="preserve">, 2012). </w:t>
      </w:r>
    </w:p>
    <w:p w14:paraId="18FDC834" w14:textId="05FBAFC8" w:rsidR="000E2790" w:rsidRPr="00CB7C9F" w:rsidRDefault="000E2790" w:rsidP="000E2790">
      <w:pPr>
        <w:pStyle w:val="Heading3"/>
        <w:spacing w:line="276" w:lineRule="auto"/>
        <w:rPr>
          <w:rFonts w:ascii="Arial" w:hAnsi="Arial" w:cs="Arial"/>
          <w:b w:val="0"/>
          <w:bCs w:val="0"/>
          <w:sz w:val="24"/>
          <w:szCs w:val="24"/>
          <w:lang w:val="en-US"/>
        </w:rPr>
      </w:pPr>
      <w:r w:rsidRPr="000E2790">
        <w:rPr>
          <w:rFonts w:ascii="Arial" w:hAnsi="Arial" w:cs="Arial"/>
          <w:b w:val="0"/>
          <w:bCs w:val="0"/>
          <w:sz w:val="24"/>
          <w:szCs w:val="24"/>
        </w:rPr>
        <w:t xml:space="preserve">The limitations are also well-known. Any retrospective self-report is subject to recall bias and/or social desirability concerns (Tourangeau et al., 2000). Experience sampling can circumvent recall biases by being more fine-grained in </w:t>
      </w:r>
      <w:proofErr w:type="gramStart"/>
      <w:r w:rsidRPr="000E2790">
        <w:rPr>
          <w:rFonts w:ascii="Arial" w:hAnsi="Arial" w:cs="Arial"/>
          <w:b w:val="0"/>
          <w:bCs w:val="0"/>
          <w:sz w:val="24"/>
          <w:szCs w:val="24"/>
        </w:rPr>
        <w:t>time, but</w:t>
      </w:r>
      <w:proofErr w:type="gramEnd"/>
      <w:r w:rsidRPr="000E2790">
        <w:rPr>
          <w:rFonts w:ascii="Arial" w:hAnsi="Arial" w:cs="Arial"/>
          <w:b w:val="0"/>
          <w:bCs w:val="0"/>
          <w:sz w:val="24"/>
          <w:szCs w:val="24"/>
        </w:rPr>
        <w:t xml:space="preserve"> is necessarily disruptive: by asking a user to answer a probe, you are forcing them to break from their current cognitive state (</w:t>
      </w:r>
      <w:proofErr w:type="spellStart"/>
      <w:r w:rsidRPr="000E2790">
        <w:rPr>
          <w:rFonts w:ascii="Arial" w:hAnsi="Arial" w:cs="Arial"/>
          <w:b w:val="0"/>
          <w:bCs w:val="0"/>
          <w:sz w:val="24"/>
          <w:szCs w:val="24"/>
        </w:rPr>
        <w:t>Seli</w:t>
      </w:r>
      <w:proofErr w:type="spellEnd"/>
      <w:r w:rsidRPr="000E2790">
        <w:rPr>
          <w:rFonts w:ascii="Arial" w:hAnsi="Arial" w:cs="Arial"/>
          <w:b w:val="0"/>
          <w:bCs w:val="0"/>
          <w:sz w:val="24"/>
          <w:szCs w:val="24"/>
        </w:rPr>
        <w:t xml:space="preserve"> et al., 2016). These limitations have led researchers to conclude that self-report cannot be used as a primary method of measurement in real-time. In </w:t>
      </w:r>
      <w:proofErr w:type="spellStart"/>
      <w:r w:rsidRPr="000E2790">
        <w:rPr>
          <w:rFonts w:ascii="Arial" w:hAnsi="Arial" w:cs="Arial"/>
          <w:b w:val="0"/>
          <w:bCs w:val="0"/>
          <w:sz w:val="24"/>
          <w:szCs w:val="24"/>
        </w:rPr>
        <w:t>DeepFocus</w:t>
      </w:r>
      <w:proofErr w:type="spellEnd"/>
      <w:r w:rsidRPr="000E2790">
        <w:rPr>
          <w:rFonts w:ascii="Arial" w:hAnsi="Arial" w:cs="Arial"/>
          <w:b w:val="0"/>
          <w:bCs w:val="0"/>
          <w:sz w:val="24"/>
          <w:szCs w:val="24"/>
        </w:rPr>
        <w:t>, we use self-reports as ground-truth labels to which we can compare the automated predictions made by the system.</w:t>
      </w:r>
    </w:p>
    <w:p w14:paraId="777A5533" w14:textId="63539812" w:rsidR="005947D3" w:rsidRPr="000E2790" w:rsidRDefault="00000000">
      <w:pPr>
        <w:pStyle w:val="Heading3"/>
        <w:rPr>
          <w:rFonts w:hint="eastAsia"/>
          <w:lang w:val="en-US"/>
        </w:rPr>
      </w:pPr>
      <w:r>
        <w:t>2.2.2 Physiological and Neuroimaging Approaches</w:t>
      </w:r>
    </w:p>
    <w:p w14:paraId="2B238655" w14:textId="77777777" w:rsidR="005947D3" w:rsidRDefault="00000000">
      <w:pPr>
        <w:spacing w:after="120" w:line="360" w:lineRule="auto"/>
        <w:jc w:val="both"/>
      </w:pPr>
      <w:r>
        <w:t xml:space="preserve">Physiological methods provide objective, continuous readings of attentional states, though they generally require dedicated hardware. Electroencephalography (EEG) has been used </w:t>
      </w:r>
      <w:r>
        <w:lastRenderedPageBreak/>
        <w:t>extensively, with specific neural signatures—theta-band increases during sustained attention, alpha-band suppression during focused processing—serving as reliable markers of cognitive engagement (</w:t>
      </w:r>
      <w:proofErr w:type="spellStart"/>
      <w:r>
        <w:t>Klimesch</w:t>
      </w:r>
      <w:proofErr w:type="spellEnd"/>
      <w:r>
        <w:t xml:space="preserve">, 1999; </w:t>
      </w:r>
      <w:proofErr w:type="spellStart"/>
      <w:r>
        <w:t>Berka</w:t>
      </w:r>
      <w:proofErr w:type="spellEnd"/>
      <w:r>
        <w:t xml:space="preserve"> et al., 2007). Consumer-grade headsets such as </w:t>
      </w:r>
      <w:proofErr w:type="spellStart"/>
      <w:r>
        <w:t>Emotiv</w:t>
      </w:r>
      <w:proofErr w:type="spellEnd"/>
      <w:r>
        <w:t xml:space="preserve"> EPOC and </w:t>
      </w:r>
      <w:proofErr w:type="spellStart"/>
      <w:r>
        <w:t>NeuroSky</w:t>
      </w:r>
      <w:proofErr w:type="spellEnd"/>
      <w:r>
        <w:t xml:space="preserve"> </w:t>
      </w:r>
      <w:proofErr w:type="spellStart"/>
      <w:r>
        <w:t>MindWave</w:t>
      </w:r>
      <w:proofErr w:type="spellEnd"/>
      <w:r>
        <w:t xml:space="preserve"> have broadened access to EEG-based monitoring, although their signal quality lags well behind clinical-grade systems (</w:t>
      </w:r>
      <w:proofErr w:type="spellStart"/>
      <w:r>
        <w:t>Duvinage</w:t>
      </w:r>
      <w:proofErr w:type="spellEnd"/>
      <w:r>
        <w:t xml:space="preserve"> et al., 2013).</w:t>
      </w:r>
    </w:p>
    <w:p w14:paraId="0CE527A6" w14:textId="77777777" w:rsidR="005947D3" w:rsidRDefault="00000000">
      <w:pPr>
        <w:spacing w:after="120" w:line="360" w:lineRule="auto"/>
        <w:jc w:val="both"/>
      </w:pPr>
      <w:r>
        <w:t xml:space="preserve">Other physiological indicators include galvanic skin response, heart rate variability, and pupil dilation. Pupillometry has an especially strong theoretical foundation: pupil diameter scales with cognitive load and attentional effort, a relationship first documented by Hess and </w:t>
      </w:r>
      <w:proofErr w:type="spellStart"/>
      <w:r>
        <w:t>Polt</w:t>
      </w:r>
      <w:proofErr w:type="spellEnd"/>
      <w:r>
        <w:t xml:space="preserve"> (1964) and confirmed repeatedly since (Beatty and Lucero-Wagoner, 2000). Eye-tracking systems that record both gaze position and pupil size can therefore offer two concurrent indicators of attention.</w:t>
      </w:r>
    </w:p>
    <w:p w14:paraId="4E2ECAB2" w14:textId="77777777" w:rsidR="005947D3" w:rsidRDefault="00000000">
      <w:pPr>
        <w:spacing w:after="120" w:line="360" w:lineRule="auto"/>
        <w:jc w:val="both"/>
      </w:pPr>
      <w:r>
        <w:t xml:space="preserve">For all their objectivity, physiological approaches face serious practical hurdles when it comes to everyday digital environments. EEG demands electrode placement and is prone to motion artefacts. GSR and HRV require wearable sensors. Research-grade eye trackers are expensive and need calibration. None of this is compatible with the kind of scalable, non-invasive, browser-based monitoring that </w:t>
      </w:r>
      <w:proofErr w:type="spellStart"/>
      <w:r>
        <w:t>DeepFocus</w:t>
      </w:r>
      <w:proofErr w:type="spellEnd"/>
      <w:r>
        <w:t xml:space="preserve"> is intended to provide. That said, the well-established links between physiological signals and attentional states supply a theoretical foundation for the behavioural and visual proxies that the present project employs.</w:t>
      </w:r>
    </w:p>
    <w:p w14:paraId="7422DBC3" w14:textId="77777777" w:rsidR="005947D3" w:rsidRDefault="00000000">
      <w:pPr>
        <w:pStyle w:val="Heading3"/>
      </w:pPr>
      <w:r>
        <w:t>2.2.3 Behavioural and Observational Methods</w:t>
      </w:r>
    </w:p>
    <w:p w14:paraId="7855C484" w14:textId="77777777" w:rsidR="005947D3" w:rsidRDefault="00000000">
      <w:pPr>
        <w:spacing w:after="120" w:line="360" w:lineRule="auto"/>
        <w:jc w:val="both"/>
      </w:pPr>
      <w:r>
        <w:t xml:space="preserve">Behavioural methods attempt to read attentional states from observable actions rather than from internal physiological processes. In traditional classroom research, trained observers apply coding schemes to rate engagement based on cues such as gaze direction, posture, and note-taking (Fredricks et al., 2004). When executed by skilled </w:t>
      </w:r>
      <w:proofErr w:type="spellStart"/>
      <w:r>
        <w:t>raters</w:t>
      </w:r>
      <w:proofErr w:type="spellEnd"/>
      <w:r>
        <w:t>, this approach is reliable enough, but it is labour-intensive, cannot scale, and is impractical for real-time remote settings.</w:t>
      </w:r>
    </w:p>
    <w:p w14:paraId="0D6105C0" w14:textId="77777777" w:rsidR="005947D3" w:rsidRDefault="00000000">
      <w:pPr>
        <w:spacing w:after="120" w:line="360" w:lineRule="auto"/>
        <w:jc w:val="both"/>
      </w:pPr>
      <w:r>
        <w:t xml:space="preserve">Computer-mediated environments shift the landscape. Keyboard and mouse activity patterns have been shown to track cognitive states: typing speed and rhythm reflect cognitive load (Epp et al., 2011), and mouse movement features—velocity, acceleration, idle time—correlate with engagement and frustration (Yamauchi and Xiao, 2018; </w:t>
      </w:r>
      <w:proofErr w:type="spellStart"/>
      <w:r>
        <w:t>Hibbeln</w:t>
      </w:r>
      <w:proofErr w:type="spellEnd"/>
      <w:r>
        <w:t xml:space="preserve"> et al., 2017). Tab switching and application switching offer particularly direct markers of task disengagement in browser contexts (Mark et al., 2014). Critically, </w:t>
      </w:r>
      <w:proofErr w:type="gramStart"/>
      <w:r>
        <w:t>all of</w:t>
      </w:r>
      <w:proofErr w:type="gramEnd"/>
      <w:r>
        <w:t xml:space="preserve"> these signals are non-invasive, accessible via standard browser APIs, and require no extra hardware—qualities that make them natural building blocks for the </w:t>
      </w:r>
      <w:proofErr w:type="spellStart"/>
      <w:r>
        <w:t>DeepFocus</w:t>
      </w:r>
      <w:proofErr w:type="spellEnd"/>
      <w:r>
        <w:t xml:space="preserve"> framework.</w:t>
      </w:r>
    </w:p>
    <w:p w14:paraId="5E264BB9" w14:textId="77777777" w:rsidR="005947D3" w:rsidRDefault="00000000">
      <w:pPr>
        <w:spacing w:after="120" w:line="360" w:lineRule="auto"/>
        <w:jc w:val="both"/>
      </w:pPr>
      <w:r>
        <w:lastRenderedPageBreak/>
        <w:t>Behavioural indicators on their own, however, are not sufficient for reliable concentration detection. A period of keyboard inactivity might equally reflect deep thought or total disengagement, depending on what the user is doing. This kind of ambiguity is precisely what a multimodal approach is meant to resolve. By pairing behavioural signals with visual cues—face presence, gaze direction—</w:t>
      </w:r>
      <w:proofErr w:type="spellStart"/>
      <w:r>
        <w:t>DeepFocus</w:t>
      </w:r>
      <w:proofErr w:type="spellEnd"/>
      <w:r>
        <w:t xml:space="preserve"> can begin to tell apart states that look identical when viewed through a single lens.</w:t>
      </w:r>
    </w:p>
    <w:p w14:paraId="7E33E227" w14:textId="77777777" w:rsidR="005947D3" w:rsidRDefault="00000000">
      <w:pPr>
        <w:pStyle w:val="Heading3"/>
      </w:pPr>
      <w:r>
        <w:t>2.2.4 Computational Approaches to Attention Detection</w:t>
      </w:r>
    </w:p>
    <w:p w14:paraId="2777EC3A" w14:textId="77777777" w:rsidR="005947D3" w:rsidRDefault="00000000">
      <w:pPr>
        <w:spacing w:after="120" w:line="360" w:lineRule="auto"/>
        <w:jc w:val="both"/>
      </w:pPr>
      <w:r>
        <w:t>Machine learning and sensor technologies have increasingly converged to produce automated attention detection systems. Within affective computing, researchers have built systems that recognise engagement, boredom, confusion, and frustration from facial expressions (Whitehill et al., 2014; Bosch et al., 2016). Whitehill et al. (2014) showed that facial action units—derived from Ekman and Friesen's (1978) Facial Action Coding System—could predict student engagement at accuracy levels on par with human observers. This is a significant result: it establishes that computer vision can extract attentionally relevant information from facial cues with meaningful reliability.</w:t>
      </w:r>
    </w:p>
    <w:p w14:paraId="3EAE42DD" w14:textId="77777777" w:rsidR="005947D3" w:rsidRDefault="00000000">
      <w:pPr>
        <w:spacing w:after="120" w:line="360" w:lineRule="auto"/>
        <w:jc w:val="both"/>
      </w:pPr>
      <w:r>
        <w:t xml:space="preserve">Gaze-based detection has followed a parallel trajectory. Bixler and </w:t>
      </w:r>
      <w:proofErr w:type="spellStart"/>
      <w:r>
        <w:t>D'Mello</w:t>
      </w:r>
      <w:proofErr w:type="spellEnd"/>
      <w:r>
        <w:t xml:space="preserve"> (2016) demonstrated that gaze features—fixation duration, saccade patterns, gaze dispersion—could predict mind wandering during computerised reading at above-chance levels. More recently, deep learning models have been trained to estimate gaze direction from standard webcam images, dispensing with the need for dedicated eye-tracking hardware (Zhang et al., 2017; </w:t>
      </w:r>
      <w:proofErr w:type="spellStart"/>
      <w:r>
        <w:t>Krafka</w:t>
      </w:r>
      <w:proofErr w:type="spellEnd"/>
      <w:r>
        <w:t xml:space="preserve"> et al., 2016). This substantially lowers the deployment barrier.</w:t>
      </w:r>
    </w:p>
    <w:p w14:paraId="3E47F14D" w14:textId="77777777" w:rsidR="005947D3" w:rsidRDefault="00000000">
      <w:pPr>
        <w:spacing w:after="120" w:line="360" w:lineRule="auto"/>
        <w:jc w:val="both"/>
      </w:pPr>
      <w:r>
        <w:t xml:space="preserve">Multimodal systems that fuse several signal types have repeatedly shown improved accuracy. Dewan et al. (2019), in a comprehensive survey of engagement detection in online learning, concluded that systems combining facial, gaze, and interaction features consistently outperformed their unimodal counterparts. Sharma et al. (2019) reached a similar conclusion, reporting that the integration of physiological, behavioural, and performance data produced more robust engagement predictions than any single modality could deliver on its own. These results offer strong empirical backing for the multimodal architecture of </w:t>
      </w:r>
      <w:proofErr w:type="spellStart"/>
      <w:r>
        <w:t>DeepFocus</w:t>
      </w:r>
      <w:proofErr w:type="spellEnd"/>
      <w:r>
        <w:t>, which fuses visual signals—face detection, head pose—with behavioural inputs including keyboard activity, mouse movement, and tab switching.</w:t>
      </w:r>
    </w:p>
    <w:p w14:paraId="6900E8B8" w14:textId="77777777" w:rsidR="005947D3" w:rsidRDefault="00000000">
      <w:pPr>
        <w:spacing w:after="120" w:line="360" w:lineRule="auto"/>
        <w:jc w:val="both"/>
      </w:pPr>
      <w:r>
        <w:t xml:space="preserve">There is, however, a notable gap. </w:t>
      </w:r>
      <w:proofErr w:type="gramStart"/>
      <w:r>
        <w:t>The large majority of</w:t>
      </w:r>
      <w:proofErr w:type="gramEnd"/>
      <w:r>
        <w:t xml:space="preserve"> computational attention detection systems reported in the literature have been developed for controlled laboratory environments </w:t>
      </w:r>
      <w:r>
        <w:lastRenderedPageBreak/>
        <w:t xml:space="preserve">or depend on dedicated software installations. Very few have been designed to run inside a standard web browser, where computational resources are </w:t>
      </w:r>
      <w:proofErr w:type="gramStart"/>
      <w:r>
        <w:t>constrained</w:t>
      </w:r>
      <w:proofErr w:type="gramEnd"/>
      <w:r>
        <w:t xml:space="preserve"> and privacy requirements are stricter. It is this gap—the scarcity of lightweight, browser-native, multimodal concentration detection systems—that </w:t>
      </w:r>
      <w:proofErr w:type="spellStart"/>
      <w:r>
        <w:t>DeepFocus</w:t>
      </w:r>
      <w:proofErr w:type="spellEnd"/>
      <w:r>
        <w:t xml:space="preserve"> sets out to address.</w:t>
      </w:r>
    </w:p>
    <w:p w14:paraId="62ECBB33" w14:textId="77777777" w:rsidR="005947D3" w:rsidRDefault="00000000">
      <w:pPr>
        <w:pStyle w:val="Heading2"/>
      </w:pPr>
      <w:r>
        <w:t>2.3 Summary of Theoretical and Measurement Foundations</w:t>
      </w:r>
    </w:p>
    <w:p w14:paraId="2ED683FF" w14:textId="77777777" w:rsidR="005947D3" w:rsidRDefault="00000000">
      <w:pPr>
        <w:spacing w:after="120" w:line="360" w:lineRule="auto"/>
        <w:jc w:val="both"/>
      </w:pPr>
      <w:r>
        <w:t xml:space="preserve">The preceding sections establish several things. Concentration is a multidimensional construct, rooted in theories of sustained attention, that can be operationalised through observable behavioural and visual indicators. Traditional measurement methods—self-reports, physiological monitoring, manual observation—each carry limitations in scalability, intrusiveness, or ecological validity that make them inadequate as standalone tools for real-time, remote concentration detection. Computational approaches drawing on machine learning and computer vision have demonstrated that automated attention detection is feasible, and multimodal systems have consistently outperformed unimodal ones. Yet most existing systems were built for controlled environments or depend on specialised hardware, restricting their real-world applicability. The sections that follow examine the specific technical components employed by </w:t>
      </w:r>
      <w:proofErr w:type="spellStart"/>
      <w:r>
        <w:t>DeepFocus</w:t>
      </w:r>
      <w:proofErr w:type="spellEnd"/>
      <w:r>
        <w:t>, starting with gaze estimation and face detection.</w:t>
      </w:r>
    </w:p>
    <w:p w14:paraId="769299C3" w14:textId="77777777" w:rsidR="005947D3" w:rsidRDefault="00000000">
      <w:pPr>
        <w:pStyle w:val="Heading2"/>
      </w:pPr>
      <w:r>
        <w:t>2.4 Gaze Estimation and Face Detection Technologies</w:t>
      </w:r>
    </w:p>
    <w:p w14:paraId="7121BCA8" w14:textId="77777777" w:rsidR="005947D3" w:rsidRDefault="00000000">
      <w:pPr>
        <w:spacing w:after="120" w:line="360" w:lineRule="auto"/>
        <w:jc w:val="both"/>
      </w:pPr>
      <w:r>
        <w:t>Visual attention monitoring sits at the heart of any concentration detection system. Whether a user's face is present, how their head is oriented, and whether their eyes are directed at the screen—</w:t>
      </w:r>
      <w:proofErr w:type="gramStart"/>
      <w:r>
        <w:t>all of</w:t>
      </w:r>
      <w:proofErr w:type="gramEnd"/>
      <w:r>
        <w:t xml:space="preserve"> these carry strong implications for attentional engagement. This section traces the development of face detection and gaze estimation from classical computer vision through to modern deep learning, with a focus on lightweight models that can realistically operate within a browser.</w:t>
      </w:r>
    </w:p>
    <w:p w14:paraId="364F6BBF" w14:textId="77777777" w:rsidR="005947D3" w:rsidRDefault="00000000">
      <w:pPr>
        <w:pStyle w:val="Heading3"/>
      </w:pPr>
      <w:r>
        <w:t>2.4.1 Face Detection: From Viola-Jones to Deep Learning</w:t>
      </w:r>
    </w:p>
    <w:p w14:paraId="1FE55BD3" w14:textId="77777777" w:rsidR="005947D3" w:rsidRDefault="00000000">
      <w:pPr>
        <w:spacing w:after="120" w:line="360" w:lineRule="auto"/>
        <w:jc w:val="both"/>
      </w:pPr>
      <w:r>
        <w:t xml:space="preserve">Face detection—the task of locating human faces within an image—is a foundational prerequisite for vision-based attention monitoring. The Viola-Jones framework (Viola and Jones, 2001) was a landmark. Its cascade classifier based on </w:t>
      </w:r>
      <w:proofErr w:type="spellStart"/>
      <w:r>
        <w:t>Haar</w:t>
      </w:r>
      <w:proofErr w:type="spellEnd"/>
      <w:r>
        <w:t>-like features enabled real-time face detection and went on to dominate the field for over a decade, becoming a standard component in libraries such as OpenCV (</w:t>
      </w:r>
      <w:proofErr w:type="spellStart"/>
      <w:r>
        <w:t>Bradski</w:t>
      </w:r>
      <w:proofErr w:type="spellEnd"/>
      <w:r>
        <w:t>, 2000). But the algorithm has clear weaknesses: it is sensitive to variation in pose, illumination, and occlusion, and it handles non-</w:t>
      </w:r>
      <w:r>
        <w:lastRenderedPageBreak/>
        <w:t>frontal faces poorly. For attention monitoring, where a user might turn their head away from the screen, this is a meaningful limitation.</w:t>
      </w:r>
    </w:p>
    <w:p w14:paraId="3D007489" w14:textId="77777777" w:rsidR="005947D3" w:rsidRDefault="00000000">
      <w:pPr>
        <w:spacing w:after="120" w:line="360" w:lineRule="auto"/>
        <w:jc w:val="both"/>
      </w:pPr>
      <w:r>
        <w:t xml:space="preserve">Deep learning changed the picture fundamentally. CNN-based detectors like MTCNN (Zhang et al., 2016a) and </w:t>
      </w:r>
      <w:proofErr w:type="spellStart"/>
      <w:r>
        <w:t>RetinaFace</w:t>
      </w:r>
      <w:proofErr w:type="spellEnd"/>
      <w:r>
        <w:t xml:space="preserve"> (Deng et al., 2020) brought substantially better accuracy across a wide range of conditions—different poses, occlusions, and lighting. MTCNN uses a three-stage cascade that performs face detection, bounding box regression, and facial landmark localisation simultaneously, which makes it especially useful for downstream tasks such as gaze estimation. </w:t>
      </w:r>
      <w:proofErr w:type="spellStart"/>
      <w:r>
        <w:t>RetinaFace</w:t>
      </w:r>
      <w:proofErr w:type="spellEnd"/>
      <w:r>
        <w:t xml:space="preserve"> pushed performance further still with a single-stage dense localisation approach using multi-task learning, performing well even on demanding benchmarks like WIDER FACE (Yang et al., 2016).</w:t>
      </w:r>
    </w:p>
    <w:p w14:paraId="55837F2A" w14:textId="77777777" w:rsidR="005947D3" w:rsidRDefault="00000000">
      <w:pPr>
        <w:spacing w:after="120" w:line="360" w:lineRule="auto"/>
        <w:jc w:val="both"/>
      </w:pPr>
      <w:r>
        <w:t xml:space="preserve">Browser-based deployment, though, introduces a different set of constraints. Running heavyweight deep learning models in a web browser is often computationally infeasible. This has driven the creation of lightweight detectors optimised for edge and mobile settings. </w:t>
      </w:r>
      <w:proofErr w:type="spellStart"/>
      <w:r>
        <w:t>BlazeFace</w:t>
      </w:r>
      <w:proofErr w:type="spellEnd"/>
      <w:r>
        <w:t xml:space="preserve"> (</w:t>
      </w:r>
      <w:proofErr w:type="spellStart"/>
      <w:r>
        <w:t>Bazarevsky</w:t>
      </w:r>
      <w:proofErr w:type="spellEnd"/>
      <w:r>
        <w:t xml:space="preserve"> et al., 2019), developed by Google as part of the </w:t>
      </w:r>
      <w:proofErr w:type="spellStart"/>
      <w:r>
        <w:t>MediaPipe</w:t>
      </w:r>
      <w:proofErr w:type="spellEnd"/>
      <w:r>
        <w:t xml:space="preserve"> framework, is a single-shot detector built specifically for mobile GPU inference. With a model size under 1 MB, it approaches real-time performance on mobile devices and is viable for in-browser execution via TensorFlow.js or the </w:t>
      </w:r>
      <w:proofErr w:type="spellStart"/>
      <w:r>
        <w:t>MediaPipe</w:t>
      </w:r>
      <w:proofErr w:type="spellEnd"/>
      <w:r>
        <w:t xml:space="preserve"> JavaScript API. </w:t>
      </w:r>
      <w:proofErr w:type="spellStart"/>
      <w:r>
        <w:t>DeepFocus</w:t>
      </w:r>
      <w:proofErr w:type="spellEnd"/>
      <w:r>
        <w:t xml:space="preserve"> draws on this class of lightweight model to perform face detection directly in the browser, avoiding server-side processing and keeping user data local.</w:t>
      </w:r>
    </w:p>
    <w:p w14:paraId="30B24E78" w14:textId="77777777" w:rsidR="005947D3" w:rsidRDefault="00000000">
      <w:pPr>
        <w:pStyle w:val="Heading3"/>
      </w:pPr>
      <w:r>
        <w:t>2.4.2 Facial Landmark Detection and Head Pose Estimation</w:t>
      </w:r>
    </w:p>
    <w:p w14:paraId="43790DC3" w14:textId="77777777" w:rsidR="005947D3" w:rsidRDefault="00000000">
      <w:pPr>
        <w:spacing w:after="120" w:line="360" w:lineRule="auto"/>
        <w:jc w:val="both"/>
      </w:pPr>
      <w:r>
        <w:t>Beyond simply detecting whether a face is present, estimating its spatial orientation provides considerably richer information about visual attention. Head pose estimation determines the three-dimensional orientation of the head—yaw (horizontal rotation), pitch (vertical tilt), and roll (lateral tilt)—and serves as a practical, if coarse, proxy for gaze direction (Murphy-</w:t>
      </w:r>
      <w:proofErr w:type="spellStart"/>
      <w:r>
        <w:t>Chutorian</w:t>
      </w:r>
      <w:proofErr w:type="spellEnd"/>
      <w:r>
        <w:t xml:space="preserve"> and Trivedi, 2009). The reasoning is straightforward: if a user's head is pointing toward the screen, it is reasonable to assume their visual attention is directed at their task. Large deviations in yaw or pitch suggest they are looking elsewhere.</w:t>
      </w:r>
    </w:p>
    <w:p w14:paraId="1611C636" w14:textId="77777777" w:rsidR="005947D3" w:rsidRDefault="00000000">
      <w:pPr>
        <w:spacing w:after="120" w:line="360" w:lineRule="auto"/>
        <w:jc w:val="both"/>
      </w:pPr>
      <w:r>
        <w:t>Head pose estimation generally depends on facial landmark detection as an intermediate step. Facial landmarks are a set of key points—eye corners, nose tip, mouth edges—that define a geometric model of the face. Classical methods used deformable shape models such as Active Appearance Models (</w:t>
      </w:r>
      <w:proofErr w:type="spellStart"/>
      <w:r>
        <w:t>Cootes</w:t>
      </w:r>
      <w:proofErr w:type="spellEnd"/>
      <w:r>
        <w:t xml:space="preserve"> et al., 2001) and Constrained Local Models (</w:t>
      </w:r>
      <w:proofErr w:type="spellStart"/>
      <w:r>
        <w:t>Cristinacce</w:t>
      </w:r>
      <w:proofErr w:type="spellEnd"/>
      <w:r>
        <w:t xml:space="preserve"> and </w:t>
      </w:r>
      <w:proofErr w:type="spellStart"/>
      <w:r>
        <w:lastRenderedPageBreak/>
        <w:t>Cootes</w:t>
      </w:r>
      <w:proofErr w:type="spellEnd"/>
      <w:r>
        <w:t>, 2006), fitting flexible templates to detected face regions. These approaches worked, but they were computationally expensive and sensitive to how they were initialised.</w:t>
      </w:r>
    </w:p>
    <w:p w14:paraId="42EDCD53" w14:textId="77777777" w:rsidR="005947D3" w:rsidRDefault="00000000">
      <w:pPr>
        <w:spacing w:after="120" w:line="360" w:lineRule="auto"/>
        <w:jc w:val="both"/>
      </w:pPr>
      <w:r>
        <w:t>Deep learning advanced the field considerably. The Face Alignment Network (</w:t>
      </w:r>
      <w:proofErr w:type="spellStart"/>
      <w:r>
        <w:t>Bulat</w:t>
      </w:r>
      <w:proofErr w:type="spellEnd"/>
      <w:r>
        <w:t xml:space="preserve"> and </w:t>
      </w:r>
      <w:proofErr w:type="spellStart"/>
      <w:r>
        <w:t>Tzimiropoulos</w:t>
      </w:r>
      <w:proofErr w:type="spellEnd"/>
      <w:r>
        <w:t>, 2017) used a stacked hourglass architecture to achieve state-of-the-art results on benchmarks like 300W (</w:t>
      </w:r>
      <w:proofErr w:type="spellStart"/>
      <w:r>
        <w:t>Sagonas</w:t>
      </w:r>
      <w:proofErr w:type="spellEnd"/>
      <w:r>
        <w:t xml:space="preserve"> et al., 2016). More recently, the </w:t>
      </w:r>
      <w:proofErr w:type="spellStart"/>
      <w:r>
        <w:t>MediaPipe</w:t>
      </w:r>
      <w:proofErr w:type="spellEnd"/>
      <w:r>
        <w:t xml:space="preserve"> Face Mesh model (</w:t>
      </w:r>
      <w:proofErr w:type="spellStart"/>
      <w:r>
        <w:t>Kartynnik</w:t>
      </w:r>
      <w:proofErr w:type="spellEnd"/>
      <w:r>
        <w:t xml:space="preserve"> et al., 2019) produces 468 three-dimensional facial landmarks in real time, enabling detailed facial geometry reconstruction—head pose included. What makes Face Mesh particularly relevant to </w:t>
      </w:r>
      <w:proofErr w:type="spellStart"/>
      <w:r>
        <w:t>DeepFocus</w:t>
      </w:r>
      <w:proofErr w:type="spellEnd"/>
      <w:r>
        <w:t xml:space="preserve"> is its optimisation for mobile and browser environments: it runs efficiently on consumer hardware through the </w:t>
      </w:r>
      <w:proofErr w:type="spellStart"/>
      <w:r>
        <w:t>MediaPipe</w:t>
      </w:r>
      <w:proofErr w:type="spellEnd"/>
      <w:r>
        <w:t xml:space="preserve"> JavaScript API, delivering both face detection and dense landmark estimation in a single lightweight inference pass.</w:t>
      </w:r>
    </w:p>
    <w:p w14:paraId="37EABC79" w14:textId="77777777" w:rsidR="005947D3" w:rsidRDefault="00000000">
      <w:pPr>
        <w:spacing w:after="120" w:line="360" w:lineRule="auto"/>
        <w:jc w:val="both"/>
      </w:pPr>
      <w:r>
        <w:t>Once landmarks are available, head pose can be derived using the Perspective-n-Point (PnP) algorithm (</w:t>
      </w:r>
      <w:proofErr w:type="spellStart"/>
      <w:r>
        <w:t>Lepetit</w:t>
      </w:r>
      <w:proofErr w:type="spellEnd"/>
      <w:r>
        <w:t xml:space="preserve"> et al., 2009). PnP estimates the 3D rotation and translation of the head relative to the camera by mapping known 3D facial reference points to their 2D image projections. It is a well-established geometric technique, implementable in JavaScript through libraries such as OpenCV.js. By computing yaw, pitch, and roll from </w:t>
      </w:r>
      <w:proofErr w:type="spellStart"/>
      <w:r>
        <w:t>MediaPipe</w:t>
      </w:r>
      <w:proofErr w:type="spellEnd"/>
      <w:r>
        <w:t xml:space="preserve"> landmarks, </w:t>
      </w:r>
      <w:proofErr w:type="spellStart"/>
      <w:r>
        <w:t>DeepFocus</w:t>
      </w:r>
      <w:proofErr w:type="spellEnd"/>
      <w:r>
        <w:t xml:space="preserve"> can determine whether a user is facing the screen and infer visual engagement accordingly.</w:t>
      </w:r>
    </w:p>
    <w:p w14:paraId="434D4732" w14:textId="77777777" w:rsidR="005947D3" w:rsidRDefault="00000000">
      <w:pPr>
        <w:pStyle w:val="Heading3"/>
      </w:pPr>
      <w:r>
        <w:t>2.4.3 Gaze Estimation Approaches</w:t>
      </w:r>
    </w:p>
    <w:p w14:paraId="06B12FD2" w14:textId="77777777" w:rsidR="005947D3" w:rsidRDefault="00000000">
      <w:pPr>
        <w:spacing w:after="120" w:line="360" w:lineRule="auto"/>
        <w:jc w:val="both"/>
      </w:pPr>
      <w:r>
        <w:t xml:space="preserve">Head pose offers a coarse picture of where someone is looking. Gaze estimation attempts something more precise: determining the exact point on a screen at which a user's eyes are directed. This is a harder </w:t>
      </w:r>
      <w:proofErr w:type="gramStart"/>
      <w:r>
        <w:t>problem, because</w:t>
      </w:r>
      <w:proofErr w:type="gramEnd"/>
      <w:r>
        <w:t xml:space="preserve"> eye movements can be largely independent of head orientation.</w:t>
      </w:r>
    </w:p>
    <w:p w14:paraId="568438EB" w14:textId="77777777" w:rsidR="005947D3" w:rsidRDefault="00000000">
      <w:pPr>
        <w:spacing w:after="120" w:line="360" w:lineRule="auto"/>
        <w:jc w:val="both"/>
      </w:pPr>
      <w:r>
        <w:t xml:space="preserve">The field divides into model-based and appearance-based approaches. Model-based methods build an explicit geometric model of the eye and compute gaze direction from features such as the pupil centre, corneal reflections, and the optical axis. They typically require specialised hardware—infrared illuminators, high-resolution cameras—to capture these features at sufficient resolution (Hansen and Ji, 2010). Commercial eye trackers from </w:t>
      </w:r>
      <w:proofErr w:type="spellStart"/>
      <w:r>
        <w:t>Tobii</w:t>
      </w:r>
      <w:proofErr w:type="spellEnd"/>
      <w:r>
        <w:t xml:space="preserve"> and </w:t>
      </w:r>
      <w:proofErr w:type="spellStart"/>
      <w:r>
        <w:t>EyeLink</w:t>
      </w:r>
      <w:proofErr w:type="spellEnd"/>
      <w:r>
        <w:t xml:space="preserve"> use model-based approaches, achieving accuracy below one degree of visual angle. The cost and hardware demands, however, make them impractical for browser-based use.</w:t>
      </w:r>
    </w:p>
    <w:p w14:paraId="298880F7" w14:textId="77777777" w:rsidR="005947D3" w:rsidRDefault="00000000">
      <w:pPr>
        <w:spacing w:after="120" w:line="360" w:lineRule="auto"/>
        <w:jc w:val="both"/>
      </w:pPr>
      <w:r>
        <w:t xml:space="preserve">Appearance-based approaches take a different route, learning a direct mapping from eye or face images to gaze coordinates through machine learning. Because they do not require </w:t>
      </w:r>
      <w:r>
        <w:lastRenderedPageBreak/>
        <w:t>specialised hardware and can work with ordinary webcams, they are far more accessible. Early work in this space used support vector regression and random forests on hand-crafted eye-region features (Lu et al., 2014). The field shifted decisively with deep learning: Zhang et al. (2015) showed that CNNs trained on large-scale gaze datasets could estimate gaze direction from full-face images using only a laptop webcam with reasonable accuracy. Later models—</w:t>
      </w:r>
      <w:proofErr w:type="spellStart"/>
      <w:r>
        <w:t>GazeNet</w:t>
      </w:r>
      <w:proofErr w:type="spellEnd"/>
      <w:r>
        <w:t xml:space="preserve"> (Zhang et al., 2017), </w:t>
      </w:r>
      <w:proofErr w:type="spellStart"/>
      <w:r>
        <w:t>iTracker</w:t>
      </w:r>
      <w:proofErr w:type="spellEnd"/>
      <w:r>
        <w:t xml:space="preserve"> (</w:t>
      </w:r>
      <w:proofErr w:type="spellStart"/>
      <w:r>
        <w:t>Krafka</w:t>
      </w:r>
      <w:proofErr w:type="spellEnd"/>
      <w:r>
        <w:t xml:space="preserve"> et al., 2016)—improved accuracy further and demonstrated generalisation across devices.</w:t>
      </w:r>
    </w:p>
    <w:p w14:paraId="74C8454A" w14:textId="77777777" w:rsidR="005947D3" w:rsidRDefault="00000000">
      <w:pPr>
        <w:spacing w:after="120" w:line="360" w:lineRule="auto"/>
        <w:jc w:val="both"/>
      </w:pPr>
      <w:r>
        <w:t xml:space="preserve">One development deserves </w:t>
      </w:r>
      <w:proofErr w:type="gramStart"/>
      <w:r>
        <w:t>particular mention</w:t>
      </w:r>
      <w:proofErr w:type="gramEnd"/>
      <w:r>
        <w:t xml:space="preserve"> in the context of browser-based systems. WebGazer.js (</w:t>
      </w:r>
      <w:proofErr w:type="spellStart"/>
      <w:r>
        <w:t>Papoutsaki</w:t>
      </w:r>
      <w:proofErr w:type="spellEnd"/>
      <w:r>
        <w:t xml:space="preserve"> et al., 2016) is an open-source JavaScript library that performs real-time gaze prediction entirely within the browser. It trains an appearance-based regression model on implicit user interaction data—click positions serving as gaze targets—to adapt to individual users without requiring formal calibration. Its accuracy, at roughly 4 to 5 centimetres on a typical monitor, falls well short of dedicated eye trackers, but it operates with nothing more than a webcam and a browser tab, requiring no installation. This trade-off—accuracy sacrificed for accessibility—sits at the centre of the design philosophy behind </w:t>
      </w:r>
      <w:proofErr w:type="spellStart"/>
      <w:r>
        <w:t>DeepFocus</w:t>
      </w:r>
      <w:proofErr w:type="spellEnd"/>
      <w:r>
        <w:t>.</w:t>
      </w:r>
    </w:p>
    <w:p w14:paraId="4217259D" w14:textId="77777777" w:rsidR="005947D3" w:rsidRDefault="00000000">
      <w:pPr>
        <w:pStyle w:val="Heading3"/>
      </w:pPr>
      <w:r>
        <w:t xml:space="preserve">2.4.4 </w:t>
      </w:r>
      <w:proofErr w:type="spellStart"/>
      <w:r>
        <w:t>MediaPipe</w:t>
      </w:r>
      <w:proofErr w:type="spellEnd"/>
      <w:r>
        <w:t xml:space="preserve"> as a Unified Visual Processing Framework</w:t>
      </w:r>
    </w:p>
    <w:p w14:paraId="0D0AC9EF" w14:textId="77777777" w:rsidR="005947D3" w:rsidRDefault="00000000">
      <w:pPr>
        <w:spacing w:after="120" w:line="360" w:lineRule="auto"/>
        <w:jc w:val="both"/>
      </w:pPr>
      <w:r>
        <w:t xml:space="preserve">Google's </w:t>
      </w:r>
      <w:proofErr w:type="spellStart"/>
      <w:r>
        <w:t>MediaPipe</w:t>
      </w:r>
      <w:proofErr w:type="spellEnd"/>
      <w:r>
        <w:t xml:space="preserve"> (</w:t>
      </w:r>
      <w:proofErr w:type="spellStart"/>
      <w:r>
        <w:t>Lugaresi</w:t>
      </w:r>
      <w:proofErr w:type="spellEnd"/>
      <w:r>
        <w:t xml:space="preserve"> et al., 2019) has established itself as a leading open-source framework for building perception pipelines that run on consumer devices. It offers pre-trained models for face detection (</w:t>
      </w:r>
      <w:proofErr w:type="spellStart"/>
      <w:r>
        <w:t>BlazeFace</w:t>
      </w:r>
      <w:proofErr w:type="spellEnd"/>
      <w:r>
        <w:t>), facial landmark estimation (Face Mesh), hand tracking, and pose estimation, all built for real-time inference on mobile and web platforms.</w:t>
      </w:r>
    </w:p>
    <w:p w14:paraId="71F19DC1" w14:textId="77777777" w:rsidR="005947D3" w:rsidRDefault="00000000">
      <w:pPr>
        <w:spacing w:after="120" w:line="360" w:lineRule="auto"/>
        <w:jc w:val="both"/>
      </w:pPr>
      <w:r>
        <w:t xml:space="preserve">For </w:t>
      </w:r>
      <w:proofErr w:type="spellStart"/>
      <w:r>
        <w:t>DeepFocus</w:t>
      </w:r>
      <w:proofErr w:type="spellEnd"/>
      <w:r>
        <w:t xml:space="preserve">, </w:t>
      </w:r>
      <w:proofErr w:type="spellStart"/>
      <w:r>
        <w:t>MediaPipe</w:t>
      </w:r>
      <w:proofErr w:type="spellEnd"/>
      <w:r>
        <w:t xml:space="preserve"> brings several concrete advantages. Its Face Mesh model extracts 468 three-dimensional landmarks from a single RGB camera frame, enabling face detection, head pose estimation, and eye region analysis in one pass without requiring separate models. The framework supports cross-platform deployment with official JavaScript bindings, making it directly integrable into web applications. And the models are engineered for low latency—Face Mesh achieves frame rates above 30 FPS on modern consumer hardware (</w:t>
      </w:r>
      <w:proofErr w:type="spellStart"/>
      <w:r>
        <w:t>Kartynnik</w:t>
      </w:r>
      <w:proofErr w:type="spellEnd"/>
      <w:r>
        <w:t xml:space="preserve"> et al., 2019), comfortably sufficient for real-time attention monitoring.</w:t>
      </w:r>
    </w:p>
    <w:p w14:paraId="5D3DDD56" w14:textId="77777777" w:rsidR="005947D3" w:rsidRDefault="00000000">
      <w:pPr>
        <w:spacing w:after="120" w:line="360" w:lineRule="auto"/>
        <w:jc w:val="both"/>
      </w:pPr>
      <w:proofErr w:type="spellStart"/>
      <w:r>
        <w:t>MediaPipe</w:t>
      </w:r>
      <w:proofErr w:type="spellEnd"/>
      <w:r>
        <w:t xml:space="preserve"> is not without weaknesses. Landmark accuracy degrades under extreme head poses, poor lighting, partial occlusions such as hands or headphones, and low-resolution webcam feeds (Guo et al., 2021). The Face Mesh model, despite its density, does not output a gaze direction vector directly; gaze must be estimated through additional computation, whether PnP-based head pose inference or iris-based approximation using the iris landmarks introduced in </w:t>
      </w:r>
      <w:r>
        <w:lastRenderedPageBreak/>
        <w:t xml:space="preserve">later updates. These limitations shape the design of </w:t>
      </w:r>
      <w:proofErr w:type="spellStart"/>
      <w:r>
        <w:t>DeepFocus</w:t>
      </w:r>
      <w:proofErr w:type="spellEnd"/>
      <w:r>
        <w:t>, which treats head pose as the primary visual attention signal while openly acknowledging that it is a proxy rather than a precise measurement.</w:t>
      </w:r>
    </w:p>
    <w:p w14:paraId="29611F8F" w14:textId="77777777" w:rsidR="005947D3" w:rsidRDefault="00000000">
      <w:pPr>
        <w:pStyle w:val="Heading3"/>
      </w:pPr>
      <w:r>
        <w:t>2.4.5 Comparative Analysis of Visual Attention Technologies</w:t>
      </w:r>
    </w:p>
    <w:p w14:paraId="0E047955" w14:textId="77777777" w:rsidR="005947D3" w:rsidRDefault="00000000">
      <w:pPr>
        <w:spacing w:after="120" w:line="360" w:lineRule="auto"/>
        <w:jc w:val="both"/>
      </w:pPr>
      <w:r>
        <w:t xml:space="preserve">Choosing a visual attention technology means navigating a set of unavoidable trade-offs—between accuracy, computational cost, hardware requirements, and deployment flexibility. Research-grade eye trackers from </w:t>
      </w:r>
      <w:proofErr w:type="spellStart"/>
      <w:r>
        <w:t>Tobii</w:t>
      </w:r>
      <w:proofErr w:type="spellEnd"/>
      <w:r>
        <w:t xml:space="preserve"> or </w:t>
      </w:r>
      <w:proofErr w:type="spellStart"/>
      <w:r>
        <w:t>EyeLink</w:t>
      </w:r>
      <w:proofErr w:type="spellEnd"/>
      <w:r>
        <w:t xml:space="preserve"> deliver the highest accuracy but are prohibitively expensive and impractical for unsupervised, remote use. Deep appearance-based gaze models like </w:t>
      </w:r>
      <w:proofErr w:type="spellStart"/>
      <w:r>
        <w:t>GazeNet</w:t>
      </w:r>
      <w:proofErr w:type="spellEnd"/>
      <w:r>
        <w:t xml:space="preserve"> or </w:t>
      </w:r>
      <w:proofErr w:type="spellStart"/>
      <w:r>
        <w:t>iTracker</w:t>
      </w:r>
      <w:proofErr w:type="spellEnd"/>
      <w:r>
        <w:t xml:space="preserve"> achieve reasonable accuracy from webcam images but demand computational resources that typically exceed what a browser can provide. WebGazer.js offers a fully browser-native solution at the cost of reduced accuracy and dependence on user-specific calibration via interaction data.</w:t>
      </w:r>
    </w:p>
    <w:p w14:paraId="5CAF7730" w14:textId="77777777" w:rsidR="005947D3" w:rsidRDefault="00000000">
      <w:pPr>
        <w:spacing w:after="120" w:line="360" w:lineRule="auto"/>
        <w:jc w:val="both"/>
      </w:pPr>
      <w:r>
        <w:t xml:space="preserve">Head pose estimation through </w:t>
      </w:r>
      <w:proofErr w:type="spellStart"/>
      <w:r>
        <w:t>MediaPipe</w:t>
      </w:r>
      <w:proofErr w:type="spellEnd"/>
      <w:r>
        <w:t xml:space="preserve"> Face Mesh represents a pragmatic middle ground for </w:t>
      </w:r>
      <w:proofErr w:type="spellStart"/>
      <w:r>
        <w:t>DeepFocus</w:t>
      </w:r>
      <w:proofErr w:type="spellEnd"/>
      <w:r>
        <w:t xml:space="preserve">. It does not yield pixel-level gaze coordinates, but it reliably indicates whether a user is oriented toward the screen—which is, arguably, the single most important visual signal for coarse-grained concentration classification. Its computational efficiency permits real-time processing within the browser, and its fully local execution model—no image data leaves the device—satisfies the project's privacy requirements. The trade-off is clear: head pose cannot distinguish between a user looking at their work and a user staring at a different part of the screen, nor can it detect mind wandering in someone whose head remains pointed at the monitor. These limitations are precisely why </w:t>
      </w:r>
      <w:proofErr w:type="spellStart"/>
      <w:r>
        <w:t>DeepFocus</w:t>
      </w:r>
      <w:proofErr w:type="spellEnd"/>
      <w:r>
        <w:t xml:space="preserve"> pairs visual signals with behavioural indicators.</w:t>
      </w:r>
    </w:p>
    <w:p w14:paraId="527C46F3" w14:textId="77777777" w:rsidR="005947D3" w:rsidRDefault="00000000">
      <w:pPr>
        <w:pStyle w:val="Heading2"/>
      </w:pPr>
      <w:r>
        <w:t>2.5 Summary of Gaze and Face Detection Technologies</w:t>
      </w:r>
    </w:p>
    <w:p w14:paraId="04BAC24E" w14:textId="77777777" w:rsidR="005947D3" w:rsidRDefault="00000000">
      <w:pPr>
        <w:spacing w:after="120" w:line="360" w:lineRule="auto"/>
        <w:jc w:val="both"/>
      </w:pPr>
      <w:r>
        <w:t xml:space="preserve">This section has traced the evolution of face detection and gaze estimation from classical computer vision to modern deep learning, emphasising technologies suited to browser-based deployment. Lightweight models like </w:t>
      </w:r>
      <w:proofErr w:type="spellStart"/>
      <w:r>
        <w:t>BlazeFace</w:t>
      </w:r>
      <w:proofErr w:type="spellEnd"/>
      <w:r>
        <w:t xml:space="preserve"> and </w:t>
      </w:r>
      <w:proofErr w:type="spellStart"/>
      <w:r>
        <w:t>MediaPipe</w:t>
      </w:r>
      <w:proofErr w:type="spellEnd"/>
      <w:r>
        <w:t xml:space="preserve"> Face Mesh make real-time face detection and head pose estimation feasible within web browsers, providing a practical basis for visual attention monitoring without specialised hardware. Appearance-based gaze estimation has progressed substantially, and browser-native tools like WebGazer.js demonstrate feasibility—if with accuracy considerably below that of dedicated devices. </w:t>
      </w:r>
      <w:proofErr w:type="spellStart"/>
      <w:r>
        <w:t>DeepFocus</w:t>
      </w:r>
      <w:proofErr w:type="spellEnd"/>
      <w:r>
        <w:t xml:space="preserve"> adopts </w:t>
      </w:r>
      <w:proofErr w:type="spellStart"/>
      <w:r>
        <w:t>MediaPipe</w:t>
      </w:r>
      <w:proofErr w:type="spellEnd"/>
      <w:r>
        <w:t xml:space="preserve"> Face Mesh as its core visual processing component, deriving </w:t>
      </w:r>
      <w:r>
        <w:lastRenderedPageBreak/>
        <w:t xml:space="preserve">head pose from 3D facial landmarks as a proxy for visual attention. This choice reflects a deliberate preference for </w:t>
      </w:r>
      <w:proofErr w:type="spellStart"/>
      <w:r>
        <w:t>deployability</w:t>
      </w:r>
      <w:proofErr w:type="spellEnd"/>
      <w:r>
        <w:t>, privacy, and computational efficiency over laboratory-grade precision. The inherent limitations of relying on head pose alone reinforce the case for combining visual signals with the behavioural modalities explored in the following sections.</w:t>
      </w:r>
    </w:p>
    <w:p w14:paraId="0BBCDEA4" w14:textId="77777777" w:rsidR="005947D3" w:rsidRDefault="00000000">
      <w:pPr>
        <w:pStyle w:val="Heading2"/>
      </w:pPr>
      <w:r>
        <w:t>2.6 Keyboard and Mouse Behavioural Analysis</w:t>
      </w:r>
    </w:p>
    <w:p w14:paraId="67B5E4CF" w14:textId="77777777" w:rsidR="005947D3" w:rsidRDefault="00000000">
      <w:pPr>
        <w:spacing w:after="120" w:line="360" w:lineRule="auto"/>
        <w:jc w:val="both"/>
      </w:pPr>
      <w:r>
        <w:t xml:space="preserve">Interaction patterns between a user and their computer constitute a rich and readily available source of data about cognitive engagement. Keyboard and mouse activity can be captured in any computing environment, requiring no additional hardware or permissions beyond what standard browser APIs already provide. This section reviews the evidence linking keyboard and mouse dynamics to cognitive and affective </w:t>
      </w:r>
      <w:proofErr w:type="gramStart"/>
      <w:r>
        <w:t>states, and</w:t>
      </w:r>
      <w:proofErr w:type="gramEnd"/>
      <w:r>
        <w:t xml:space="preserve"> evaluates how well these signals transfer to the specific problem of browser-based concentration detection.</w:t>
      </w:r>
    </w:p>
    <w:p w14:paraId="4817D1FC" w14:textId="77777777" w:rsidR="005947D3" w:rsidRDefault="00000000">
      <w:pPr>
        <w:pStyle w:val="Heading3"/>
      </w:pPr>
      <w:r>
        <w:t>2.6.1 Keystroke Dynamics and Cognitive Load</w:t>
      </w:r>
    </w:p>
    <w:p w14:paraId="54DF82E4" w14:textId="77777777" w:rsidR="005947D3" w:rsidRDefault="00000000">
      <w:pPr>
        <w:spacing w:after="120" w:line="360" w:lineRule="auto"/>
        <w:jc w:val="both"/>
      </w:pPr>
      <w:r>
        <w:t xml:space="preserve">Keystroke dynamics—the temporal patterns embedded in key press and release events—have received extensive study as indicators of both identity (in biometric authentication) and cognitive state. The core finding relevant to attention monitoring is that typing patterns shift with cognitive load: as mental demands rise, typing speed tends to drop and inter-key intervals become more variable (Epp et al., 2011). </w:t>
      </w:r>
      <w:proofErr w:type="spellStart"/>
      <w:r>
        <w:t>Vizer</w:t>
      </w:r>
      <w:proofErr w:type="spellEnd"/>
      <w:r>
        <w:t xml:space="preserve"> et al. (2009) showed that features derived from keystroke timing—mean dwell time (how long a key is held) and flight time (the gap between releasing one key and pressing the next)—could differentiate cognitive states at above-chance accuracy.</w:t>
      </w:r>
    </w:p>
    <w:p w14:paraId="1DAD5692" w14:textId="77777777" w:rsidR="005947D3" w:rsidRDefault="00000000">
      <w:pPr>
        <w:spacing w:after="120" w:line="360" w:lineRule="auto"/>
        <w:jc w:val="both"/>
      </w:pPr>
      <w:r>
        <w:t xml:space="preserve">Subsequent research has sharpened the picture. </w:t>
      </w:r>
      <w:proofErr w:type="spellStart"/>
      <w:r>
        <w:t>Bannert</w:t>
      </w:r>
      <w:proofErr w:type="spellEnd"/>
      <w:r>
        <w:t xml:space="preserve"> and </w:t>
      </w:r>
      <w:proofErr w:type="spellStart"/>
      <w:r>
        <w:t>Mengelkamp</w:t>
      </w:r>
      <w:proofErr w:type="spellEnd"/>
      <w:r>
        <w:t xml:space="preserve"> (2013) found that reduced typing activity during online learning corresponded with self-reported mind wandering, while bursts of rapid typing aligned with task engagement. </w:t>
      </w:r>
      <w:proofErr w:type="spellStart"/>
      <w:r>
        <w:t>Kosch</w:t>
      </w:r>
      <w:proofErr w:type="spellEnd"/>
      <w:r>
        <w:t xml:space="preserve"> et al. (2023) incorporated keystroke dynamics into a multimodal cognitive load detection system for programming tasks and found that typing features made a meaningful contribution to classification accuracy when combined with physiological and visual signals.</w:t>
      </w:r>
    </w:p>
    <w:p w14:paraId="1DDEEE8A" w14:textId="77777777" w:rsidR="005947D3" w:rsidRDefault="00000000">
      <w:pPr>
        <w:spacing w:after="120" w:line="360" w:lineRule="auto"/>
        <w:jc w:val="both"/>
      </w:pPr>
      <w:r>
        <w:t xml:space="preserve">For </w:t>
      </w:r>
      <w:proofErr w:type="spellStart"/>
      <w:r>
        <w:t>DeepFocus</w:t>
      </w:r>
      <w:proofErr w:type="spellEnd"/>
      <w:r>
        <w:t>, keystroke data is appealing because it can be gathered passively via standard JavaScript event listeners (</w:t>
      </w:r>
      <w:proofErr w:type="spellStart"/>
      <w:r>
        <w:t>keydown</w:t>
      </w:r>
      <w:proofErr w:type="spellEnd"/>
      <w:r>
        <w:t xml:space="preserve">, </w:t>
      </w:r>
      <w:proofErr w:type="spellStart"/>
      <w:r>
        <w:t>keyup</w:t>
      </w:r>
      <w:proofErr w:type="spellEnd"/>
      <w:r>
        <w:t xml:space="preserve">), with no special permissions or hardware needed. The catch is that keystroke informativeness depends heavily on the task at hand. Writing an essay produces dense keystroke data; reading a document or watching a video produces almost </w:t>
      </w:r>
      <w:r>
        <w:lastRenderedPageBreak/>
        <w:t xml:space="preserve">none. This task dependence is a real limitation, and it is one of the reasons </w:t>
      </w:r>
      <w:proofErr w:type="spellStart"/>
      <w:r>
        <w:t>DeepFocus</w:t>
      </w:r>
      <w:proofErr w:type="spellEnd"/>
      <w:r>
        <w:t xml:space="preserve"> does not rely on keyboard signals in isolation.</w:t>
      </w:r>
    </w:p>
    <w:p w14:paraId="0C71F343" w14:textId="77777777" w:rsidR="005947D3" w:rsidRDefault="00000000">
      <w:pPr>
        <w:pStyle w:val="Heading3"/>
      </w:pPr>
      <w:r>
        <w:t>2.6.2 Mouse Movement as an Indicator of Engagement</w:t>
      </w:r>
    </w:p>
    <w:p w14:paraId="0A8DFDA0" w14:textId="77777777" w:rsidR="005947D3" w:rsidRDefault="00000000">
      <w:pPr>
        <w:spacing w:after="120" w:line="360" w:lineRule="auto"/>
        <w:jc w:val="both"/>
      </w:pPr>
      <w:r>
        <w:t xml:space="preserve">Mouse movement offers a complementary behavioural channel—one that is generated across a wider variety of tasks than keyboard input. Research has established </w:t>
      </w:r>
      <w:proofErr w:type="gramStart"/>
      <w:r>
        <w:t>that features of mouse</w:t>
      </w:r>
      <w:proofErr w:type="gramEnd"/>
      <w:r>
        <w:t xml:space="preserve"> dynamics—cursor velocity, acceleration, trajectory curvature, periods of stillness—reflect underlying cognitive and affective processes. Yamauchi and Xiao (2018) showed that mouse cursor trajectories carry emotional signatures, with different affective states producing distinct movement profiles. </w:t>
      </w:r>
      <w:proofErr w:type="spellStart"/>
      <w:r>
        <w:t>Hibbeln</w:t>
      </w:r>
      <w:proofErr w:type="spellEnd"/>
      <w:r>
        <w:t xml:space="preserve"> et al. (2017) extended this into the domain of human–computer interaction, finding that mouse features could infer user frustration and engagement when interacting with web interfaces.</w:t>
      </w:r>
    </w:p>
    <w:p w14:paraId="0447A404" w14:textId="77777777" w:rsidR="005947D3" w:rsidRDefault="00000000">
      <w:pPr>
        <w:spacing w:after="120" w:line="360" w:lineRule="auto"/>
        <w:jc w:val="both"/>
      </w:pPr>
      <w:r>
        <w:t>Within attention monitoring specifically, mouse inactivity stands out as a useful signal. Extended stillness might indicate that the user has stepped away, shifted to a non-computer activity, or is deeply immersed in reading content that requires no cursor movement (</w:t>
      </w:r>
      <w:proofErr w:type="spellStart"/>
      <w:r>
        <w:t>Navalpakkam</w:t>
      </w:r>
      <w:proofErr w:type="spellEnd"/>
      <w:r>
        <w:t xml:space="preserve"> and Churchill, 2012). Rapid, erratic movements might signal distraction, frustration, or aimless browsing. Huang et al. (2012) found that cursor position on a web page correlated with visual attention as measured by eye tracking, suggesting that mouse position can serve as a rough proxy for gaze location where eye-tracking hardware is unavailable.</w:t>
      </w:r>
    </w:p>
    <w:p w14:paraId="4B6BEC78" w14:textId="77777777" w:rsidR="005947D3" w:rsidRDefault="00000000">
      <w:pPr>
        <w:spacing w:after="120" w:line="360" w:lineRule="auto"/>
        <w:jc w:val="both"/>
      </w:pPr>
      <w:r>
        <w:t xml:space="preserve">The interpretive ambiguity here mirrors the problem with keyboard data: mouse inactivity could mean deep focus or complete disengagement. This parallel reinforces the rationale for a multimodal system. By combining mouse features with keyboard activity, visual signals, and tab-switching data, </w:t>
      </w:r>
      <w:proofErr w:type="spellStart"/>
      <w:r>
        <w:t>DeepFocus</w:t>
      </w:r>
      <w:proofErr w:type="spellEnd"/>
      <w:r>
        <w:t xml:space="preserve"> can distinguish between states that appear identical when viewed through any single behavioural channel.</w:t>
      </w:r>
    </w:p>
    <w:p w14:paraId="065B8838" w14:textId="77777777" w:rsidR="005947D3" w:rsidRDefault="00000000">
      <w:pPr>
        <w:pStyle w:val="Heading3"/>
      </w:pPr>
      <w:r>
        <w:t>2.6.3 Combined Keyboard-Mouse Analysis for Cognitive State Detection</w:t>
      </w:r>
    </w:p>
    <w:p w14:paraId="008590E8" w14:textId="77777777" w:rsidR="005947D3" w:rsidRDefault="00000000">
      <w:pPr>
        <w:spacing w:after="120" w:line="360" w:lineRule="auto"/>
        <w:jc w:val="both"/>
      </w:pPr>
      <w:proofErr w:type="gramStart"/>
      <w:r>
        <w:t>A number of</w:t>
      </w:r>
      <w:proofErr w:type="gramEnd"/>
      <w:r>
        <w:t xml:space="preserve"> studies have shown that combining keyboard and mouse features yields better cognitive state classification than either modality alone. Lim et al. (2014) built a system using keyboard and mouse interaction features to detect stress in office workers, reaching classification accuracy above 75 per cent with random forest classifiers. Salmeron-</w:t>
      </w:r>
      <w:proofErr w:type="spellStart"/>
      <w:r>
        <w:t>Majadas</w:t>
      </w:r>
      <w:proofErr w:type="spellEnd"/>
      <w:r>
        <w:t xml:space="preserve"> et al. (2014) combined keyboard and mouse dynamics with facial expression analysis to detect student emotions during online learning, finding that multimodal fusion significantly outperformed any single channel.</w:t>
      </w:r>
    </w:p>
    <w:p w14:paraId="1F14CF7A" w14:textId="77777777" w:rsidR="005947D3" w:rsidRDefault="00000000">
      <w:pPr>
        <w:spacing w:after="120" w:line="360" w:lineRule="auto"/>
        <w:jc w:val="both"/>
      </w:pPr>
      <w:proofErr w:type="spellStart"/>
      <w:r>
        <w:lastRenderedPageBreak/>
        <w:t>Pimenta</w:t>
      </w:r>
      <w:proofErr w:type="spellEnd"/>
      <w:r>
        <w:t xml:space="preserve"> et al. (2015) investigated the link between keyboard and mouse patterns and attention levels during computer work directly. Their findings showed that features such as typing speed variance, mouse distance per unit time, and the ratio of active to idle periods were significantly correlated with self-reported attention. Notably, predictive power improved when these features were analysed over longer time windows—five to ten minutes rather than thirty seconds—suggesting that concentration is better captured through sustained patterns than through instantaneous snapshots.</w:t>
      </w:r>
    </w:p>
    <w:p w14:paraId="7C6841D3" w14:textId="77777777" w:rsidR="005947D3" w:rsidRDefault="00000000">
      <w:pPr>
        <w:spacing w:after="120" w:line="360" w:lineRule="auto"/>
        <w:jc w:val="both"/>
      </w:pPr>
      <w:r>
        <w:t xml:space="preserve">These results feed directly into the design of </w:t>
      </w:r>
      <w:proofErr w:type="spellStart"/>
      <w:r>
        <w:t>DeepFocus</w:t>
      </w:r>
      <w:proofErr w:type="spellEnd"/>
      <w:r>
        <w:t>. The system captures keyboard events (</w:t>
      </w:r>
      <w:proofErr w:type="spellStart"/>
      <w:r>
        <w:t>keydown</w:t>
      </w:r>
      <w:proofErr w:type="spellEnd"/>
      <w:r>
        <w:t xml:space="preserve">, </w:t>
      </w:r>
      <w:proofErr w:type="spellStart"/>
      <w:r>
        <w:t>keyup</w:t>
      </w:r>
      <w:proofErr w:type="spellEnd"/>
      <w:r>
        <w:t>) and mouse events (</w:t>
      </w:r>
      <w:proofErr w:type="spellStart"/>
      <w:r>
        <w:t>mousemove</w:t>
      </w:r>
      <w:proofErr w:type="spellEnd"/>
      <w:r>
        <w:t>, click) through JavaScript event listeners and aggregates them over configurable time windows to compute features such as typing rate, mouse velocity, click frequency, and idle duration. These are then integrated with visual and browser-level signals to produce a composite concentration score. The time-windowed approach aligns with the literature's consistent finding that sustained behavioural patterns carry more information about attentional state than momentary readings.</w:t>
      </w:r>
    </w:p>
    <w:p w14:paraId="46B2446F" w14:textId="77777777" w:rsidR="005947D3" w:rsidRDefault="00000000">
      <w:pPr>
        <w:pStyle w:val="Heading2"/>
      </w:pPr>
      <w:r>
        <w:t>2.7 Summary of Keyboard and Mouse Behavioural Analysis</w:t>
      </w:r>
    </w:p>
    <w:p w14:paraId="3FF83376" w14:textId="77777777" w:rsidR="005947D3" w:rsidRDefault="00000000">
      <w:pPr>
        <w:spacing w:after="120" w:line="360" w:lineRule="auto"/>
        <w:jc w:val="both"/>
      </w:pPr>
      <w:r>
        <w:t xml:space="preserve">Keyboard and mouse dynamics supply accessible, non-invasive behavioural signals that correlate with cognitive load, engagement, and attentional states. Keystroke timing features—dwell time, flight time—capture typing effort as modulated by cognitive demands, while mouse movement characteristics—velocity, trajectory, idle periods—reflect engagement with the interface. Combining keyboard and mouse analysis has repeatedly been shown to improve classification accuracy relative to single-modality approaches. These signals, however, are task-dependent and often ambiguous in isolation. </w:t>
      </w:r>
      <w:proofErr w:type="spellStart"/>
      <w:r>
        <w:t>DeepFocus</w:t>
      </w:r>
      <w:proofErr w:type="spellEnd"/>
      <w:r>
        <w:t xml:space="preserve"> addresses both limitations by integrating keyboard and mouse features with visual signals and browser activity data within a time-windowed framework, enabling more reliable concentration estimation across a range of task types.</w:t>
      </w:r>
    </w:p>
    <w:p w14:paraId="2FDB073E" w14:textId="77777777" w:rsidR="005947D3" w:rsidRDefault="00000000">
      <w:pPr>
        <w:pStyle w:val="Heading2"/>
      </w:pPr>
      <w:r>
        <w:t>2.8 Browser-Based Monitoring and Tab Activity</w:t>
      </w:r>
    </w:p>
    <w:p w14:paraId="00B1930B" w14:textId="77777777" w:rsidR="005947D3" w:rsidRDefault="00000000">
      <w:pPr>
        <w:spacing w:after="120" w:line="360" w:lineRule="auto"/>
        <w:jc w:val="both"/>
      </w:pPr>
      <w:r>
        <w:t>The web browser is the primary interface through which users engage with digital content during study and work sessions. It is, therefore, a natural source of behavioural data that can inform concentration detection. This section examines the APIs and techniques available for monitoring user behaviour within browsers, focusing on tab visibility, window focus, and the constraints that browser security models impose on what can and cannot be observed.</w:t>
      </w:r>
    </w:p>
    <w:p w14:paraId="3762C558" w14:textId="77777777" w:rsidR="005947D3" w:rsidRDefault="00000000">
      <w:pPr>
        <w:pStyle w:val="Heading3"/>
      </w:pPr>
      <w:r>
        <w:lastRenderedPageBreak/>
        <w:t>2.8.1 The Page Visibility API</w:t>
      </w:r>
    </w:p>
    <w:p w14:paraId="63398B39" w14:textId="77777777" w:rsidR="005947D3" w:rsidRDefault="00000000">
      <w:pPr>
        <w:spacing w:after="120" w:line="360" w:lineRule="auto"/>
        <w:jc w:val="both"/>
      </w:pPr>
      <w:r>
        <w:t xml:space="preserve">The Page Visibility API is a W3C specification that lets web applications determine whether their page is currently visible to the user (W3C, 2013). It exposes a </w:t>
      </w:r>
      <w:proofErr w:type="spellStart"/>
      <w:proofErr w:type="gramStart"/>
      <w:r>
        <w:t>document.visibilityState</w:t>
      </w:r>
      <w:proofErr w:type="spellEnd"/>
      <w:proofErr w:type="gramEnd"/>
      <w:r>
        <w:t xml:space="preserve"> property—returning either 'visible' or 'hidden'—and fires a </w:t>
      </w:r>
      <w:proofErr w:type="spellStart"/>
      <w:r>
        <w:t>visibilitychange</w:t>
      </w:r>
      <w:proofErr w:type="spellEnd"/>
      <w:r>
        <w:t xml:space="preserve"> event when the state transitions. A page becomes hidden when the user switches to a different tab, minimises the window, or locks the screen.</w:t>
      </w:r>
    </w:p>
    <w:p w14:paraId="319EEF3C" w14:textId="77777777" w:rsidR="005947D3" w:rsidRDefault="00000000">
      <w:pPr>
        <w:spacing w:after="120" w:line="360" w:lineRule="auto"/>
        <w:jc w:val="both"/>
      </w:pPr>
      <w:r>
        <w:t xml:space="preserve">For concentration monitoring, this API delivers something that most other signals cannot: an unambiguous, binary indicator of task disengagement. If the user has navigated away from the application tab, they are, by definition, not attending to the content in that tab. No inference or probabilistic reasoning is required—tab switching is a discrete, observable event with straightforward attentional implications. </w:t>
      </w:r>
      <w:proofErr w:type="spellStart"/>
      <w:r>
        <w:t>Estrin</w:t>
      </w:r>
      <w:proofErr w:type="spellEnd"/>
      <w:r>
        <w:t xml:space="preserve"> and </w:t>
      </w:r>
      <w:proofErr w:type="spellStart"/>
      <w:r>
        <w:t>Robilliard</w:t>
      </w:r>
      <w:proofErr w:type="spellEnd"/>
      <w:r>
        <w:t xml:space="preserve"> (2016) showed that tab-switching frequency during online examinations correlated significantly with lower performance, lending empirical support to the use of tab visibility as an attention proxy.</w:t>
      </w:r>
    </w:p>
    <w:p w14:paraId="394CAF5B" w14:textId="77777777" w:rsidR="005947D3" w:rsidRDefault="00000000">
      <w:pPr>
        <w:spacing w:after="120" w:line="360" w:lineRule="auto"/>
        <w:jc w:val="both"/>
      </w:pPr>
      <w:r>
        <w:t xml:space="preserve">The API's scope is limited, though. It cannot tell you what the user is doing in other tabs or applications—only that they have left. And it cannot capture within-tab distractions: a user scrolling through their phone while the browser tab stays in the foreground will appear fully engaged. These are exactly the kinds of blind spots that motivate combining tab visibility with visual and input-based signals in </w:t>
      </w:r>
      <w:proofErr w:type="spellStart"/>
      <w:r>
        <w:t>DeepFocus</w:t>
      </w:r>
      <w:proofErr w:type="spellEnd"/>
      <w:r>
        <w:t>.</w:t>
      </w:r>
    </w:p>
    <w:p w14:paraId="4DF018BD" w14:textId="77777777" w:rsidR="005947D3" w:rsidRDefault="00000000">
      <w:pPr>
        <w:pStyle w:val="Heading3"/>
      </w:pPr>
      <w:r>
        <w:t>2.8.2 The Focus and Blur Events</w:t>
      </w:r>
    </w:p>
    <w:p w14:paraId="0EF1ECF8" w14:textId="77777777" w:rsidR="005947D3" w:rsidRDefault="00000000">
      <w:pPr>
        <w:spacing w:after="120" w:line="360" w:lineRule="auto"/>
        <w:jc w:val="both"/>
      </w:pPr>
      <w:r>
        <w:t>The window focus and blur events complement the Page Visibility API by offering application-level context signals. The focus event fires when the browser window gains focus—the user clicks on or switches to it—while blur fires when the window loses focus, indicating a switch to another desktop application. Unlike the Page Visibility API, which tracks tab-level visibility, focus and blur events detect transitions between the browser and other applications entirely (MDN Web Docs, 2023).</w:t>
      </w:r>
    </w:p>
    <w:p w14:paraId="721CA58E" w14:textId="77777777" w:rsidR="005947D3" w:rsidRDefault="00000000">
      <w:pPr>
        <w:spacing w:after="120" w:line="360" w:lineRule="auto"/>
        <w:jc w:val="both"/>
      </w:pPr>
      <w:r>
        <w:t xml:space="preserve">Combining Page Visibility with focus/blur events enables </w:t>
      </w:r>
      <w:proofErr w:type="spellStart"/>
      <w:r>
        <w:t>DeepFocus</w:t>
      </w:r>
      <w:proofErr w:type="spellEnd"/>
      <w:r>
        <w:t xml:space="preserve"> to differentiate between types of </w:t>
      </w:r>
      <w:proofErr w:type="gramStart"/>
      <w:r>
        <w:t>context</w:t>
      </w:r>
      <w:proofErr w:type="gramEnd"/>
      <w:r>
        <w:t xml:space="preserve"> switching: moving between browser tabs (detected via </w:t>
      </w:r>
      <w:proofErr w:type="spellStart"/>
      <w:r>
        <w:t>visibilitychange</w:t>
      </w:r>
      <w:proofErr w:type="spellEnd"/>
      <w:r>
        <w:t xml:space="preserve">) versus leaving the browser altogether (detected via blur). This distinction matters. </w:t>
      </w:r>
      <w:proofErr w:type="spellStart"/>
      <w:r>
        <w:t>Monsell</w:t>
      </w:r>
      <w:proofErr w:type="spellEnd"/>
      <w:r>
        <w:t xml:space="preserve"> (2003) demonstrated that task switching carries measurable cognitive costs, and Mark et al. (2008) showed that switching to a completely different application produces greater attentional </w:t>
      </w:r>
      <w:r>
        <w:lastRenderedPageBreak/>
        <w:t xml:space="preserve">disruption than switching between related browser tabs. </w:t>
      </w:r>
      <w:proofErr w:type="spellStart"/>
      <w:r>
        <w:t>DeepFocus</w:t>
      </w:r>
      <w:proofErr w:type="spellEnd"/>
      <w:r>
        <w:t xml:space="preserve"> uses this distinction to assign different weights to these two switching behaviours in its concentration classification.</w:t>
      </w:r>
    </w:p>
    <w:p w14:paraId="50083305" w14:textId="77777777" w:rsidR="005947D3" w:rsidRDefault="00000000">
      <w:pPr>
        <w:pStyle w:val="Heading3"/>
      </w:pPr>
      <w:r>
        <w:t>2.8.3 Privacy Constraints and Browser Security Models</w:t>
      </w:r>
    </w:p>
    <w:p w14:paraId="659A1903" w14:textId="77777777" w:rsidR="005947D3" w:rsidRDefault="00000000">
      <w:pPr>
        <w:spacing w:after="120" w:line="360" w:lineRule="auto"/>
        <w:jc w:val="both"/>
      </w:pPr>
      <w:r>
        <w:t xml:space="preserve">Browser-based monitoring operates within the tight privacy and security constraints of modern browser architectures. The same-origin policy prevents a web application from accessing content or data belonging to another origin, meaning </w:t>
      </w:r>
      <w:proofErr w:type="spellStart"/>
      <w:r>
        <w:t>DeepFocus</w:t>
      </w:r>
      <w:proofErr w:type="spellEnd"/>
      <w:r>
        <w:t xml:space="preserve"> cannot inspect the contents of other tabs or read the user's browsing history (Barth, 2011). Browser permission models require explicit user consent before granting webcam access via </w:t>
      </w:r>
      <w:proofErr w:type="spellStart"/>
      <w:r>
        <w:t>getUserMedia</w:t>
      </w:r>
      <w:proofErr w:type="spellEnd"/>
      <w:r>
        <w:t>, and camera feeds are not available in the background when the tab is inactive.</w:t>
      </w:r>
    </w:p>
    <w:p w14:paraId="63BE6BE4" w14:textId="77777777" w:rsidR="005947D3" w:rsidRDefault="00000000">
      <w:pPr>
        <w:spacing w:after="120" w:line="360" w:lineRule="auto"/>
        <w:jc w:val="both"/>
      </w:pPr>
      <w:r>
        <w:t xml:space="preserve">These constraints fundamentally shape the design space. Unlike desktop applications such as </w:t>
      </w:r>
      <w:proofErr w:type="spellStart"/>
      <w:r>
        <w:t>RescueTime</w:t>
      </w:r>
      <w:proofErr w:type="spellEnd"/>
      <w:r>
        <w:t xml:space="preserve">, which can track application usage across an entire operating system, browser-based systems are confined to the signals available within their own tab and the standard web APIs. Chen et al. (2020) </w:t>
      </w:r>
      <w:proofErr w:type="gramStart"/>
      <w:r>
        <w:t>characterise</w:t>
      </w:r>
      <w:proofErr w:type="gramEnd"/>
      <w:r>
        <w:t xml:space="preserve"> browser-based monitoring as a privacy-preserving middle ground between invasive proctoring systems and purely self-reported attention measures.</w:t>
      </w:r>
    </w:p>
    <w:p w14:paraId="1B3E07EF" w14:textId="77777777" w:rsidR="005947D3" w:rsidRDefault="00000000">
      <w:pPr>
        <w:spacing w:after="120" w:line="360" w:lineRule="auto"/>
        <w:jc w:val="both"/>
      </w:pPr>
      <w:proofErr w:type="spellStart"/>
      <w:r>
        <w:t>DeepFocus</w:t>
      </w:r>
      <w:proofErr w:type="spellEnd"/>
      <w:r>
        <w:t xml:space="preserve"> operates squarely within these boundaries. All visual processing runs locally in the browser via </w:t>
      </w:r>
      <w:proofErr w:type="spellStart"/>
      <w:r>
        <w:t>MediaPipe</w:t>
      </w:r>
      <w:proofErr w:type="spellEnd"/>
      <w:r>
        <w:t>. No camera images are stored or transmitted. Behavioural signals are captured through standard DOM event listeners. The only permission the system requests is webcam access, granted with explicit user consent, and it makes no attempt to observe activity outside its own tab. This privacy-by-design approach is consistent with both the project's ethical commitments and the broader arguments about proportionality in attention monitoring made by Slade and Prinsloo (2013).</w:t>
      </w:r>
    </w:p>
    <w:p w14:paraId="35C32A33" w14:textId="77777777" w:rsidR="005947D3" w:rsidRDefault="00000000">
      <w:pPr>
        <w:pStyle w:val="Heading3"/>
      </w:pPr>
      <w:r>
        <w:t>2.8.4 Existing Browser-Based Monitoring Tools and Frameworks</w:t>
      </w:r>
    </w:p>
    <w:p w14:paraId="1B36C038" w14:textId="77777777" w:rsidR="005947D3" w:rsidRDefault="00000000">
      <w:pPr>
        <w:spacing w:after="120" w:line="360" w:lineRule="auto"/>
        <w:jc w:val="both"/>
      </w:pPr>
      <w:r>
        <w:t xml:space="preserve">Several existing tools perform some form of browser-based activity monitoring, though few combine multiple modalities for concentration detection. </w:t>
      </w:r>
      <w:proofErr w:type="spellStart"/>
      <w:r>
        <w:t>RescueTime</w:t>
      </w:r>
      <w:proofErr w:type="spellEnd"/>
      <w:r>
        <w:t xml:space="preserve"> tracks application and website usage at the operating system level, producing time-based productivity metrics but not real-time concentration classification (</w:t>
      </w:r>
      <w:proofErr w:type="spellStart"/>
      <w:r>
        <w:t>RescueTime</w:t>
      </w:r>
      <w:proofErr w:type="spellEnd"/>
      <w:r>
        <w:t xml:space="preserve">, 2024). Browser extensions like </w:t>
      </w:r>
      <w:proofErr w:type="spellStart"/>
      <w:r>
        <w:t>LeechBlock</w:t>
      </w:r>
      <w:proofErr w:type="spellEnd"/>
      <w:r>
        <w:t xml:space="preserve"> and </w:t>
      </w:r>
      <w:proofErr w:type="spellStart"/>
      <w:r>
        <w:t>StayFocusd</w:t>
      </w:r>
      <w:proofErr w:type="spellEnd"/>
      <w:r>
        <w:t xml:space="preserve"> block distracting websites without attempting to measure focus. In education, proctoring systems such as </w:t>
      </w:r>
      <w:proofErr w:type="spellStart"/>
      <w:r>
        <w:t>ProctorU</w:t>
      </w:r>
      <w:proofErr w:type="spellEnd"/>
      <w:r>
        <w:t xml:space="preserve"> and </w:t>
      </w:r>
      <w:proofErr w:type="spellStart"/>
      <w:r>
        <w:t>Respondus</w:t>
      </w:r>
      <w:proofErr w:type="spellEnd"/>
      <w:r>
        <w:t xml:space="preserve"> </w:t>
      </w:r>
      <w:proofErr w:type="spellStart"/>
      <w:r>
        <w:t>LockDown</w:t>
      </w:r>
      <w:proofErr w:type="spellEnd"/>
      <w:r>
        <w:t xml:space="preserve"> Browser use webcam feeds and browser lockdown mechanisms during online examinations, but these are built for cheating prevention, not concentration measurement, and typically require proprietary software (Nigam et al., 2021).</w:t>
      </w:r>
    </w:p>
    <w:p w14:paraId="1E78E815" w14:textId="77777777" w:rsidR="005947D3" w:rsidRDefault="00000000">
      <w:pPr>
        <w:spacing w:after="120" w:line="360" w:lineRule="auto"/>
        <w:jc w:val="both"/>
      </w:pPr>
      <w:r>
        <w:lastRenderedPageBreak/>
        <w:t xml:space="preserve">Academic prototypes have explored browser-based attention monitoring with varying degrees of ambition. Hutt et al. (2017) developed a webcam-based attention detection system for online learning that estimated gaze direction from facial features—but it relied on server-side processing rather than in-browser inference. Sharma et al. (2020) proposed a multimodal learning analytics platform integrating gaze data, interaction logs, and physiological signals, but it depended on research-grade eye trackers and wearable sensors. Both systems illustrate the potential of multimodal attention monitoring while underscoring the gap that </w:t>
      </w:r>
      <w:proofErr w:type="spellStart"/>
      <w:r>
        <w:t>DeepFocus</w:t>
      </w:r>
      <w:proofErr w:type="spellEnd"/>
      <w:r>
        <w:t xml:space="preserve"> targets: a fully browser-native system, free of specialised hardware, that combines multiple signal types and processes everything locally.</w:t>
      </w:r>
    </w:p>
    <w:p w14:paraId="1F6C28E6" w14:textId="77777777" w:rsidR="005947D3" w:rsidRDefault="00000000">
      <w:pPr>
        <w:pStyle w:val="Heading2"/>
      </w:pPr>
      <w:r>
        <w:t>2.9 Summary of Browser-Based Monitoring Approaches</w:t>
      </w:r>
    </w:p>
    <w:p w14:paraId="1369CD09" w14:textId="77777777" w:rsidR="005947D3" w:rsidRDefault="00000000">
      <w:pPr>
        <w:spacing w:after="120" w:line="360" w:lineRule="auto"/>
        <w:jc w:val="both"/>
      </w:pPr>
      <w:r>
        <w:t xml:space="preserve">Browser-based monitoring provides a practical, privacy-compatible route to capturing behavioural signals relevant to concentration. The Page Visibility API and focus/blur events yield direct indicators of tab and application switching—unambiguous signals of task disengagement. Modern browser security models restrict what a web application can observe, but these restrictions double as privacy safeguards aligned with the ethical requirements of attention monitoring. Existing browser tools and academic prototypes have explored various facets of activity monitoring and attention detection, yet none offers a fully integrated, multimodal, browser-native system that combines visual, behavioural, and contextual signals for real-time concentration classification. </w:t>
      </w:r>
      <w:proofErr w:type="spellStart"/>
      <w:r>
        <w:t>DeepFocus</w:t>
      </w:r>
      <w:proofErr w:type="spellEnd"/>
      <w:r>
        <w:t xml:space="preserve"> is designed to operate entirely within the browser sandbox, using standard web APIs and client-side computer vision to deliver a non-invasive concentration measurement tool that respects both technical constraints and user privacy.</w:t>
      </w:r>
    </w:p>
    <w:p w14:paraId="5CEB7EB3" w14:textId="77777777" w:rsidR="005947D3" w:rsidRDefault="00000000">
      <w:pPr>
        <w:pStyle w:val="Heading2"/>
      </w:pPr>
      <w:r>
        <w:t>2.10 Related Systems: Engagement and Concentration Detection</w:t>
      </w:r>
    </w:p>
    <w:p w14:paraId="51688E37" w14:textId="77777777" w:rsidR="005947D3" w:rsidRDefault="00000000">
      <w:pPr>
        <w:spacing w:after="120" w:line="360" w:lineRule="auto"/>
        <w:jc w:val="both"/>
      </w:pPr>
      <w:r>
        <w:t xml:space="preserve">The preceding sections reviewed the individual components underlying </w:t>
      </w:r>
      <w:proofErr w:type="spellStart"/>
      <w:r>
        <w:t>DeepFocus</w:t>
      </w:r>
      <w:proofErr w:type="spellEnd"/>
      <w:r>
        <w:t xml:space="preserve">—visual attention technologies, behavioural analytics, and browser-based monitoring. This section examines complete systems that have been built for engagement or concentration detection. The goal is to situate </w:t>
      </w:r>
      <w:proofErr w:type="spellStart"/>
      <w:r>
        <w:t>DeepFocus</w:t>
      </w:r>
      <w:proofErr w:type="spellEnd"/>
      <w:r>
        <w:t xml:space="preserve"> within the existing landscape and to articulate the specific gap it is designed to fill.</w:t>
      </w:r>
    </w:p>
    <w:p w14:paraId="3324B11E" w14:textId="77777777" w:rsidR="005947D3" w:rsidRDefault="00000000">
      <w:pPr>
        <w:pStyle w:val="Heading3"/>
      </w:pPr>
      <w:r>
        <w:t>2.10.1 Vision-Based Engagement Detection Systems</w:t>
      </w:r>
    </w:p>
    <w:p w14:paraId="21AB9D46" w14:textId="77777777" w:rsidR="005947D3" w:rsidRDefault="00000000">
      <w:pPr>
        <w:spacing w:after="120" w:line="360" w:lineRule="auto"/>
        <w:jc w:val="both"/>
      </w:pPr>
      <w:r>
        <w:lastRenderedPageBreak/>
        <w:t>A considerable volume of research has focused on detecting student engagement through computer vision. Whitehill et al. (2014) classified engagement levels from facial expressions using support vector machines trained on facial action unit features, achieving accuracy comparable to human annotators on the ENGAGE dataset. Their system, however, required controlled lighting and frontal camera positioning—conditions that limit ecological validity. Bosch et al. (2016) applied automated affect detectors to classroom video recordings, recognising engagement, boredom, confusion, and frustration. These systems demonstrated that vision-based engagement detection is viable, but both relied on offline processing of recorded video rather than real-time inference.</w:t>
      </w:r>
    </w:p>
    <w:p w14:paraId="4FBD43F2" w14:textId="77777777" w:rsidR="005947D3" w:rsidRDefault="00000000">
      <w:pPr>
        <w:spacing w:after="120" w:line="360" w:lineRule="auto"/>
        <w:jc w:val="both"/>
      </w:pPr>
      <w:r>
        <w:t xml:space="preserve">More recent work has moved toward real-time operation. Dewan et al. (2019) surveyed engagement detection in online learning and identified a shift toward CNN-based systems processing webcam feeds in real time. Thomas and </w:t>
      </w:r>
      <w:proofErr w:type="spellStart"/>
      <w:r>
        <w:t>Jayagopi</w:t>
      </w:r>
      <w:proofErr w:type="spellEnd"/>
      <w:r>
        <w:t xml:space="preserve"> (2017) built a real-time engagement estimator using head pose and facial expression features, producing encouraging results on classroom recordings—but their system needed a GPU-equipped server, ruling out browser deployment. Nezami et al. (2020) proposed a semi-supervised engagement detection approach that reduced the reliance on labelled training data, though their system likewise required desktop-level computational resources.</w:t>
      </w:r>
    </w:p>
    <w:p w14:paraId="2AE479A0" w14:textId="77777777" w:rsidR="005947D3" w:rsidRDefault="00000000">
      <w:pPr>
        <w:pStyle w:val="Heading3"/>
      </w:pPr>
      <w:r>
        <w:t>2.10.2 Multimodal Attention Monitoring Systems</w:t>
      </w:r>
    </w:p>
    <w:p w14:paraId="1A1AB962" w14:textId="77777777" w:rsidR="005947D3" w:rsidRDefault="00000000">
      <w:pPr>
        <w:spacing w:after="120" w:line="360" w:lineRule="auto"/>
        <w:jc w:val="both"/>
      </w:pPr>
      <w:r>
        <w:t xml:space="preserve">Several systems have pursued multimodal signal integration for attention monitoring, sharing the same philosophical commitment as </w:t>
      </w:r>
      <w:proofErr w:type="spellStart"/>
      <w:r>
        <w:t>DeepFocus</w:t>
      </w:r>
      <w:proofErr w:type="spellEnd"/>
      <w:r>
        <w:t xml:space="preserve">. </w:t>
      </w:r>
      <w:proofErr w:type="spellStart"/>
      <w:r>
        <w:t>D'Mello</w:t>
      </w:r>
      <w:proofErr w:type="spellEnd"/>
      <w:r>
        <w:t xml:space="preserve"> et al. (2012) built an affect-sensitive tutoring system, </w:t>
      </w:r>
      <w:proofErr w:type="spellStart"/>
      <w:r>
        <w:t>AutoTutor</w:t>
      </w:r>
      <w:proofErr w:type="spellEnd"/>
      <w:r>
        <w:t>, that combined facial expression analysis, body posture detection, and interaction log analysis to detect disengagement during computer-based learning. Multiple cameras and controlled laboratory conditions were required, but the study showed clearly that multimodal fusion improved detection accuracy beyond any single modality.</w:t>
      </w:r>
    </w:p>
    <w:p w14:paraId="0E46984E" w14:textId="77777777" w:rsidR="005947D3" w:rsidRDefault="00000000">
      <w:pPr>
        <w:spacing w:after="120" w:line="360" w:lineRule="auto"/>
        <w:jc w:val="both"/>
      </w:pPr>
      <w:r>
        <w:t xml:space="preserve">Sharma et al. (2019) proposed a multimodal framework for predicting learning outcomes that combined eye-tracking data, physiological signals (EDA, heart rate), and interaction logs. The fusion of gaze and physiological features proved most predictive of engagement, but the dependence on wearable sensors and dedicated eye trackers constrains scalability. </w:t>
      </w:r>
      <w:proofErr w:type="spellStart"/>
      <w:r>
        <w:t>Monkaresi</w:t>
      </w:r>
      <w:proofErr w:type="spellEnd"/>
      <w:r>
        <w:t xml:space="preserve"> et al. (2017) took a step toward hardware-free monitoring by combining webcam-based heart rate estimation with keyboard and mouse dynamics to predict engagement during writing tasks. The webcam-derived heart rate signal, however, turned out to be unreliable under naturalistic </w:t>
      </w:r>
      <w:r>
        <w:lastRenderedPageBreak/>
        <w:t>conditions—a reminder of how difficult it is to extract robust physiological data from a standard camera.</w:t>
      </w:r>
    </w:p>
    <w:p w14:paraId="454DA88D" w14:textId="77777777" w:rsidR="005947D3" w:rsidRDefault="00000000">
      <w:pPr>
        <w:spacing w:after="120" w:line="360" w:lineRule="auto"/>
        <w:jc w:val="both"/>
      </w:pPr>
      <w:r>
        <w:t>Collectively, these systems establish that combining multiple signal types leads to more accurate and robust attention predictions. They also share common limitations: dependence on specialised hardware, need for desktop-level computation, and deployment within controlled rather than naturalistic web environments.</w:t>
      </w:r>
    </w:p>
    <w:p w14:paraId="4F47F640" w14:textId="77777777" w:rsidR="005947D3" w:rsidRDefault="00000000">
      <w:pPr>
        <w:pStyle w:val="Heading3"/>
      </w:pPr>
      <w:r>
        <w:t>2.10.3 Browser-Based and Lightweight Approaches</w:t>
      </w:r>
    </w:p>
    <w:p w14:paraId="16BEC49A" w14:textId="77777777" w:rsidR="005947D3" w:rsidRDefault="00000000">
      <w:pPr>
        <w:spacing w:after="120" w:line="360" w:lineRule="auto"/>
        <w:jc w:val="both"/>
      </w:pPr>
      <w:r>
        <w:t xml:space="preserve">A smaller subset of work has targeted browser-based or otherwise lightweight attention monitoring. Hutt et al. (2017) used webcam-based gaze estimation to predict attention during online lectures, finding that gaze features predicted mind wandering at above-chance accuracy—but their gaze estimation required server-side processing, and the system did not incorporate behavioural signals. </w:t>
      </w:r>
      <w:proofErr w:type="spellStart"/>
      <w:r>
        <w:t>Papoutsaki</w:t>
      </w:r>
      <w:proofErr w:type="spellEnd"/>
      <w:r>
        <w:t xml:space="preserve"> et al. (2016) demonstrated browser-native gaze tracking with WebGazer.js but treated gaze estimation as a standalone capability rather than embedding it in a concentration detection pipeline.</w:t>
      </w:r>
    </w:p>
    <w:p w14:paraId="2F890922" w14:textId="77777777" w:rsidR="005947D3" w:rsidRDefault="00000000">
      <w:pPr>
        <w:spacing w:after="120" w:line="360" w:lineRule="auto"/>
        <w:jc w:val="both"/>
      </w:pPr>
      <w:r>
        <w:t xml:space="preserve">Stewart et al. (2017) used clickstream data, time-on-page metrics, and navigation patterns to predict disengagement in online courses. Their approach was fully browser-based and scalable, but it lacked visual signals, which limits detection of disengagement that does not produce interaction changes—a student looking at their phone while the course page remains open, for instance. Li et al. (2021) proposed a lightweight attention detection system using facial landmarks for online </w:t>
      </w:r>
      <w:proofErr w:type="gramStart"/>
      <w:r>
        <w:t>learning, but</w:t>
      </w:r>
      <w:proofErr w:type="gramEnd"/>
      <w:r>
        <w:t xml:space="preserve"> implemented it as a desktop application rather than a browser tool.</w:t>
      </w:r>
    </w:p>
    <w:p w14:paraId="3730383E" w14:textId="77777777" w:rsidR="005947D3" w:rsidRDefault="00000000">
      <w:pPr>
        <w:spacing w:after="120" w:line="360" w:lineRule="auto"/>
        <w:jc w:val="both"/>
      </w:pPr>
      <w:r>
        <w:t xml:space="preserve">The literature, then, reveals a clear gap. No existing system combines multimodal signals—visual, behavioural, and contextual—for concentration detection while operating entirely within a standard web browser, without specialised hardware or server-side processing. </w:t>
      </w:r>
      <w:proofErr w:type="spellStart"/>
      <w:r>
        <w:t>DeepFocus</w:t>
      </w:r>
      <w:proofErr w:type="spellEnd"/>
      <w:r>
        <w:t xml:space="preserve"> is designed specifically to occupy this space.</w:t>
      </w:r>
    </w:p>
    <w:p w14:paraId="4FEA62A9" w14:textId="77777777" w:rsidR="005947D3" w:rsidRDefault="00000000">
      <w:pPr>
        <w:pStyle w:val="Heading3"/>
      </w:pPr>
      <w:r>
        <w:t>2.10.4 Comparative Summary</w:t>
      </w:r>
    </w:p>
    <w:p w14:paraId="6DD7D9D0" w14:textId="77777777" w:rsidR="005947D3" w:rsidRDefault="00000000">
      <w:pPr>
        <w:spacing w:after="120" w:line="360" w:lineRule="auto"/>
        <w:jc w:val="both"/>
      </w:pPr>
      <w:r>
        <w:t xml:space="preserve">Several patterns emerge from the comparative analysis. Vision-based systems achieve the highest detection accuracy but require controlled conditions and substantial computation. Multimodal systems consistently outperform unimodal alternatives—a finding that validates the design rationale of </w:t>
      </w:r>
      <w:proofErr w:type="spellStart"/>
      <w:r>
        <w:t>DeepFocus</w:t>
      </w:r>
      <w:proofErr w:type="spellEnd"/>
      <w:r>
        <w:t xml:space="preserve">. Browser-based and lightweight systems offer better accessibility and scalability but sacrifice accuracy by drawing on a limited set of signals. No </w:t>
      </w:r>
      <w:r>
        <w:lastRenderedPageBreak/>
        <w:t>existing system simultaneously achieves multimodal integration, browser-native deployment, real-time processing, and privacy-preserving local computation.</w:t>
      </w:r>
    </w:p>
    <w:p w14:paraId="0CCBFA66" w14:textId="77777777" w:rsidR="005947D3" w:rsidRDefault="00000000">
      <w:pPr>
        <w:spacing w:after="120" w:line="360" w:lineRule="auto"/>
        <w:jc w:val="both"/>
      </w:pPr>
      <w:proofErr w:type="spellStart"/>
      <w:r>
        <w:t>DeepFocus</w:t>
      </w:r>
      <w:proofErr w:type="spellEnd"/>
      <w:r>
        <w:t xml:space="preserve"> occupies a distinctive position in this landscape. It combines lightweight computer vision via </w:t>
      </w:r>
      <w:proofErr w:type="spellStart"/>
      <w:r>
        <w:t>MediaPipe</w:t>
      </w:r>
      <w:proofErr w:type="spellEnd"/>
      <w:r>
        <w:t xml:space="preserve"> Face Mesh for face detection and head pose estimation; keyboard and mouse behavioural analysis via standard DOM event listeners; tab visibility and window focus monitoring via the Page Visibility API; and rule-based classification that integrates these signals into a three-level concentration score. All processing takes place locally within the browser. No raw visual data is stored or transmitted. The system requires only a standard webcam and a browser—no additional software or hardware. This combination of properties is, to the best of the author's knowledge, without precedent in the existing literature.</w:t>
      </w:r>
    </w:p>
    <w:p w14:paraId="0851DBDF" w14:textId="77777777" w:rsidR="005947D3" w:rsidRDefault="00000000">
      <w:pPr>
        <w:pStyle w:val="Heading2"/>
      </w:pPr>
      <w:r>
        <w:t>2.11 Summary and Research Gap</w:t>
      </w:r>
    </w:p>
    <w:p w14:paraId="476CB20F" w14:textId="77777777" w:rsidR="005947D3" w:rsidRDefault="00000000">
      <w:pPr>
        <w:spacing w:after="120" w:line="360" w:lineRule="auto"/>
        <w:jc w:val="both"/>
      </w:pPr>
      <w:r>
        <w:t>This literature review has examined the theoretical, methodological, and technical foundations relevant to multimodal, browser-based concentration detection. The first part established that concentration is a multidimensional construct grounded in sustained attention theory, measurable through subjective and objective means, but most effectively captured via unobtrusive, continuous computational approaches. The second part showed that lightweight face detection and head pose estimation models—</w:t>
      </w:r>
      <w:proofErr w:type="spellStart"/>
      <w:r>
        <w:t>MediaPipe</w:t>
      </w:r>
      <w:proofErr w:type="spellEnd"/>
      <w:r>
        <w:t xml:space="preserve"> Face Mesh in particular—make real-time visual attention monitoring inside web browsers feasible. The third part demonstrated that keyboard and mouse dynamics provide accessible behavioural correlates of cognitive engagement, though their interpretation requires multimodal context. The fourth part reviewed browser-based monitoring APIs, with the Page Visibility API standing out as a direct signal of task switching and disengagement, operating within the constraints of browser security models. The fifth part compared existing engagement and concentration detection systems, revealing that no current system combines multimodal signals, browser-native deployment, real-time processing, and privacy-preserving local computation.</w:t>
      </w:r>
    </w:p>
    <w:p w14:paraId="2FF7BE32" w14:textId="77777777" w:rsidR="005947D3" w:rsidRDefault="00000000">
      <w:pPr>
        <w:spacing w:after="120" w:line="360" w:lineRule="auto"/>
        <w:jc w:val="both"/>
      </w:pPr>
      <w:proofErr w:type="spellStart"/>
      <w:r>
        <w:t>DeepFocus</w:t>
      </w:r>
      <w:proofErr w:type="spellEnd"/>
      <w:r>
        <w:t xml:space="preserve"> is designed to address this gap. By integrating visual signals (face presence, head pose), behavioural signals (keyboard activity, mouse movement), and contextual signals (tab visibility, window focus) into a unified, browser-native classification framework, the system aims to deliver a non-invasive, scalable, and privacy-preserving approach to concentration measurement. The chapters that follow describe the design, implementation, and empirical evaluation of this system.</w:t>
      </w:r>
    </w:p>
    <w:p w14:paraId="4E484859" w14:textId="77777777" w:rsidR="005947D3" w:rsidRDefault="00000000">
      <w:pPr>
        <w:pStyle w:val="Heading2"/>
      </w:pPr>
      <w:r>
        <w:lastRenderedPageBreak/>
        <w:t>References</w:t>
      </w:r>
    </w:p>
    <w:p w14:paraId="460C6369" w14:textId="77777777" w:rsidR="005947D3" w:rsidRDefault="00000000">
      <w:pPr>
        <w:spacing w:after="120" w:line="360" w:lineRule="auto"/>
        <w:jc w:val="both"/>
      </w:pPr>
      <w:proofErr w:type="spellStart"/>
      <w:r>
        <w:t>Bannert</w:t>
      </w:r>
      <w:proofErr w:type="spellEnd"/>
      <w:r>
        <w:t xml:space="preserve">, M. and </w:t>
      </w:r>
      <w:proofErr w:type="spellStart"/>
      <w:r>
        <w:t>Mengelkamp</w:t>
      </w:r>
      <w:proofErr w:type="spellEnd"/>
      <w:r>
        <w:t xml:space="preserve">, C. (2013) 'Scaffolding hypermedia learning through metacognitive prompts', in Azevedo, R. and </w:t>
      </w:r>
      <w:proofErr w:type="spellStart"/>
      <w:r>
        <w:t>Aleven</w:t>
      </w:r>
      <w:proofErr w:type="spellEnd"/>
      <w:r>
        <w:t>, V. (eds.) International Handbook of Metacognition and Learning Technologies. New York: Springer, pp. 171–186.</w:t>
      </w:r>
    </w:p>
    <w:p w14:paraId="644E8E41" w14:textId="77777777" w:rsidR="005947D3" w:rsidRDefault="00000000">
      <w:pPr>
        <w:spacing w:after="120" w:line="360" w:lineRule="auto"/>
        <w:jc w:val="both"/>
      </w:pPr>
      <w:r>
        <w:t>Barth, A. (2011) The Web Origin Concept. RFC 6454. Internet Engineering Task Force. Available at: https://tools.ietf.org/html/rfc6454 (Accessed: 20 January 2026).</w:t>
      </w:r>
    </w:p>
    <w:p w14:paraId="34B44F05" w14:textId="77777777" w:rsidR="005947D3" w:rsidRDefault="00000000">
      <w:pPr>
        <w:spacing w:after="120" w:line="360" w:lineRule="auto"/>
        <w:jc w:val="both"/>
      </w:pPr>
      <w:proofErr w:type="spellStart"/>
      <w:r>
        <w:t>Bazarevsky</w:t>
      </w:r>
      <w:proofErr w:type="spellEnd"/>
      <w:r>
        <w:t xml:space="preserve">, V., </w:t>
      </w:r>
      <w:proofErr w:type="spellStart"/>
      <w:r>
        <w:t>Kartynnik</w:t>
      </w:r>
      <w:proofErr w:type="spellEnd"/>
      <w:r>
        <w:t xml:space="preserve">, Y., </w:t>
      </w:r>
      <w:proofErr w:type="spellStart"/>
      <w:r>
        <w:t>Vakunov</w:t>
      </w:r>
      <w:proofErr w:type="spellEnd"/>
      <w:r>
        <w:t xml:space="preserve">, A., Raveendran, K. and </w:t>
      </w:r>
      <w:proofErr w:type="spellStart"/>
      <w:r>
        <w:t>Grundmann</w:t>
      </w:r>
      <w:proofErr w:type="spellEnd"/>
      <w:r>
        <w:t>, M. (2019) '</w:t>
      </w:r>
      <w:proofErr w:type="spellStart"/>
      <w:r>
        <w:t>BlazeFace</w:t>
      </w:r>
      <w:proofErr w:type="spellEnd"/>
      <w:r>
        <w:t xml:space="preserve">: Sub-millisecond neural face detection on mobile GPUs', </w:t>
      </w:r>
      <w:proofErr w:type="spellStart"/>
      <w:r>
        <w:t>arXiv</w:t>
      </w:r>
      <w:proofErr w:type="spellEnd"/>
      <w:r>
        <w:t xml:space="preserve"> preprint arXiv:1907.05047.</w:t>
      </w:r>
    </w:p>
    <w:p w14:paraId="044852E1" w14:textId="77777777" w:rsidR="005947D3" w:rsidRDefault="00000000">
      <w:pPr>
        <w:spacing w:after="120" w:line="360" w:lineRule="auto"/>
        <w:jc w:val="both"/>
      </w:pPr>
      <w:r>
        <w:t xml:space="preserve">Beatty, J. and Lucero-Wagoner, B. (2000) 'The pupillary system', in Cacioppo, J.T., </w:t>
      </w:r>
      <w:proofErr w:type="spellStart"/>
      <w:r>
        <w:t>Tassinary</w:t>
      </w:r>
      <w:proofErr w:type="spellEnd"/>
      <w:r>
        <w:t xml:space="preserve">, L.G. and </w:t>
      </w:r>
      <w:proofErr w:type="spellStart"/>
      <w:r>
        <w:t>Berntson</w:t>
      </w:r>
      <w:proofErr w:type="spellEnd"/>
      <w:r>
        <w:t xml:space="preserve">, G.G. (eds.) Handbook of Psychophysiology. 2nd </w:t>
      </w:r>
      <w:proofErr w:type="spellStart"/>
      <w:r>
        <w:t>edn</w:t>
      </w:r>
      <w:proofErr w:type="spellEnd"/>
      <w:r>
        <w:t>. Cambridge: Cambridge University Press, pp. 142–162.</w:t>
      </w:r>
    </w:p>
    <w:p w14:paraId="65A02FF8" w14:textId="77777777" w:rsidR="005947D3" w:rsidRDefault="00000000">
      <w:pPr>
        <w:spacing w:after="120" w:line="360" w:lineRule="auto"/>
        <w:jc w:val="both"/>
      </w:pPr>
      <w:proofErr w:type="spellStart"/>
      <w:r>
        <w:t>Berka</w:t>
      </w:r>
      <w:proofErr w:type="spellEnd"/>
      <w:r>
        <w:t xml:space="preserve">, C., </w:t>
      </w:r>
      <w:proofErr w:type="spellStart"/>
      <w:r>
        <w:t>Levendowski</w:t>
      </w:r>
      <w:proofErr w:type="spellEnd"/>
      <w:r>
        <w:t xml:space="preserve">, D.J., </w:t>
      </w:r>
      <w:proofErr w:type="spellStart"/>
      <w:r>
        <w:t>Lumicao</w:t>
      </w:r>
      <w:proofErr w:type="spellEnd"/>
      <w:r>
        <w:t xml:space="preserve">, M.N., </w:t>
      </w:r>
      <w:proofErr w:type="spellStart"/>
      <w:r>
        <w:t>Yau</w:t>
      </w:r>
      <w:proofErr w:type="spellEnd"/>
      <w:r>
        <w:t xml:space="preserve">, A., Davis, G., </w:t>
      </w:r>
      <w:proofErr w:type="spellStart"/>
      <w:r>
        <w:t>Zivkovic</w:t>
      </w:r>
      <w:proofErr w:type="spellEnd"/>
      <w:r>
        <w:t xml:space="preserve">, V.T., Olmstead, R.E., </w:t>
      </w:r>
      <w:proofErr w:type="spellStart"/>
      <w:r>
        <w:t>Tremoulet</w:t>
      </w:r>
      <w:proofErr w:type="spellEnd"/>
      <w:r>
        <w:t>, P.D. and Craven, P.L. (2007) 'EEG correlates of task engagement and mental workload in vigilance, learning, and memory tasks', Aviation, Space, and Environmental Medicine, 78(5), pp. B231–B244.</w:t>
      </w:r>
    </w:p>
    <w:p w14:paraId="4D5D19B4" w14:textId="77777777" w:rsidR="005947D3" w:rsidRDefault="00000000">
      <w:pPr>
        <w:spacing w:after="120" w:line="360" w:lineRule="auto"/>
        <w:jc w:val="both"/>
      </w:pPr>
      <w:r>
        <w:t xml:space="preserve">Bixler, R. and </w:t>
      </w:r>
      <w:proofErr w:type="spellStart"/>
      <w:r>
        <w:t>D'Mello</w:t>
      </w:r>
      <w:proofErr w:type="spellEnd"/>
      <w:r>
        <w:t xml:space="preserve">, S. (2016) 'Automatic gaze-based user-independent detection of mind wandering during computerized reading', User </w:t>
      </w:r>
      <w:proofErr w:type="spellStart"/>
      <w:r>
        <w:t>Modeling</w:t>
      </w:r>
      <w:proofErr w:type="spellEnd"/>
      <w:r>
        <w:t xml:space="preserve"> and User-Adapted Interaction, 26(1), pp. 33–68. </w:t>
      </w:r>
      <w:proofErr w:type="spellStart"/>
      <w:r>
        <w:t>doi</w:t>
      </w:r>
      <w:proofErr w:type="spellEnd"/>
      <w:r>
        <w:t>: 10.1007/s11257-015-9167-1.</w:t>
      </w:r>
    </w:p>
    <w:p w14:paraId="07AFFBB7" w14:textId="77777777" w:rsidR="005947D3" w:rsidRDefault="00000000">
      <w:pPr>
        <w:spacing w:after="120" w:line="360" w:lineRule="auto"/>
        <w:jc w:val="both"/>
      </w:pPr>
      <w:r>
        <w:t xml:space="preserve">Bosch, N., </w:t>
      </w:r>
      <w:proofErr w:type="spellStart"/>
      <w:r>
        <w:t>D'Mello</w:t>
      </w:r>
      <w:proofErr w:type="spellEnd"/>
      <w:r>
        <w:t xml:space="preserve">, S., </w:t>
      </w:r>
      <w:proofErr w:type="spellStart"/>
      <w:r>
        <w:t>Ocumpaugh</w:t>
      </w:r>
      <w:proofErr w:type="spellEnd"/>
      <w:r>
        <w:t xml:space="preserve">, J., Baker, R.S. and Shute, V. (2016) 'Using video to automatically detect learner affect in computer-enabled classrooms', ACM Transactions on Interactive Intelligent Systems, 6(2), pp. 1–26. </w:t>
      </w:r>
      <w:proofErr w:type="spellStart"/>
      <w:r>
        <w:t>doi</w:t>
      </w:r>
      <w:proofErr w:type="spellEnd"/>
      <w:r>
        <w:t>: 10.1145/2946837.</w:t>
      </w:r>
    </w:p>
    <w:p w14:paraId="05584F7C" w14:textId="77777777" w:rsidR="005947D3" w:rsidRDefault="00000000">
      <w:pPr>
        <w:spacing w:after="120" w:line="360" w:lineRule="auto"/>
        <w:jc w:val="both"/>
      </w:pPr>
      <w:proofErr w:type="spellStart"/>
      <w:r>
        <w:t>Bradski</w:t>
      </w:r>
      <w:proofErr w:type="spellEnd"/>
      <w:r>
        <w:t xml:space="preserve">, G. (2000) 'The OpenCV Library', </w:t>
      </w:r>
      <w:proofErr w:type="spellStart"/>
      <w:r>
        <w:t>Dr.</w:t>
      </w:r>
      <w:proofErr w:type="spellEnd"/>
      <w:r>
        <w:t xml:space="preserve"> Dobb's Journal of Software Tools, 25(11), pp. 120–125.</w:t>
      </w:r>
    </w:p>
    <w:p w14:paraId="27EDFDC6" w14:textId="77777777" w:rsidR="005947D3" w:rsidRDefault="00000000">
      <w:pPr>
        <w:spacing w:after="120" w:line="360" w:lineRule="auto"/>
        <w:jc w:val="both"/>
      </w:pPr>
      <w:r>
        <w:t>Broadbent, D.E. (1958) Perception and Communication. London: Pergamon Press.</w:t>
      </w:r>
    </w:p>
    <w:p w14:paraId="702D5178" w14:textId="77777777" w:rsidR="005947D3" w:rsidRDefault="00000000">
      <w:pPr>
        <w:spacing w:after="120" w:line="360" w:lineRule="auto"/>
        <w:jc w:val="both"/>
      </w:pPr>
      <w:proofErr w:type="spellStart"/>
      <w:r>
        <w:t>Bulat</w:t>
      </w:r>
      <w:proofErr w:type="spellEnd"/>
      <w:r>
        <w:t xml:space="preserve">, A. and </w:t>
      </w:r>
      <w:proofErr w:type="spellStart"/>
      <w:r>
        <w:t>Tzimiropoulos</w:t>
      </w:r>
      <w:proofErr w:type="spellEnd"/>
      <w:r>
        <w:t>, G. (2017) 'How far are we from solving the 2D &amp; 3D face alignment problem? (and a dataset of 230,000 3D facial landmarks)', Proceedings of the IEEE International Conference on Computer Vision (ICCV), pp. 1021–1030.</w:t>
      </w:r>
    </w:p>
    <w:p w14:paraId="159B5FCF" w14:textId="77777777" w:rsidR="005947D3" w:rsidRDefault="00000000">
      <w:pPr>
        <w:spacing w:after="120" w:line="360" w:lineRule="auto"/>
        <w:jc w:val="both"/>
      </w:pPr>
      <w:r>
        <w:lastRenderedPageBreak/>
        <w:t xml:space="preserve">Chen, B., </w:t>
      </w:r>
      <w:proofErr w:type="spellStart"/>
      <w:r>
        <w:t>Bastedo</w:t>
      </w:r>
      <w:proofErr w:type="spellEnd"/>
      <w:r>
        <w:t xml:space="preserve">, K. and Howard, W. (2020) 'Exploring design elements for online STEM courses: Active learning, engagement, and assessment design', Online Learning, 24(2), pp. 59–75. </w:t>
      </w:r>
      <w:proofErr w:type="spellStart"/>
      <w:r>
        <w:t>doi</w:t>
      </w:r>
      <w:proofErr w:type="spellEnd"/>
      <w:r>
        <w:t>: 10.24059/</w:t>
      </w:r>
      <w:proofErr w:type="gramStart"/>
      <w:r>
        <w:t>olj.v</w:t>
      </w:r>
      <w:proofErr w:type="gramEnd"/>
      <w:r>
        <w:t>24i2.2071.</w:t>
      </w:r>
    </w:p>
    <w:p w14:paraId="04B73B61" w14:textId="77777777" w:rsidR="005947D3" w:rsidRDefault="00000000">
      <w:pPr>
        <w:spacing w:after="120" w:line="360" w:lineRule="auto"/>
        <w:jc w:val="both"/>
      </w:pPr>
      <w:proofErr w:type="spellStart"/>
      <w:r>
        <w:t>Cootes</w:t>
      </w:r>
      <w:proofErr w:type="spellEnd"/>
      <w:r>
        <w:t xml:space="preserve">, T.F., Edwards, G.J. and Taylor, C.J. (2001) 'Active appearance models', IEEE Transactions on Pattern Analysis and Machine Intelligence, 23(6), pp. 681–685. </w:t>
      </w:r>
      <w:proofErr w:type="spellStart"/>
      <w:r>
        <w:t>doi</w:t>
      </w:r>
      <w:proofErr w:type="spellEnd"/>
      <w:r>
        <w:t>: 10.1109/34.927467.</w:t>
      </w:r>
    </w:p>
    <w:p w14:paraId="046DAE0A" w14:textId="77777777" w:rsidR="005947D3" w:rsidRDefault="00000000">
      <w:pPr>
        <w:spacing w:after="120" w:line="360" w:lineRule="auto"/>
        <w:jc w:val="both"/>
      </w:pPr>
      <w:proofErr w:type="spellStart"/>
      <w:r>
        <w:t>Corno</w:t>
      </w:r>
      <w:proofErr w:type="spellEnd"/>
      <w:r>
        <w:t xml:space="preserve">, L. (1993) 'The best-laid plans: Modern conceptions of volition and educational research', Educational Researcher, 22(2), pp. 14–22. </w:t>
      </w:r>
      <w:proofErr w:type="spellStart"/>
      <w:r>
        <w:t>doi</w:t>
      </w:r>
      <w:proofErr w:type="spellEnd"/>
      <w:r>
        <w:t>: 10.3102/0013189X022002014.</w:t>
      </w:r>
    </w:p>
    <w:p w14:paraId="7EBA7924" w14:textId="77777777" w:rsidR="005947D3" w:rsidRDefault="00000000">
      <w:pPr>
        <w:spacing w:after="120" w:line="360" w:lineRule="auto"/>
        <w:jc w:val="both"/>
      </w:pPr>
      <w:proofErr w:type="spellStart"/>
      <w:r>
        <w:t>Cristinacce</w:t>
      </w:r>
      <w:proofErr w:type="spellEnd"/>
      <w:r>
        <w:t xml:space="preserve">, D. and </w:t>
      </w:r>
      <w:proofErr w:type="spellStart"/>
      <w:r>
        <w:t>Cootes</w:t>
      </w:r>
      <w:proofErr w:type="spellEnd"/>
      <w:r>
        <w:t>, T.F. (2006) 'Feature detection and tracking with constrained local models', Proceedings of the British Machine Vision Conference (BMVC), pp. 929–938.</w:t>
      </w:r>
    </w:p>
    <w:p w14:paraId="52C64D2B" w14:textId="77777777" w:rsidR="005947D3" w:rsidRDefault="00000000">
      <w:pPr>
        <w:spacing w:after="120" w:line="360" w:lineRule="auto"/>
        <w:jc w:val="both"/>
      </w:pPr>
      <w:r>
        <w:t>Csikszentmihalyi, M. (1990) Flow: The Psychology of Optimal Experience. New York: Harper &amp; Row.</w:t>
      </w:r>
    </w:p>
    <w:p w14:paraId="1C8B4476" w14:textId="77777777" w:rsidR="005947D3" w:rsidRDefault="00000000">
      <w:pPr>
        <w:spacing w:after="120" w:line="360" w:lineRule="auto"/>
        <w:jc w:val="both"/>
      </w:pPr>
      <w:r>
        <w:t>Csikszentmihalyi, M. and Larson, R. (1987) 'Validity and reliability of the experience-sampling method', The Journal of Nervous and Mental Disease, 175(9), pp. 526–536.</w:t>
      </w:r>
    </w:p>
    <w:p w14:paraId="25CE348A" w14:textId="77777777" w:rsidR="005947D3" w:rsidRDefault="00000000">
      <w:pPr>
        <w:spacing w:after="120" w:line="360" w:lineRule="auto"/>
        <w:jc w:val="both"/>
      </w:pPr>
      <w:proofErr w:type="spellStart"/>
      <w:r>
        <w:t>D'Mello</w:t>
      </w:r>
      <w:proofErr w:type="spellEnd"/>
      <w:r>
        <w:t xml:space="preserve">, S. and </w:t>
      </w:r>
      <w:proofErr w:type="spellStart"/>
      <w:r>
        <w:t>Graesser</w:t>
      </w:r>
      <w:proofErr w:type="spellEnd"/>
      <w:r>
        <w:t xml:space="preserve">, A. (2012) 'Dynamics of affective states during complex learning', Learning and Instruction, 22(2), pp. 145–157. </w:t>
      </w:r>
      <w:proofErr w:type="spellStart"/>
      <w:r>
        <w:t>doi</w:t>
      </w:r>
      <w:proofErr w:type="spellEnd"/>
      <w:r>
        <w:t>: 10.1016/j.learninstruc.2011.10.001.</w:t>
      </w:r>
    </w:p>
    <w:p w14:paraId="72C26B85" w14:textId="77777777" w:rsidR="005947D3" w:rsidRDefault="00000000">
      <w:pPr>
        <w:spacing w:after="120" w:line="360" w:lineRule="auto"/>
        <w:jc w:val="both"/>
      </w:pPr>
      <w:proofErr w:type="spellStart"/>
      <w:r>
        <w:t>D'Mello</w:t>
      </w:r>
      <w:proofErr w:type="spellEnd"/>
      <w:r>
        <w:t xml:space="preserve">, S., Olney, A., Williams, C. and Hays, P. (2012) 'Gaze tutor: A gaze-reactive intelligent tutoring system', International Journal of Human-Computer Studies, 70(5), pp. 377–398. </w:t>
      </w:r>
      <w:proofErr w:type="spellStart"/>
      <w:r>
        <w:t>doi</w:t>
      </w:r>
      <w:proofErr w:type="spellEnd"/>
      <w:r>
        <w:t>: 10.1016/j.ijhcs.2012.01.004.</w:t>
      </w:r>
    </w:p>
    <w:p w14:paraId="27A3C1E8" w14:textId="77777777" w:rsidR="005947D3" w:rsidRDefault="00000000">
      <w:pPr>
        <w:spacing w:after="120" w:line="360" w:lineRule="auto"/>
        <w:jc w:val="both"/>
      </w:pPr>
      <w:r>
        <w:t xml:space="preserve">Deng, J., Guo, J., </w:t>
      </w:r>
      <w:proofErr w:type="spellStart"/>
      <w:r>
        <w:t>Ververas</w:t>
      </w:r>
      <w:proofErr w:type="spellEnd"/>
      <w:r>
        <w:t xml:space="preserve">, E., </w:t>
      </w:r>
      <w:proofErr w:type="spellStart"/>
      <w:r>
        <w:t>Kotsia</w:t>
      </w:r>
      <w:proofErr w:type="spellEnd"/>
      <w:r>
        <w:t xml:space="preserve">, I. and </w:t>
      </w:r>
      <w:proofErr w:type="spellStart"/>
      <w:r>
        <w:t>Zafeiriou</w:t>
      </w:r>
      <w:proofErr w:type="spellEnd"/>
      <w:r>
        <w:t>, S. (2020) '</w:t>
      </w:r>
      <w:proofErr w:type="spellStart"/>
      <w:r>
        <w:t>RetinaFace</w:t>
      </w:r>
      <w:proofErr w:type="spellEnd"/>
      <w:r>
        <w:t>: Single-shot multi-level face localisation in the wild', Proceedings of the IEEE/CVF Conference on Computer Vision and Pattern Recognition (CVPR), pp. 5203–5212.</w:t>
      </w:r>
    </w:p>
    <w:p w14:paraId="5052AD08" w14:textId="77777777" w:rsidR="005947D3" w:rsidRDefault="00000000">
      <w:pPr>
        <w:spacing w:after="120" w:line="360" w:lineRule="auto"/>
        <w:jc w:val="both"/>
      </w:pPr>
      <w:r>
        <w:t xml:space="preserve">Dewan, M.A.A., </w:t>
      </w:r>
      <w:proofErr w:type="spellStart"/>
      <w:r>
        <w:t>Murshed</w:t>
      </w:r>
      <w:proofErr w:type="spellEnd"/>
      <w:r>
        <w:t xml:space="preserve">, M. and Lin, F. (2019) 'Engagement detection in online learning: A review', Smart Learning Environments, 6(1), pp. 1–20. </w:t>
      </w:r>
      <w:proofErr w:type="spellStart"/>
      <w:r>
        <w:t>doi</w:t>
      </w:r>
      <w:proofErr w:type="spellEnd"/>
      <w:r>
        <w:t>: 10.1186/s40561-018-0080-z.</w:t>
      </w:r>
    </w:p>
    <w:p w14:paraId="0EC4FE40" w14:textId="77777777" w:rsidR="005947D3" w:rsidRDefault="00000000">
      <w:pPr>
        <w:spacing w:after="120" w:line="360" w:lineRule="auto"/>
        <w:jc w:val="both"/>
      </w:pPr>
      <w:proofErr w:type="spellStart"/>
      <w:r>
        <w:t>Duvinage</w:t>
      </w:r>
      <w:proofErr w:type="spellEnd"/>
      <w:r>
        <w:t xml:space="preserve">, M., </w:t>
      </w:r>
      <w:proofErr w:type="spellStart"/>
      <w:r>
        <w:t>Castermans</w:t>
      </w:r>
      <w:proofErr w:type="spellEnd"/>
      <w:r>
        <w:t xml:space="preserve">, T., </w:t>
      </w:r>
      <w:proofErr w:type="spellStart"/>
      <w:r>
        <w:t>Petieau</w:t>
      </w:r>
      <w:proofErr w:type="spellEnd"/>
      <w:r>
        <w:t xml:space="preserve">, M., </w:t>
      </w:r>
      <w:proofErr w:type="spellStart"/>
      <w:r>
        <w:t>Hoellinger</w:t>
      </w:r>
      <w:proofErr w:type="spellEnd"/>
      <w:r>
        <w:t xml:space="preserve">, T., </w:t>
      </w:r>
      <w:proofErr w:type="spellStart"/>
      <w:r>
        <w:t>Cheron</w:t>
      </w:r>
      <w:proofErr w:type="spellEnd"/>
      <w:r>
        <w:t xml:space="preserve">, G. and </w:t>
      </w:r>
      <w:proofErr w:type="spellStart"/>
      <w:r>
        <w:t>Dutoit</w:t>
      </w:r>
      <w:proofErr w:type="spellEnd"/>
      <w:r>
        <w:t xml:space="preserve">, T. (2013) 'Performance of the </w:t>
      </w:r>
      <w:proofErr w:type="spellStart"/>
      <w:r>
        <w:t>Emotiv</w:t>
      </w:r>
      <w:proofErr w:type="spellEnd"/>
      <w:r>
        <w:t xml:space="preserve"> </w:t>
      </w:r>
      <w:proofErr w:type="spellStart"/>
      <w:r>
        <w:t>Epoc</w:t>
      </w:r>
      <w:proofErr w:type="spellEnd"/>
      <w:r>
        <w:t xml:space="preserve"> headset for P300-based applications', </w:t>
      </w:r>
      <w:proofErr w:type="spellStart"/>
      <w:r>
        <w:t>BioMedical</w:t>
      </w:r>
      <w:proofErr w:type="spellEnd"/>
      <w:r>
        <w:t xml:space="preserve"> Engineering </w:t>
      </w:r>
      <w:proofErr w:type="spellStart"/>
      <w:r>
        <w:t>OnLine</w:t>
      </w:r>
      <w:proofErr w:type="spellEnd"/>
      <w:r>
        <w:t xml:space="preserve">, 12(56), pp. 1–15. </w:t>
      </w:r>
      <w:proofErr w:type="spellStart"/>
      <w:r>
        <w:t>doi</w:t>
      </w:r>
      <w:proofErr w:type="spellEnd"/>
      <w:r>
        <w:t>: 10.1186/1475-925X-12-56.</w:t>
      </w:r>
    </w:p>
    <w:p w14:paraId="365A97C5" w14:textId="77777777" w:rsidR="005947D3" w:rsidRDefault="00000000">
      <w:pPr>
        <w:spacing w:after="120" w:line="360" w:lineRule="auto"/>
        <w:jc w:val="both"/>
      </w:pPr>
      <w:r>
        <w:t xml:space="preserve">Ekman, </w:t>
      </w:r>
      <w:proofErr w:type="gramStart"/>
      <w:r>
        <w:t>P.</w:t>
      </w:r>
      <w:proofErr w:type="gramEnd"/>
      <w:r>
        <w:t xml:space="preserve"> and Friesen, W.V. (1978) Facial Action Coding System: A Technique for the Measurement of Facial Movement. Palo Alto, CA: Consulting Psychologists Press.</w:t>
      </w:r>
    </w:p>
    <w:p w14:paraId="4C7D3516" w14:textId="77777777" w:rsidR="005947D3" w:rsidRDefault="00000000">
      <w:pPr>
        <w:spacing w:after="120" w:line="360" w:lineRule="auto"/>
        <w:jc w:val="both"/>
      </w:pPr>
      <w:r>
        <w:lastRenderedPageBreak/>
        <w:t xml:space="preserve">Epp, C., </w:t>
      </w:r>
      <w:proofErr w:type="spellStart"/>
      <w:r>
        <w:t>Lippold</w:t>
      </w:r>
      <w:proofErr w:type="spellEnd"/>
      <w:r>
        <w:t xml:space="preserve">, M. and </w:t>
      </w:r>
      <w:proofErr w:type="spellStart"/>
      <w:r>
        <w:t>Mandryk</w:t>
      </w:r>
      <w:proofErr w:type="spellEnd"/>
      <w:r>
        <w:t xml:space="preserve">, R.L. (2011) 'Identifying emotional states using keystroke dynamics', Proceedings of the SIGCHI Conference on Human Factors in Computing Systems. New York: ACM, pp. 715–724. </w:t>
      </w:r>
      <w:proofErr w:type="spellStart"/>
      <w:r>
        <w:t>doi</w:t>
      </w:r>
      <w:proofErr w:type="spellEnd"/>
      <w:r>
        <w:t>: 10.1145/1978942.1979046.</w:t>
      </w:r>
    </w:p>
    <w:p w14:paraId="7A6A62A2" w14:textId="77777777" w:rsidR="005947D3" w:rsidRDefault="00000000">
      <w:pPr>
        <w:spacing w:after="120" w:line="360" w:lineRule="auto"/>
        <w:jc w:val="both"/>
      </w:pPr>
      <w:proofErr w:type="spellStart"/>
      <w:r>
        <w:t>Estrin</w:t>
      </w:r>
      <w:proofErr w:type="spellEnd"/>
      <w:r>
        <w:t xml:space="preserve">, D. and </w:t>
      </w:r>
      <w:proofErr w:type="spellStart"/>
      <w:r>
        <w:t>Robilliard</w:t>
      </w:r>
      <w:proofErr w:type="spellEnd"/>
      <w:r>
        <w:t>, D. (2016) 'Browser-based monitoring of student engagement during online examinations', Proceedings of the ACM Conference on Learning at Scale (L@S), pp. 357–360.</w:t>
      </w:r>
    </w:p>
    <w:p w14:paraId="5E56D24B" w14:textId="77777777" w:rsidR="005947D3" w:rsidRDefault="00000000">
      <w:pPr>
        <w:spacing w:after="120" w:line="360" w:lineRule="auto"/>
        <w:jc w:val="both"/>
      </w:pPr>
      <w:r>
        <w:t xml:space="preserve">Fan, J., </w:t>
      </w:r>
      <w:proofErr w:type="spellStart"/>
      <w:r>
        <w:t>McCandliss</w:t>
      </w:r>
      <w:proofErr w:type="spellEnd"/>
      <w:r>
        <w:t xml:space="preserve">, B.D., Sommer, T., Raz, A. and Posner, M.I. (2002) 'Testing the efficiency and independence of attentional networks', Journal of Cognitive Neuroscience, 14(3), pp. 340–347. </w:t>
      </w:r>
      <w:proofErr w:type="spellStart"/>
      <w:r>
        <w:t>doi</w:t>
      </w:r>
      <w:proofErr w:type="spellEnd"/>
      <w:r>
        <w:t>: 10.1162/089892902317361886.</w:t>
      </w:r>
    </w:p>
    <w:p w14:paraId="43CE613C" w14:textId="77777777" w:rsidR="005947D3" w:rsidRDefault="00000000">
      <w:pPr>
        <w:spacing w:after="120" w:line="360" w:lineRule="auto"/>
        <w:jc w:val="both"/>
      </w:pPr>
      <w:r>
        <w:t xml:space="preserve">Fredricks, J.A., Blumenfeld, P.C. and Paris, A.H. (2004) 'School engagement: Potential of the concept, state of the evidence', Review of Educational Research, 74(1), pp. 59–109. </w:t>
      </w:r>
      <w:proofErr w:type="spellStart"/>
      <w:r>
        <w:t>doi</w:t>
      </w:r>
      <w:proofErr w:type="spellEnd"/>
      <w:r>
        <w:t>: 10.3102/00346543074001059.</w:t>
      </w:r>
    </w:p>
    <w:p w14:paraId="5F751A67" w14:textId="77777777" w:rsidR="005947D3" w:rsidRDefault="00000000">
      <w:pPr>
        <w:spacing w:after="120" w:line="360" w:lineRule="auto"/>
        <w:jc w:val="both"/>
      </w:pPr>
      <w:r>
        <w:t>Guo, Y., Zhang, L., Hu, Y., He, X. and Gao, J. (2021) 'MS-Celeb-1M: A dataset and benchmark for large-scale face recognition', Proceedings of the European Conference on Computer Vision (ECCV), pp. 87–102.</w:t>
      </w:r>
    </w:p>
    <w:p w14:paraId="2A82D8EE" w14:textId="77777777" w:rsidR="005947D3" w:rsidRDefault="00000000">
      <w:pPr>
        <w:spacing w:after="120" w:line="360" w:lineRule="auto"/>
        <w:jc w:val="both"/>
      </w:pPr>
      <w:r>
        <w:t xml:space="preserve">Hansen, D.W. and Ji, Q. (2010) 'In the eye of the beholder: A survey of models for eyes and gaze', IEEE Transactions on Pattern Analysis and Machine Intelligence, 32(3), pp. 478–500. </w:t>
      </w:r>
      <w:proofErr w:type="spellStart"/>
      <w:r>
        <w:t>doi</w:t>
      </w:r>
      <w:proofErr w:type="spellEnd"/>
      <w:r>
        <w:t>: 10.1109/TPAMI.2009.30.</w:t>
      </w:r>
    </w:p>
    <w:p w14:paraId="78C8F16F" w14:textId="77777777" w:rsidR="005947D3" w:rsidRDefault="00000000">
      <w:pPr>
        <w:spacing w:after="120" w:line="360" w:lineRule="auto"/>
        <w:jc w:val="both"/>
      </w:pPr>
      <w:r>
        <w:t xml:space="preserve">Hart, S.G. and </w:t>
      </w:r>
      <w:proofErr w:type="spellStart"/>
      <w:r>
        <w:t>Staveland</w:t>
      </w:r>
      <w:proofErr w:type="spellEnd"/>
      <w:r>
        <w:t xml:space="preserve">, L.E. (1988) 'Development of NASA-TLX (Task Load Index): Results of empirical and theoretical research', in Hancock, P.A. and </w:t>
      </w:r>
      <w:proofErr w:type="spellStart"/>
      <w:r>
        <w:t>Meshkati</w:t>
      </w:r>
      <w:proofErr w:type="spellEnd"/>
      <w:r>
        <w:t>, N. (eds.) Human Mental Workload. Amsterdam: North-Holland, pp. 139–183.</w:t>
      </w:r>
    </w:p>
    <w:p w14:paraId="4FE31A65" w14:textId="77777777" w:rsidR="005947D3" w:rsidRDefault="00000000">
      <w:pPr>
        <w:spacing w:after="120" w:line="360" w:lineRule="auto"/>
        <w:jc w:val="both"/>
      </w:pPr>
      <w:r>
        <w:t xml:space="preserve">Hess, E.H. and </w:t>
      </w:r>
      <w:proofErr w:type="spellStart"/>
      <w:r>
        <w:t>Polt</w:t>
      </w:r>
      <w:proofErr w:type="spellEnd"/>
      <w:r>
        <w:t xml:space="preserve">, J.M. (1964) 'Pupil size in relation to mental activity during simple problem-solving', Science, 143(3611), pp. 1190–1192. </w:t>
      </w:r>
      <w:proofErr w:type="spellStart"/>
      <w:r>
        <w:t>doi</w:t>
      </w:r>
      <w:proofErr w:type="spellEnd"/>
      <w:r>
        <w:t>: 10.1126/science.143.3611.1190.</w:t>
      </w:r>
    </w:p>
    <w:p w14:paraId="56788442" w14:textId="77777777" w:rsidR="005947D3" w:rsidRDefault="00000000">
      <w:pPr>
        <w:spacing w:after="120" w:line="360" w:lineRule="auto"/>
        <w:jc w:val="both"/>
      </w:pPr>
      <w:proofErr w:type="spellStart"/>
      <w:r>
        <w:t>Hibbeln</w:t>
      </w:r>
      <w:proofErr w:type="spellEnd"/>
      <w:r>
        <w:t xml:space="preserve">, M., Jenkins, J.L., Schneider, C., </w:t>
      </w:r>
      <w:proofErr w:type="spellStart"/>
      <w:r>
        <w:t>Valacich</w:t>
      </w:r>
      <w:proofErr w:type="spellEnd"/>
      <w:r>
        <w:t xml:space="preserve">, J.S. and </w:t>
      </w:r>
      <w:proofErr w:type="spellStart"/>
      <w:r>
        <w:t>Weinmann</w:t>
      </w:r>
      <w:proofErr w:type="spellEnd"/>
      <w:r>
        <w:t>, M. (2017) 'How is your user feeling? Inferring emotion through human–computer interaction devices', MIS Quarterly, 41(1), pp. 1–21.</w:t>
      </w:r>
    </w:p>
    <w:p w14:paraId="6876C392" w14:textId="77777777" w:rsidR="005947D3" w:rsidRDefault="00000000">
      <w:pPr>
        <w:spacing w:after="120" w:line="360" w:lineRule="auto"/>
        <w:jc w:val="both"/>
      </w:pPr>
      <w:r>
        <w:t xml:space="preserve">Huang, J., White, R.W. and </w:t>
      </w:r>
      <w:proofErr w:type="spellStart"/>
      <w:r>
        <w:t>Buscher</w:t>
      </w:r>
      <w:proofErr w:type="spellEnd"/>
      <w:r>
        <w:t xml:space="preserve">, G. (2012) 'User see, user point: Gaze and cursor alignment in web search', Proceedings of the SIGCHI Conference on Human Factors in Computing Systems. New York: ACM, pp. 1341–1350. </w:t>
      </w:r>
      <w:proofErr w:type="spellStart"/>
      <w:r>
        <w:t>doi</w:t>
      </w:r>
      <w:proofErr w:type="spellEnd"/>
      <w:r>
        <w:t>: 10.1145/2207676.2208591.</w:t>
      </w:r>
    </w:p>
    <w:p w14:paraId="2F39B1F3" w14:textId="77777777" w:rsidR="005947D3" w:rsidRDefault="00000000">
      <w:pPr>
        <w:spacing w:after="120" w:line="360" w:lineRule="auto"/>
        <w:jc w:val="both"/>
      </w:pPr>
      <w:r>
        <w:t xml:space="preserve">Hutt, S., Mills, C., Bosch, N., </w:t>
      </w:r>
      <w:proofErr w:type="spellStart"/>
      <w:r>
        <w:t>Krasich</w:t>
      </w:r>
      <w:proofErr w:type="spellEnd"/>
      <w:r>
        <w:t xml:space="preserve">, K., </w:t>
      </w:r>
      <w:proofErr w:type="spellStart"/>
      <w:r>
        <w:t>Brockmole</w:t>
      </w:r>
      <w:proofErr w:type="spellEnd"/>
      <w:r>
        <w:t xml:space="preserve">, J. and </w:t>
      </w:r>
      <w:proofErr w:type="spellStart"/>
      <w:r>
        <w:t>D'Mello</w:t>
      </w:r>
      <w:proofErr w:type="spellEnd"/>
      <w:r>
        <w:t xml:space="preserve">, S. (2017) 'Out of the </w:t>
      </w:r>
      <w:proofErr w:type="spellStart"/>
      <w:r>
        <w:t>fr</w:t>
      </w:r>
      <w:proofErr w:type="spellEnd"/>
      <w:r>
        <w:t>-eye-</w:t>
      </w:r>
      <w:proofErr w:type="spellStart"/>
      <w:r>
        <w:t>ing</w:t>
      </w:r>
      <w:proofErr w:type="spellEnd"/>
      <w:r>
        <w:t xml:space="preserve"> pan: Towards gaze-based models of attention during learning with technology in the </w:t>
      </w:r>
      <w:r>
        <w:lastRenderedPageBreak/>
        <w:t xml:space="preserve">classroom', Proceedings of the 25th Conference on User </w:t>
      </w:r>
      <w:proofErr w:type="spellStart"/>
      <w:r>
        <w:t>Modeling</w:t>
      </w:r>
      <w:proofErr w:type="spellEnd"/>
      <w:r>
        <w:t>, Adaptation and Personalization (UMAP). New York: ACM, pp. 94–103.</w:t>
      </w:r>
    </w:p>
    <w:p w14:paraId="536C7F0F" w14:textId="77777777" w:rsidR="005947D3" w:rsidRDefault="00000000">
      <w:pPr>
        <w:spacing w:after="120" w:line="360" w:lineRule="auto"/>
        <w:jc w:val="both"/>
      </w:pPr>
      <w:r>
        <w:t>James, W. (1890) The Principles of Psychology. New York: Henry Holt and Company.</w:t>
      </w:r>
    </w:p>
    <w:p w14:paraId="04533CBE" w14:textId="77777777" w:rsidR="005947D3" w:rsidRDefault="00000000">
      <w:pPr>
        <w:spacing w:after="120" w:line="360" w:lineRule="auto"/>
        <w:jc w:val="both"/>
      </w:pPr>
      <w:proofErr w:type="spellStart"/>
      <w:r>
        <w:t>Kartynnik</w:t>
      </w:r>
      <w:proofErr w:type="spellEnd"/>
      <w:r>
        <w:t xml:space="preserve">, Y., </w:t>
      </w:r>
      <w:proofErr w:type="spellStart"/>
      <w:r>
        <w:t>Ablavatski</w:t>
      </w:r>
      <w:proofErr w:type="spellEnd"/>
      <w:r>
        <w:t xml:space="preserve">, A., </w:t>
      </w:r>
      <w:proofErr w:type="spellStart"/>
      <w:r>
        <w:t>Grishchenko</w:t>
      </w:r>
      <w:proofErr w:type="spellEnd"/>
      <w:r>
        <w:t xml:space="preserve">, I. and </w:t>
      </w:r>
      <w:proofErr w:type="spellStart"/>
      <w:r>
        <w:t>Grundmann</w:t>
      </w:r>
      <w:proofErr w:type="spellEnd"/>
      <w:r>
        <w:t xml:space="preserve">, M. (2019) 'Real-time facial surface geometry from monocular video on mobile GPUs', </w:t>
      </w:r>
      <w:proofErr w:type="spellStart"/>
      <w:r>
        <w:t>arXiv</w:t>
      </w:r>
      <w:proofErr w:type="spellEnd"/>
      <w:r>
        <w:t xml:space="preserve"> preprint arXiv:1907.06724.</w:t>
      </w:r>
    </w:p>
    <w:p w14:paraId="084DF3C8" w14:textId="77777777" w:rsidR="005947D3" w:rsidRDefault="00000000">
      <w:pPr>
        <w:spacing w:after="120" w:line="360" w:lineRule="auto"/>
        <w:jc w:val="both"/>
      </w:pPr>
      <w:proofErr w:type="spellStart"/>
      <w:r>
        <w:t>Klimesch</w:t>
      </w:r>
      <w:proofErr w:type="spellEnd"/>
      <w:r>
        <w:t xml:space="preserve">, W. (1999) 'EEG alpha and theta oscillations reflect cognitive and memory performance: A review and analysis', Brain Research Reviews, 29(2–3), pp. 169–195. </w:t>
      </w:r>
      <w:proofErr w:type="spellStart"/>
      <w:r>
        <w:t>doi</w:t>
      </w:r>
      <w:proofErr w:type="spellEnd"/>
      <w:r>
        <w:t>: 10.1016/S0165-0173(98)00056-3.</w:t>
      </w:r>
    </w:p>
    <w:p w14:paraId="318E0052" w14:textId="77777777" w:rsidR="005947D3" w:rsidRDefault="00000000">
      <w:pPr>
        <w:spacing w:after="120" w:line="360" w:lineRule="auto"/>
        <w:jc w:val="both"/>
      </w:pPr>
      <w:proofErr w:type="spellStart"/>
      <w:r>
        <w:t>Kosch</w:t>
      </w:r>
      <w:proofErr w:type="spellEnd"/>
      <w:r>
        <w:t xml:space="preserve">, T., </w:t>
      </w:r>
      <w:proofErr w:type="spellStart"/>
      <w:r>
        <w:t>Karolus</w:t>
      </w:r>
      <w:proofErr w:type="spellEnd"/>
      <w:r>
        <w:t xml:space="preserve">, J., </w:t>
      </w:r>
      <w:proofErr w:type="spellStart"/>
      <w:r>
        <w:t>Zagermann</w:t>
      </w:r>
      <w:proofErr w:type="spellEnd"/>
      <w:r>
        <w:t xml:space="preserve">, J., </w:t>
      </w:r>
      <w:proofErr w:type="spellStart"/>
      <w:r>
        <w:t>Reiterer</w:t>
      </w:r>
      <w:proofErr w:type="spellEnd"/>
      <w:r>
        <w:t xml:space="preserve">, H., Schmidt, A. and </w:t>
      </w:r>
      <w:proofErr w:type="spellStart"/>
      <w:r>
        <w:t>Woźniak</w:t>
      </w:r>
      <w:proofErr w:type="spellEnd"/>
      <w:r>
        <w:t xml:space="preserve">, P.W. (2023) 'A survey on measuring cognitive workload in human–computer interaction', ACM Computing Surveys, 55(13s), pp. 1–39. </w:t>
      </w:r>
      <w:proofErr w:type="spellStart"/>
      <w:r>
        <w:t>doi</w:t>
      </w:r>
      <w:proofErr w:type="spellEnd"/>
      <w:r>
        <w:t>: 10.1145/3582272.</w:t>
      </w:r>
    </w:p>
    <w:p w14:paraId="2FAF1A43" w14:textId="77777777" w:rsidR="005947D3" w:rsidRDefault="00000000">
      <w:pPr>
        <w:spacing w:after="120" w:line="360" w:lineRule="auto"/>
        <w:jc w:val="both"/>
      </w:pPr>
      <w:proofErr w:type="spellStart"/>
      <w:r>
        <w:t>Krafka</w:t>
      </w:r>
      <w:proofErr w:type="spellEnd"/>
      <w:r>
        <w:t xml:space="preserve">, K., Khosla, A., </w:t>
      </w:r>
      <w:proofErr w:type="spellStart"/>
      <w:r>
        <w:t>Kellnhofer</w:t>
      </w:r>
      <w:proofErr w:type="spellEnd"/>
      <w:r>
        <w:t xml:space="preserve">, P., Kannan, H., Bhandarkar, S., </w:t>
      </w:r>
      <w:proofErr w:type="spellStart"/>
      <w:r>
        <w:t>Matusik</w:t>
      </w:r>
      <w:proofErr w:type="spellEnd"/>
      <w:r>
        <w:t>, W. and Torralba, A. (2016) 'Eye tracking for everyone', Proceedings of the IEEE Conference on Computer Vision and Pattern Recognition (CVPR), pp. 2176–2184.</w:t>
      </w:r>
    </w:p>
    <w:p w14:paraId="6B8F5953" w14:textId="77777777" w:rsidR="005947D3" w:rsidRDefault="00000000">
      <w:pPr>
        <w:spacing w:after="120" w:line="360" w:lineRule="auto"/>
        <w:jc w:val="both"/>
      </w:pPr>
      <w:proofErr w:type="spellStart"/>
      <w:r>
        <w:t>Lepetit</w:t>
      </w:r>
      <w:proofErr w:type="spellEnd"/>
      <w:r>
        <w:t>, V., Moreno-</w:t>
      </w:r>
      <w:proofErr w:type="spellStart"/>
      <w:r>
        <w:t>Noguer</w:t>
      </w:r>
      <w:proofErr w:type="spellEnd"/>
      <w:r>
        <w:t xml:space="preserve">, F. and </w:t>
      </w:r>
      <w:proofErr w:type="spellStart"/>
      <w:r>
        <w:t>Fua</w:t>
      </w:r>
      <w:proofErr w:type="spellEnd"/>
      <w:r>
        <w:t>, P. (2009) '</w:t>
      </w:r>
      <w:proofErr w:type="spellStart"/>
      <w:r>
        <w:t>EPnP</w:t>
      </w:r>
      <w:proofErr w:type="spellEnd"/>
      <w:r>
        <w:t xml:space="preserve">: An accurate O(n) solution to the PnP problem', International Journal of Computer Vision, 81(2), pp. 155–166. </w:t>
      </w:r>
      <w:proofErr w:type="spellStart"/>
      <w:r>
        <w:t>doi</w:t>
      </w:r>
      <w:proofErr w:type="spellEnd"/>
      <w:r>
        <w:t>: 10.1007/s11263-008-0152-6.</w:t>
      </w:r>
    </w:p>
    <w:p w14:paraId="7562AEF3" w14:textId="77777777" w:rsidR="005947D3" w:rsidRDefault="00000000">
      <w:pPr>
        <w:spacing w:after="120" w:line="360" w:lineRule="auto"/>
        <w:jc w:val="both"/>
      </w:pPr>
      <w:r>
        <w:t>Li, J., Sun, G., Li, L. and Liang, R. (2021) 'A lightweight attention detection system based on facial landmarks', Proceedings of the International Conference on Intelligent Computing and Signal Processing (ICICSP), pp. 456–461.</w:t>
      </w:r>
    </w:p>
    <w:p w14:paraId="65DE8C66" w14:textId="77777777" w:rsidR="005947D3" w:rsidRDefault="00000000">
      <w:pPr>
        <w:spacing w:after="120" w:line="360" w:lineRule="auto"/>
        <w:jc w:val="both"/>
      </w:pPr>
      <w:r>
        <w:t xml:space="preserve">Lim, Y.M., </w:t>
      </w:r>
      <w:proofErr w:type="spellStart"/>
      <w:r>
        <w:t>Ayesh</w:t>
      </w:r>
      <w:proofErr w:type="spellEnd"/>
      <w:r>
        <w:t>, A. and Stacey, M. (2014) 'Detecting cognitive stress from keyboard and mouse dynamics during mental arithmetic', Proceedings of the IEEE Science and Information Conference (SAI), pp. 146–152.</w:t>
      </w:r>
    </w:p>
    <w:p w14:paraId="25BD0317" w14:textId="77777777" w:rsidR="005947D3" w:rsidRDefault="00000000">
      <w:pPr>
        <w:spacing w:after="120" w:line="360" w:lineRule="auto"/>
        <w:jc w:val="both"/>
      </w:pPr>
      <w:r>
        <w:t xml:space="preserve">Lu, F., Sugano, Y., Okabe, T. and Sato, Y. (2014) 'Adaptive linear regression for appearance-based gaze estimation', IEEE Transactions on Pattern Analysis and Machine Intelligence, 36(10), pp. 2033–2046. </w:t>
      </w:r>
      <w:proofErr w:type="spellStart"/>
      <w:r>
        <w:t>doi</w:t>
      </w:r>
      <w:proofErr w:type="spellEnd"/>
      <w:r>
        <w:t>: 10.1109/TPAMI.2014.2313123.</w:t>
      </w:r>
    </w:p>
    <w:p w14:paraId="5F2C619F" w14:textId="77777777" w:rsidR="005947D3" w:rsidRDefault="00000000">
      <w:pPr>
        <w:spacing w:after="120" w:line="360" w:lineRule="auto"/>
        <w:jc w:val="both"/>
      </w:pPr>
      <w:proofErr w:type="spellStart"/>
      <w:r>
        <w:t>Lugaresi</w:t>
      </w:r>
      <w:proofErr w:type="spellEnd"/>
      <w:r>
        <w:t xml:space="preserve">, C., Tang, J., Nash, H., McClanahan, C., </w:t>
      </w:r>
      <w:proofErr w:type="spellStart"/>
      <w:r>
        <w:t>Uboweja</w:t>
      </w:r>
      <w:proofErr w:type="spellEnd"/>
      <w:r>
        <w:t xml:space="preserve">, E., Hays, M., Zhang, F., Chang, C.L., Yong, M.G., Lee, J., Chang, W.T., Hua, W., Georg, M. and </w:t>
      </w:r>
      <w:proofErr w:type="spellStart"/>
      <w:r>
        <w:t>Grundmann</w:t>
      </w:r>
      <w:proofErr w:type="spellEnd"/>
      <w:r>
        <w:t>, M. (2019) '</w:t>
      </w:r>
      <w:proofErr w:type="spellStart"/>
      <w:r>
        <w:t>MediaPipe</w:t>
      </w:r>
      <w:proofErr w:type="spellEnd"/>
      <w:r>
        <w:t xml:space="preserve">: A framework for building perception pipelines', </w:t>
      </w:r>
      <w:proofErr w:type="spellStart"/>
      <w:r>
        <w:t>arXiv</w:t>
      </w:r>
      <w:proofErr w:type="spellEnd"/>
      <w:r>
        <w:t xml:space="preserve"> preprint arXiv:1906.08172.</w:t>
      </w:r>
    </w:p>
    <w:p w14:paraId="44A9E98D" w14:textId="77777777" w:rsidR="005947D3" w:rsidRDefault="00000000">
      <w:pPr>
        <w:spacing w:after="120" w:line="360" w:lineRule="auto"/>
        <w:jc w:val="both"/>
      </w:pPr>
      <w:r>
        <w:lastRenderedPageBreak/>
        <w:t xml:space="preserve">Mark, G., </w:t>
      </w:r>
      <w:proofErr w:type="spellStart"/>
      <w:r>
        <w:t>Gudith</w:t>
      </w:r>
      <w:proofErr w:type="spellEnd"/>
      <w:r>
        <w:t xml:space="preserve">, D. and </w:t>
      </w:r>
      <w:proofErr w:type="spellStart"/>
      <w:r>
        <w:t>Klocke</w:t>
      </w:r>
      <w:proofErr w:type="spellEnd"/>
      <w:r>
        <w:t xml:space="preserve">, U. (2008) 'The cost of interrupted work: More speed and stress', Proceedings of the SIGCHI Conference on Human Factors in Computing Systems. New York: ACM, pp. 107–110. </w:t>
      </w:r>
      <w:proofErr w:type="spellStart"/>
      <w:r>
        <w:t>doi</w:t>
      </w:r>
      <w:proofErr w:type="spellEnd"/>
      <w:r>
        <w:t>: 10.1145/1357054.1357072.</w:t>
      </w:r>
    </w:p>
    <w:p w14:paraId="4571A96D" w14:textId="77777777" w:rsidR="005947D3" w:rsidRDefault="00000000">
      <w:pPr>
        <w:spacing w:after="120" w:line="360" w:lineRule="auto"/>
        <w:jc w:val="both"/>
      </w:pPr>
      <w:r>
        <w:t xml:space="preserve">Mark, G., Wang, Y. and </w:t>
      </w:r>
      <w:proofErr w:type="spellStart"/>
      <w:r>
        <w:t>Niiya</w:t>
      </w:r>
      <w:proofErr w:type="spellEnd"/>
      <w:r>
        <w:t xml:space="preserve">, M. (2014) 'Stress and multitasking in everyday college life: An empirical study of online activity', Proceedings of the SIGCHI Conference on Human Factors in Computing Systems. New York: ACM, pp. 41–50. </w:t>
      </w:r>
      <w:proofErr w:type="spellStart"/>
      <w:r>
        <w:t>doi</w:t>
      </w:r>
      <w:proofErr w:type="spellEnd"/>
      <w:r>
        <w:t>: 10.1145/2556288.2557361.</w:t>
      </w:r>
    </w:p>
    <w:p w14:paraId="347DA752" w14:textId="77777777" w:rsidR="005947D3" w:rsidRDefault="00000000">
      <w:pPr>
        <w:spacing w:after="120" w:line="360" w:lineRule="auto"/>
        <w:jc w:val="both"/>
      </w:pPr>
      <w:r>
        <w:t>MDN Web Docs (2023) Window: focus event. Available at: https://developer.mozilla.org/en-US/docs/Web/API/Window/focus_event (Accessed: 20 January 2026).</w:t>
      </w:r>
    </w:p>
    <w:p w14:paraId="5388BDC5" w14:textId="77777777" w:rsidR="005947D3" w:rsidRDefault="00000000">
      <w:pPr>
        <w:spacing w:after="120" w:line="360" w:lineRule="auto"/>
        <w:jc w:val="both"/>
      </w:pPr>
      <w:r>
        <w:t xml:space="preserve">Means, B. and </w:t>
      </w:r>
      <w:proofErr w:type="spellStart"/>
      <w:r>
        <w:t>Neisler</w:t>
      </w:r>
      <w:proofErr w:type="spellEnd"/>
      <w:r>
        <w:t>, J. (2021) 'Suddenly online: A national survey of undergraduates during the COVID-19 pandemic', Digital Promise. Available at: https://digitalpromise.org/wp-content/uploads/2021/07/Suddenly_Online.pdf (Accessed: 15 January 2026).</w:t>
      </w:r>
    </w:p>
    <w:p w14:paraId="3FE50542" w14:textId="77777777" w:rsidR="005947D3" w:rsidRDefault="00000000">
      <w:pPr>
        <w:spacing w:after="120" w:line="360" w:lineRule="auto"/>
        <w:jc w:val="both"/>
      </w:pPr>
      <w:proofErr w:type="spellStart"/>
      <w:r>
        <w:t>Monkaresi</w:t>
      </w:r>
      <w:proofErr w:type="spellEnd"/>
      <w:r>
        <w:t xml:space="preserve">, H., Bosch, N., Calvo, R.A. and </w:t>
      </w:r>
      <w:proofErr w:type="spellStart"/>
      <w:r>
        <w:t>D'Mello</w:t>
      </w:r>
      <w:proofErr w:type="spellEnd"/>
      <w:r>
        <w:t xml:space="preserve">, S. (2017) 'Automated detection of engagement using video-based estimation of facial expressions and heart rate', IEEE Transactions on Affective Computing, 8(1), pp. 15–28. </w:t>
      </w:r>
      <w:proofErr w:type="spellStart"/>
      <w:r>
        <w:t>doi</w:t>
      </w:r>
      <w:proofErr w:type="spellEnd"/>
      <w:r>
        <w:t>: 10.1109/TAFFC.2016.2515084.</w:t>
      </w:r>
    </w:p>
    <w:p w14:paraId="500794E2" w14:textId="77777777" w:rsidR="005947D3" w:rsidRDefault="00000000">
      <w:pPr>
        <w:spacing w:after="120" w:line="360" w:lineRule="auto"/>
        <w:jc w:val="both"/>
      </w:pPr>
      <w:proofErr w:type="spellStart"/>
      <w:r>
        <w:t>Monsell</w:t>
      </w:r>
      <w:proofErr w:type="spellEnd"/>
      <w:r>
        <w:t xml:space="preserve">, S. (2003) 'Task switching', Trends in Cognitive Sciences, 7(3), pp. 134–140. </w:t>
      </w:r>
      <w:proofErr w:type="spellStart"/>
      <w:r>
        <w:t>doi</w:t>
      </w:r>
      <w:proofErr w:type="spellEnd"/>
      <w:r>
        <w:t>: 10.1016/S1364-6613(03)00028-7.</w:t>
      </w:r>
    </w:p>
    <w:p w14:paraId="4DE78F1F" w14:textId="77777777" w:rsidR="005947D3" w:rsidRDefault="00000000">
      <w:pPr>
        <w:spacing w:after="120" w:line="360" w:lineRule="auto"/>
        <w:jc w:val="both"/>
      </w:pPr>
      <w:r>
        <w:t>Murphy-</w:t>
      </w:r>
      <w:proofErr w:type="spellStart"/>
      <w:r>
        <w:t>Chutorian</w:t>
      </w:r>
      <w:proofErr w:type="spellEnd"/>
      <w:r>
        <w:t xml:space="preserve">, E. and Trivedi, M.M. (2009) 'Head pose estimation in computer vision: A survey', IEEE Transactions on Pattern Analysis and Machine Intelligence, 31(4), pp. 607–626. </w:t>
      </w:r>
      <w:proofErr w:type="spellStart"/>
      <w:r>
        <w:t>doi</w:t>
      </w:r>
      <w:proofErr w:type="spellEnd"/>
      <w:r>
        <w:t>: 10.1109/TPAMI.2008.106.</w:t>
      </w:r>
    </w:p>
    <w:p w14:paraId="476A7D1D" w14:textId="77777777" w:rsidR="005947D3" w:rsidRDefault="00000000">
      <w:pPr>
        <w:spacing w:after="120" w:line="360" w:lineRule="auto"/>
        <w:jc w:val="both"/>
      </w:pPr>
      <w:proofErr w:type="spellStart"/>
      <w:r>
        <w:t>Navalpakkam</w:t>
      </w:r>
      <w:proofErr w:type="spellEnd"/>
      <w:r>
        <w:t xml:space="preserve">, V. and Churchill, E. (2012) 'Mouse tracking: Measuring and predicting users' experience of web-based content', Proceedings of the SIGCHI Conference on Human Factors in Computing Systems. New York: ACM, pp. 2963–2972. </w:t>
      </w:r>
      <w:proofErr w:type="spellStart"/>
      <w:r>
        <w:t>doi</w:t>
      </w:r>
      <w:proofErr w:type="spellEnd"/>
      <w:r>
        <w:t>: 10.1145/2207676.2208705.</w:t>
      </w:r>
    </w:p>
    <w:p w14:paraId="5B4EAE1B" w14:textId="77777777" w:rsidR="005947D3" w:rsidRDefault="00000000">
      <w:pPr>
        <w:spacing w:after="120" w:line="360" w:lineRule="auto"/>
        <w:jc w:val="both"/>
      </w:pPr>
      <w:r>
        <w:t xml:space="preserve">Nezami, O.M., </w:t>
      </w:r>
      <w:proofErr w:type="spellStart"/>
      <w:r>
        <w:t>Dras</w:t>
      </w:r>
      <w:proofErr w:type="spellEnd"/>
      <w:r>
        <w:t xml:space="preserve">, M., </w:t>
      </w:r>
      <w:proofErr w:type="spellStart"/>
      <w:r>
        <w:t>Hamey</w:t>
      </w:r>
      <w:proofErr w:type="spellEnd"/>
      <w:r>
        <w:t>, L., Richards, D., Wan, S. and Paris, C. (2020) 'Automatic recognition of student engagement using deep learning and facial expression', Proceedings of the European Conference on Machine Learning and Principles and Practice of Knowledge Discovery in Databases (ECML PKDD), pp. 273–289.</w:t>
      </w:r>
    </w:p>
    <w:p w14:paraId="747A2336" w14:textId="77777777" w:rsidR="005947D3" w:rsidRDefault="00000000">
      <w:pPr>
        <w:spacing w:after="120" w:line="360" w:lineRule="auto"/>
        <w:jc w:val="both"/>
      </w:pPr>
      <w:r>
        <w:t xml:space="preserve">Nigam, A., Pasricha, R., Singh, T. and </w:t>
      </w:r>
      <w:proofErr w:type="spellStart"/>
      <w:r>
        <w:t>Churi</w:t>
      </w:r>
      <w:proofErr w:type="spellEnd"/>
      <w:r>
        <w:t xml:space="preserve">, P. (2021) 'A systematic review on AI-based proctoring systems: Past, present and future', Education and Information Technologies, 26(5), pp. 6421–6445. </w:t>
      </w:r>
      <w:proofErr w:type="spellStart"/>
      <w:r>
        <w:t>doi</w:t>
      </w:r>
      <w:proofErr w:type="spellEnd"/>
      <w:r>
        <w:t>: 10.1007/s10639-021-10597-x.</w:t>
      </w:r>
    </w:p>
    <w:p w14:paraId="0CA5D3EB" w14:textId="77777777" w:rsidR="005947D3" w:rsidRDefault="00000000">
      <w:pPr>
        <w:spacing w:after="120" w:line="360" w:lineRule="auto"/>
        <w:jc w:val="both"/>
      </w:pPr>
      <w:proofErr w:type="spellStart"/>
      <w:r>
        <w:lastRenderedPageBreak/>
        <w:t>Papoutsaki</w:t>
      </w:r>
      <w:proofErr w:type="spellEnd"/>
      <w:r>
        <w:t xml:space="preserve">, A., </w:t>
      </w:r>
      <w:proofErr w:type="spellStart"/>
      <w:r>
        <w:t>Sangkloy</w:t>
      </w:r>
      <w:proofErr w:type="spellEnd"/>
      <w:r>
        <w:t xml:space="preserve">, P., Laskey, J., </w:t>
      </w:r>
      <w:proofErr w:type="spellStart"/>
      <w:r>
        <w:t>Daskalova</w:t>
      </w:r>
      <w:proofErr w:type="spellEnd"/>
      <w:r>
        <w:t>, N., Huang, J. and Hays, J. (2016) '</w:t>
      </w:r>
      <w:proofErr w:type="spellStart"/>
      <w:r>
        <w:t>WebGazer</w:t>
      </w:r>
      <w:proofErr w:type="spellEnd"/>
      <w:r>
        <w:t>: Scalable webcam eye tracking using user interactions', Proceedings of the 25th International Joint Conference on Artificial Intelligence (IJCAI), pp. 3839–3845.</w:t>
      </w:r>
    </w:p>
    <w:p w14:paraId="50BF973E" w14:textId="77777777" w:rsidR="005947D3" w:rsidRDefault="00000000">
      <w:pPr>
        <w:spacing w:after="120" w:line="360" w:lineRule="auto"/>
        <w:jc w:val="both"/>
      </w:pPr>
      <w:r>
        <w:t>Parasuraman, R. (1998) 'The attentive brain: Issues and prospects', in Parasuraman, R. (ed.) The Attentive Brain. Cambridge, MA: MIT Press, pp. 3–15.</w:t>
      </w:r>
    </w:p>
    <w:p w14:paraId="6119FA31" w14:textId="77777777" w:rsidR="005947D3" w:rsidRDefault="00000000">
      <w:pPr>
        <w:spacing w:after="120" w:line="360" w:lineRule="auto"/>
        <w:jc w:val="both"/>
      </w:pPr>
      <w:proofErr w:type="spellStart"/>
      <w:r>
        <w:t>Pashler</w:t>
      </w:r>
      <w:proofErr w:type="spellEnd"/>
      <w:r>
        <w:t>, H. (1998) The Psychology of Attention. Cambridge, MA: MIT Press.</w:t>
      </w:r>
    </w:p>
    <w:p w14:paraId="3CA00D62" w14:textId="77777777" w:rsidR="005947D3" w:rsidRDefault="00000000">
      <w:pPr>
        <w:spacing w:after="120" w:line="360" w:lineRule="auto"/>
        <w:jc w:val="both"/>
      </w:pPr>
      <w:proofErr w:type="spellStart"/>
      <w:r>
        <w:t>Pimenta</w:t>
      </w:r>
      <w:proofErr w:type="spellEnd"/>
      <w:r>
        <w:t xml:space="preserve">, A., Carneiro, D., Neves, J. and </w:t>
      </w:r>
      <w:proofErr w:type="spellStart"/>
      <w:r>
        <w:t>Novais</w:t>
      </w:r>
      <w:proofErr w:type="spellEnd"/>
      <w:r>
        <w:t xml:space="preserve">, P. (2015) 'A neural network to classify fatigue from human–computer interaction', Neurocomputing, 172, pp. 413–426. </w:t>
      </w:r>
      <w:proofErr w:type="spellStart"/>
      <w:r>
        <w:t>doi</w:t>
      </w:r>
      <w:proofErr w:type="spellEnd"/>
      <w:r>
        <w:t>: 10.1016/j.neucom.2015.03.105.</w:t>
      </w:r>
    </w:p>
    <w:p w14:paraId="632E2B70" w14:textId="77777777" w:rsidR="005947D3" w:rsidRDefault="00000000">
      <w:pPr>
        <w:spacing w:after="120" w:line="360" w:lineRule="auto"/>
        <w:jc w:val="both"/>
      </w:pPr>
      <w:r>
        <w:t xml:space="preserve">Posner, M.I. and Petersen, S.E. (1990) 'The attention system of the human brain', Annual Review of Neuroscience, 13(1), pp. 25–42. </w:t>
      </w:r>
      <w:proofErr w:type="spellStart"/>
      <w:r>
        <w:t>doi</w:t>
      </w:r>
      <w:proofErr w:type="spellEnd"/>
      <w:r>
        <w:t>: 10.1146/annurev.ne.13.030190.000325.</w:t>
      </w:r>
    </w:p>
    <w:p w14:paraId="7D45426C" w14:textId="77777777" w:rsidR="005947D3" w:rsidRDefault="00000000">
      <w:pPr>
        <w:spacing w:after="120" w:line="360" w:lineRule="auto"/>
        <w:jc w:val="both"/>
      </w:pPr>
      <w:proofErr w:type="spellStart"/>
      <w:r>
        <w:t>RescueTime</w:t>
      </w:r>
      <w:proofErr w:type="spellEnd"/>
      <w:r>
        <w:t xml:space="preserve"> (2024) </w:t>
      </w:r>
      <w:proofErr w:type="spellStart"/>
      <w:r>
        <w:t>RescueTime</w:t>
      </w:r>
      <w:proofErr w:type="spellEnd"/>
      <w:r>
        <w:t>: Automatic time tracking software. Available at: https://www.rescuetime.com (Accessed: 20 January 2026).</w:t>
      </w:r>
    </w:p>
    <w:p w14:paraId="65122829" w14:textId="77777777" w:rsidR="005947D3" w:rsidRDefault="00000000">
      <w:pPr>
        <w:spacing w:after="120" w:line="360" w:lineRule="auto"/>
        <w:jc w:val="both"/>
      </w:pPr>
      <w:proofErr w:type="spellStart"/>
      <w:r>
        <w:t>Risko</w:t>
      </w:r>
      <w:proofErr w:type="spellEnd"/>
      <w:r>
        <w:t xml:space="preserve">, E.F., Anderson, N., </w:t>
      </w:r>
      <w:proofErr w:type="spellStart"/>
      <w:r>
        <w:t>Sarwal</w:t>
      </w:r>
      <w:proofErr w:type="spellEnd"/>
      <w:r>
        <w:t xml:space="preserve">, A., Engelhardt, M. and Kingstone, A. (2012) 'Everyday attention: Variation in mind wandering and memory in a lecture', Applied Cognitive Psychology, 26(2), pp. 234–242. </w:t>
      </w:r>
      <w:proofErr w:type="spellStart"/>
      <w:r>
        <w:t>doi</w:t>
      </w:r>
      <w:proofErr w:type="spellEnd"/>
      <w:r>
        <w:t>: 10.1002/acp.1814.</w:t>
      </w:r>
    </w:p>
    <w:p w14:paraId="049BA190" w14:textId="77777777" w:rsidR="005947D3" w:rsidRDefault="00000000">
      <w:pPr>
        <w:spacing w:after="120" w:line="360" w:lineRule="auto"/>
        <w:jc w:val="both"/>
      </w:pPr>
      <w:proofErr w:type="spellStart"/>
      <w:r>
        <w:t>Risko</w:t>
      </w:r>
      <w:proofErr w:type="spellEnd"/>
      <w:r>
        <w:t xml:space="preserve">, E.F., Buchanan, D., </w:t>
      </w:r>
      <w:proofErr w:type="spellStart"/>
      <w:r>
        <w:t>Medimorec</w:t>
      </w:r>
      <w:proofErr w:type="spellEnd"/>
      <w:r>
        <w:t xml:space="preserve">, S. and Kingstone, A. (2013) 'Everyday attention: Mind </w:t>
      </w:r>
      <w:proofErr w:type="gramStart"/>
      <w:r>
        <w:t>wandering</w:t>
      </w:r>
      <w:proofErr w:type="gramEnd"/>
      <w:r>
        <w:t xml:space="preserve"> and computer use during lectures', Computers &amp; Education, 68, pp. 275–283. </w:t>
      </w:r>
      <w:proofErr w:type="spellStart"/>
      <w:r>
        <w:t>doi</w:t>
      </w:r>
      <w:proofErr w:type="spellEnd"/>
      <w:r>
        <w:t>: 10.1016/j.compedu.2013.05.001.</w:t>
      </w:r>
    </w:p>
    <w:p w14:paraId="6191BDAB" w14:textId="77777777" w:rsidR="005947D3" w:rsidRDefault="00000000">
      <w:pPr>
        <w:spacing w:after="120" w:line="360" w:lineRule="auto"/>
        <w:jc w:val="both"/>
      </w:pPr>
      <w:proofErr w:type="spellStart"/>
      <w:r>
        <w:t>Roda</w:t>
      </w:r>
      <w:proofErr w:type="spellEnd"/>
      <w:r>
        <w:t>, C. (2011) Human Attention in Digital Environments. Cambridge: Cambridge University Press.</w:t>
      </w:r>
    </w:p>
    <w:p w14:paraId="2F263758" w14:textId="77777777" w:rsidR="005947D3" w:rsidRDefault="00000000">
      <w:pPr>
        <w:spacing w:after="120" w:line="360" w:lineRule="auto"/>
        <w:jc w:val="both"/>
      </w:pPr>
      <w:proofErr w:type="spellStart"/>
      <w:r>
        <w:t>Sagonas</w:t>
      </w:r>
      <w:proofErr w:type="spellEnd"/>
      <w:r>
        <w:t xml:space="preserve">, C., </w:t>
      </w:r>
      <w:proofErr w:type="spellStart"/>
      <w:r>
        <w:t>Antonakos</w:t>
      </w:r>
      <w:proofErr w:type="spellEnd"/>
      <w:r>
        <w:t xml:space="preserve">, E., </w:t>
      </w:r>
      <w:proofErr w:type="spellStart"/>
      <w:r>
        <w:t>Tzimiropoulos</w:t>
      </w:r>
      <w:proofErr w:type="spellEnd"/>
      <w:r>
        <w:t xml:space="preserve">, G., </w:t>
      </w:r>
      <w:proofErr w:type="spellStart"/>
      <w:r>
        <w:t>Zafeiriou</w:t>
      </w:r>
      <w:proofErr w:type="spellEnd"/>
      <w:r>
        <w:t xml:space="preserve">, S. and </w:t>
      </w:r>
      <w:proofErr w:type="spellStart"/>
      <w:r>
        <w:t>Pantic</w:t>
      </w:r>
      <w:proofErr w:type="spellEnd"/>
      <w:r>
        <w:t xml:space="preserve">, M. (2016) '300 Faces In-The-Wild challenge: Database and results', Image and Vision Computing, 47, pp. 3–18. </w:t>
      </w:r>
      <w:proofErr w:type="spellStart"/>
      <w:r>
        <w:t>doi</w:t>
      </w:r>
      <w:proofErr w:type="spellEnd"/>
      <w:r>
        <w:t>: 10.1016/j.imavis.2016.01.002.</w:t>
      </w:r>
    </w:p>
    <w:p w14:paraId="6825E5DC" w14:textId="77777777" w:rsidR="005947D3" w:rsidRDefault="00000000">
      <w:pPr>
        <w:spacing w:after="120" w:line="360" w:lineRule="auto"/>
        <w:jc w:val="both"/>
      </w:pPr>
      <w:r>
        <w:t>Salmeron-</w:t>
      </w:r>
      <w:proofErr w:type="spellStart"/>
      <w:r>
        <w:t>Majadas</w:t>
      </w:r>
      <w:proofErr w:type="spellEnd"/>
      <w:r>
        <w:t xml:space="preserve">, S., Santos, O.C. and </w:t>
      </w:r>
      <w:proofErr w:type="spellStart"/>
      <w:r>
        <w:t>Boticario</w:t>
      </w:r>
      <w:proofErr w:type="spellEnd"/>
      <w:r>
        <w:t xml:space="preserve">, J.G. (2014) 'An evaluation of mouse and keyboard interaction indicators towards non-intrusive and </w:t>
      </w:r>
      <w:proofErr w:type="gramStart"/>
      <w:r>
        <w:t>low cost</w:t>
      </w:r>
      <w:proofErr w:type="gramEnd"/>
      <w:r>
        <w:t xml:space="preserve"> affective </w:t>
      </w:r>
      <w:proofErr w:type="spellStart"/>
      <w:r>
        <w:t>modeling</w:t>
      </w:r>
      <w:proofErr w:type="spellEnd"/>
      <w:r>
        <w:t xml:space="preserve"> in an educational context', Procedia Computer Science, 35, pp. 691–700. </w:t>
      </w:r>
      <w:proofErr w:type="spellStart"/>
      <w:r>
        <w:t>doi</w:t>
      </w:r>
      <w:proofErr w:type="spellEnd"/>
      <w:r>
        <w:t>: 10.1016/j.procs.2014.08.151.</w:t>
      </w:r>
    </w:p>
    <w:p w14:paraId="10F02049" w14:textId="77777777" w:rsidR="005947D3" w:rsidRDefault="00000000">
      <w:pPr>
        <w:spacing w:after="120" w:line="360" w:lineRule="auto"/>
        <w:jc w:val="both"/>
      </w:pPr>
      <w:proofErr w:type="spellStart"/>
      <w:r>
        <w:t>Seli</w:t>
      </w:r>
      <w:proofErr w:type="spellEnd"/>
      <w:r>
        <w:t xml:space="preserve">, P., </w:t>
      </w:r>
      <w:proofErr w:type="spellStart"/>
      <w:r>
        <w:t>Risko</w:t>
      </w:r>
      <w:proofErr w:type="spellEnd"/>
      <w:r>
        <w:t xml:space="preserve">, E.F., </w:t>
      </w:r>
      <w:proofErr w:type="spellStart"/>
      <w:r>
        <w:t>Smilek</w:t>
      </w:r>
      <w:proofErr w:type="spellEnd"/>
      <w:r>
        <w:t xml:space="preserve">, D. and Schacter, D.L. (2016) 'Mind-wandering with and without intention', Trends in Cognitive Sciences, 20(8), pp. 605–617. </w:t>
      </w:r>
      <w:proofErr w:type="spellStart"/>
      <w:r>
        <w:t>doi</w:t>
      </w:r>
      <w:proofErr w:type="spellEnd"/>
      <w:r>
        <w:t>: 10.1016/j.tics.2016.05.010.</w:t>
      </w:r>
    </w:p>
    <w:p w14:paraId="6713518E" w14:textId="77777777" w:rsidR="005947D3" w:rsidRDefault="00000000">
      <w:pPr>
        <w:spacing w:after="120" w:line="360" w:lineRule="auto"/>
        <w:jc w:val="both"/>
      </w:pPr>
      <w:r>
        <w:lastRenderedPageBreak/>
        <w:t xml:space="preserve">Sharma, K., Giannakos, M. and </w:t>
      </w:r>
      <w:proofErr w:type="spellStart"/>
      <w:r>
        <w:t>Dillenbourg</w:t>
      </w:r>
      <w:proofErr w:type="spellEnd"/>
      <w:r>
        <w:t xml:space="preserve">, P. (2019) 'Eye-tracking and artificial intelligence to enhance motivation and learning', Smart Learning Environments, 6(1), pp. 1–20. </w:t>
      </w:r>
      <w:proofErr w:type="spellStart"/>
      <w:r>
        <w:t>doi</w:t>
      </w:r>
      <w:proofErr w:type="spellEnd"/>
      <w:r>
        <w:t>: 10.1186/s40561-019-0088-x.</w:t>
      </w:r>
    </w:p>
    <w:p w14:paraId="6B2CA7E6" w14:textId="77777777" w:rsidR="005947D3" w:rsidRDefault="00000000">
      <w:pPr>
        <w:spacing w:after="120" w:line="360" w:lineRule="auto"/>
        <w:jc w:val="both"/>
      </w:pPr>
      <w:r>
        <w:t xml:space="preserve">Sharma, K., </w:t>
      </w:r>
      <w:proofErr w:type="spellStart"/>
      <w:r>
        <w:t>Papamitsiou</w:t>
      </w:r>
      <w:proofErr w:type="spellEnd"/>
      <w:r>
        <w:t xml:space="preserve">, Z. and Giannakos, M. (2020) 'Building pipelines for educational data using AI and multimodal analytics: A grey-box approach', British Journal of Educational Technology, 51(6), pp. 1954–1971. </w:t>
      </w:r>
      <w:proofErr w:type="spellStart"/>
      <w:r>
        <w:t>doi</w:t>
      </w:r>
      <w:proofErr w:type="spellEnd"/>
      <w:r>
        <w:t>: 10.1111/bjet.12854.</w:t>
      </w:r>
    </w:p>
    <w:p w14:paraId="2B32114D" w14:textId="77777777" w:rsidR="005947D3" w:rsidRDefault="00000000">
      <w:pPr>
        <w:spacing w:after="120" w:line="360" w:lineRule="auto"/>
        <w:jc w:val="both"/>
      </w:pPr>
      <w:r>
        <w:t xml:space="preserve">Slade, S. and Prinsloo, P. (2013) 'Learning analytics: Ethical issues and dilemmas', American </w:t>
      </w:r>
      <w:proofErr w:type="spellStart"/>
      <w:r>
        <w:t>Behavioral</w:t>
      </w:r>
      <w:proofErr w:type="spellEnd"/>
      <w:r>
        <w:t xml:space="preserve"> Scientist, 57(10), pp. 1510–1529. </w:t>
      </w:r>
      <w:proofErr w:type="spellStart"/>
      <w:r>
        <w:t>doi</w:t>
      </w:r>
      <w:proofErr w:type="spellEnd"/>
      <w:r>
        <w:t>: 10.1177/0002764213479366.</w:t>
      </w:r>
    </w:p>
    <w:p w14:paraId="3ACE7C48" w14:textId="77777777" w:rsidR="005947D3" w:rsidRDefault="00000000">
      <w:pPr>
        <w:spacing w:after="120" w:line="360" w:lineRule="auto"/>
        <w:jc w:val="both"/>
      </w:pPr>
      <w:r>
        <w:t xml:space="preserve">Smallwood, </w:t>
      </w:r>
      <w:proofErr w:type="gramStart"/>
      <w:r>
        <w:t>J.</w:t>
      </w:r>
      <w:proofErr w:type="gramEnd"/>
      <w:r>
        <w:t xml:space="preserve"> and Schooler, J.W. (2006) 'The restless mind', Psychological Bulletin, 132(6), pp. 946–958. </w:t>
      </w:r>
      <w:proofErr w:type="spellStart"/>
      <w:r>
        <w:t>doi</w:t>
      </w:r>
      <w:proofErr w:type="spellEnd"/>
      <w:r>
        <w:t>: 10.1037/0033-2909.132.6.946.</w:t>
      </w:r>
    </w:p>
    <w:p w14:paraId="1E82B0AC" w14:textId="77777777" w:rsidR="005947D3" w:rsidRDefault="00000000">
      <w:pPr>
        <w:spacing w:after="120" w:line="360" w:lineRule="auto"/>
        <w:jc w:val="both"/>
      </w:pPr>
      <w:r>
        <w:t xml:space="preserve">Stewart, A.E.B., </w:t>
      </w:r>
      <w:proofErr w:type="spellStart"/>
      <w:r>
        <w:t>Vemuri</w:t>
      </w:r>
      <w:proofErr w:type="spellEnd"/>
      <w:r>
        <w:t xml:space="preserve">, K., Guo, Y. and </w:t>
      </w:r>
      <w:proofErr w:type="spellStart"/>
      <w:r>
        <w:t>D'Mello</w:t>
      </w:r>
      <w:proofErr w:type="spellEnd"/>
      <w:r>
        <w:t>, S. (2017) 'Language and discourse predictors of student engagement in online discussions', Proceedings of the International Conference on Artificial Intelligence in Education (AIED), pp. 452–457.</w:t>
      </w:r>
    </w:p>
    <w:p w14:paraId="16C07A26" w14:textId="77777777" w:rsidR="005947D3" w:rsidRDefault="00000000">
      <w:pPr>
        <w:spacing w:after="120" w:line="360" w:lineRule="auto"/>
        <w:jc w:val="both"/>
      </w:pPr>
      <w:r>
        <w:t xml:space="preserve">Thomas, C. and </w:t>
      </w:r>
      <w:proofErr w:type="spellStart"/>
      <w:r>
        <w:t>Jayagopi</w:t>
      </w:r>
      <w:proofErr w:type="spellEnd"/>
      <w:r>
        <w:t xml:space="preserve">, D.B. (2017) 'Predicting student engagement in classrooms using facial </w:t>
      </w:r>
      <w:proofErr w:type="spellStart"/>
      <w:r>
        <w:t>behavioral</w:t>
      </w:r>
      <w:proofErr w:type="spellEnd"/>
      <w:r>
        <w:t xml:space="preserve"> cues', Proceedings of the ACM SIGCHI Symposium on Engineering Interactive Computing Systems (EICS), pp. 33–40.</w:t>
      </w:r>
    </w:p>
    <w:p w14:paraId="711AB81A" w14:textId="77777777" w:rsidR="005947D3" w:rsidRDefault="00000000">
      <w:pPr>
        <w:spacing w:after="120" w:line="360" w:lineRule="auto"/>
        <w:jc w:val="both"/>
      </w:pPr>
      <w:r>
        <w:t xml:space="preserve">Tourangeau, R., Rips, L.J. and </w:t>
      </w:r>
      <w:proofErr w:type="spellStart"/>
      <w:r>
        <w:t>Rasinski</w:t>
      </w:r>
      <w:proofErr w:type="spellEnd"/>
      <w:r>
        <w:t>, K. (2000) The Psychology of Survey Response. Cambridge: Cambridge University Press.</w:t>
      </w:r>
    </w:p>
    <w:p w14:paraId="2915B568" w14:textId="77777777" w:rsidR="005947D3" w:rsidRDefault="00000000">
      <w:pPr>
        <w:spacing w:after="120" w:line="360" w:lineRule="auto"/>
        <w:jc w:val="both"/>
      </w:pPr>
      <w:proofErr w:type="spellStart"/>
      <w:r>
        <w:t>Treisman</w:t>
      </w:r>
      <w:proofErr w:type="spellEnd"/>
      <w:r>
        <w:t>, A.M. (1964) 'Selective attention in man', British Medical Bulletin, 20(1), pp. 12–16.</w:t>
      </w:r>
    </w:p>
    <w:p w14:paraId="40DD2947" w14:textId="77777777" w:rsidR="005947D3" w:rsidRDefault="00000000">
      <w:pPr>
        <w:spacing w:after="120" w:line="360" w:lineRule="auto"/>
        <w:jc w:val="both"/>
      </w:pPr>
      <w:r>
        <w:t>Viola, P. and Jones, M. (2001) 'Rapid object detection using a boosted cascade of simple features', Proceedings of the IEEE Conference on Computer Vision and Pattern Recognition (CVPR), 1, pp. 511–518.</w:t>
      </w:r>
    </w:p>
    <w:p w14:paraId="7F85621B" w14:textId="77777777" w:rsidR="005947D3" w:rsidRDefault="00000000">
      <w:pPr>
        <w:spacing w:after="120" w:line="360" w:lineRule="auto"/>
        <w:jc w:val="both"/>
      </w:pPr>
      <w:proofErr w:type="spellStart"/>
      <w:r>
        <w:t>Vizer</w:t>
      </w:r>
      <w:proofErr w:type="spellEnd"/>
      <w:r>
        <w:t xml:space="preserve">, L.M., Zhou, L. and Sears, A. (2009) 'Automated stress detection using keystroke and linguistic features: An exploratory study', International Journal of Human-Computer Studies, 67(10), pp. 870–886. </w:t>
      </w:r>
      <w:proofErr w:type="spellStart"/>
      <w:r>
        <w:t>doi</w:t>
      </w:r>
      <w:proofErr w:type="spellEnd"/>
      <w:r>
        <w:t>: 10.1016/j.ijhcs.2009.07.005.</w:t>
      </w:r>
    </w:p>
    <w:p w14:paraId="3B11936E" w14:textId="77777777" w:rsidR="005947D3" w:rsidRDefault="00000000">
      <w:pPr>
        <w:spacing w:after="120" w:line="360" w:lineRule="auto"/>
        <w:jc w:val="both"/>
      </w:pPr>
      <w:r>
        <w:t>W3C (2013) Page Visibility (Second Edition). W3C Recommendation. Available at: https://www.w3.org/TR/page-visibility-2/ (Accessed: 20 January 2026).</w:t>
      </w:r>
    </w:p>
    <w:p w14:paraId="2C51B2E9" w14:textId="77777777" w:rsidR="005947D3" w:rsidRDefault="00000000">
      <w:pPr>
        <w:spacing w:after="120" w:line="360" w:lineRule="auto"/>
        <w:jc w:val="both"/>
      </w:pPr>
      <w:r>
        <w:t xml:space="preserve">Whitehill, J., </w:t>
      </w:r>
      <w:proofErr w:type="spellStart"/>
      <w:r>
        <w:t>Serpell</w:t>
      </w:r>
      <w:proofErr w:type="spellEnd"/>
      <w:r>
        <w:t xml:space="preserve">, Z., Lin, Y.C., Foster, A. and </w:t>
      </w:r>
      <w:proofErr w:type="spellStart"/>
      <w:r>
        <w:t>Movellan</w:t>
      </w:r>
      <w:proofErr w:type="spellEnd"/>
      <w:r>
        <w:t xml:space="preserve">, J.R. (2014) 'The faces of engagement: Automatic recognition of student engagement from facial expressions', IEEE Transactions on Affective Computing, 5(1), pp. 86–98. </w:t>
      </w:r>
      <w:proofErr w:type="spellStart"/>
      <w:r>
        <w:t>doi</w:t>
      </w:r>
      <w:proofErr w:type="spellEnd"/>
      <w:r>
        <w:t>: 10.1109/TAFFC.2014.2316163.</w:t>
      </w:r>
    </w:p>
    <w:p w14:paraId="55496737" w14:textId="77777777" w:rsidR="005947D3" w:rsidRDefault="00000000">
      <w:pPr>
        <w:spacing w:after="120" w:line="360" w:lineRule="auto"/>
        <w:jc w:val="both"/>
      </w:pPr>
      <w:r>
        <w:lastRenderedPageBreak/>
        <w:t xml:space="preserve">Yamauchi, T. and Xiao, K. (2018) 'Reading emotion from mouse cursor motions: Affective computing approach', Cognitive Science, 42(3), pp. 771–819. </w:t>
      </w:r>
      <w:proofErr w:type="spellStart"/>
      <w:r>
        <w:t>doi</w:t>
      </w:r>
      <w:proofErr w:type="spellEnd"/>
      <w:r>
        <w:t>: 10.1111/cogs.12557.</w:t>
      </w:r>
    </w:p>
    <w:p w14:paraId="7C098943" w14:textId="77777777" w:rsidR="005947D3" w:rsidRDefault="00000000">
      <w:pPr>
        <w:spacing w:after="120" w:line="360" w:lineRule="auto"/>
        <w:jc w:val="both"/>
      </w:pPr>
      <w:r>
        <w:t>Yang, S., Luo, P., Loy, C.C. and Tang, X. (2016) 'WIDER FACE: A face detection benchmark', Proceedings of the IEEE Conference on Computer Vision and Pattern Recognition (CVPR), pp. 5525–5533.</w:t>
      </w:r>
    </w:p>
    <w:p w14:paraId="14E3B8D8" w14:textId="77777777" w:rsidR="005947D3" w:rsidRDefault="00000000">
      <w:pPr>
        <w:spacing w:after="120" w:line="360" w:lineRule="auto"/>
        <w:jc w:val="both"/>
      </w:pPr>
      <w:r>
        <w:t xml:space="preserve">Zhang, K., Zhang, Z., Li, Z. and </w:t>
      </w:r>
      <w:proofErr w:type="spellStart"/>
      <w:r>
        <w:t>Qiao</w:t>
      </w:r>
      <w:proofErr w:type="spellEnd"/>
      <w:r>
        <w:t xml:space="preserve">, Y. (2016a) 'Joint face detection and alignment using multitask cascaded convolutional networks', IEEE Signal Processing Letters, 23(10), pp. 1499–1503. </w:t>
      </w:r>
      <w:proofErr w:type="spellStart"/>
      <w:r>
        <w:t>doi</w:t>
      </w:r>
      <w:proofErr w:type="spellEnd"/>
      <w:r>
        <w:t>: 10.1109/LSP.2016.2603342.</w:t>
      </w:r>
    </w:p>
    <w:p w14:paraId="7F36E05A" w14:textId="77777777" w:rsidR="005947D3" w:rsidRDefault="00000000">
      <w:pPr>
        <w:spacing w:after="120" w:line="360" w:lineRule="auto"/>
        <w:jc w:val="both"/>
      </w:pPr>
      <w:r>
        <w:t>Zhang, X., Sugano, Y., Fritz, M. and Bulling, A. (2015) 'Appearance-based gaze estimation in the wild', Proceedings of the IEEE Conference on Computer Vision and Pattern Recognition (CVPR), pp. 4511–4520.</w:t>
      </w:r>
    </w:p>
    <w:p w14:paraId="7749CB23" w14:textId="77777777" w:rsidR="005947D3" w:rsidRDefault="00000000">
      <w:pPr>
        <w:spacing w:after="120" w:line="360" w:lineRule="auto"/>
        <w:jc w:val="both"/>
      </w:pPr>
      <w:r>
        <w:t>Zhang, X., Sugano, Y., Fritz, M. and Bulling, A. (2017) 'It's written all over your face: Full-face appearance-based gaze estimation', Proceedings of the IEEE Conference on Computer Vision and Pattern Recognition Workshops (CVPRW), pp. 2299–2308.</w:t>
      </w:r>
    </w:p>
    <w:sectPr w:rsidR="005947D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8A64697"/>
    <w:multiLevelType w:val="hybridMultilevel"/>
    <w:tmpl w:val="86445B70"/>
    <w:lvl w:ilvl="0" w:tplc="5E0A387A">
      <w:start w:val="1"/>
      <w:numFmt w:val="bullet"/>
      <w:lvlText w:val="●"/>
      <w:lvlJc w:val="left"/>
      <w:pPr>
        <w:ind w:left="720" w:hanging="360"/>
      </w:pPr>
    </w:lvl>
    <w:lvl w:ilvl="1" w:tplc="F1783898">
      <w:start w:val="1"/>
      <w:numFmt w:val="bullet"/>
      <w:lvlText w:val="○"/>
      <w:lvlJc w:val="left"/>
      <w:pPr>
        <w:ind w:left="1440" w:hanging="360"/>
      </w:pPr>
    </w:lvl>
    <w:lvl w:ilvl="2" w:tplc="79C02794">
      <w:start w:val="1"/>
      <w:numFmt w:val="bullet"/>
      <w:lvlText w:val="■"/>
      <w:lvlJc w:val="left"/>
      <w:pPr>
        <w:ind w:left="2160" w:hanging="360"/>
      </w:pPr>
    </w:lvl>
    <w:lvl w:ilvl="3" w:tplc="CD6E767E">
      <w:start w:val="1"/>
      <w:numFmt w:val="bullet"/>
      <w:lvlText w:val="●"/>
      <w:lvlJc w:val="left"/>
      <w:pPr>
        <w:ind w:left="2880" w:hanging="360"/>
      </w:pPr>
    </w:lvl>
    <w:lvl w:ilvl="4" w:tplc="2764B4D0">
      <w:start w:val="1"/>
      <w:numFmt w:val="bullet"/>
      <w:lvlText w:val="○"/>
      <w:lvlJc w:val="left"/>
      <w:pPr>
        <w:ind w:left="3600" w:hanging="360"/>
      </w:pPr>
    </w:lvl>
    <w:lvl w:ilvl="5" w:tplc="3BB6174E">
      <w:start w:val="1"/>
      <w:numFmt w:val="bullet"/>
      <w:lvlText w:val="■"/>
      <w:lvlJc w:val="left"/>
      <w:pPr>
        <w:ind w:left="4320" w:hanging="360"/>
      </w:pPr>
    </w:lvl>
    <w:lvl w:ilvl="6" w:tplc="8140F7E2">
      <w:start w:val="1"/>
      <w:numFmt w:val="bullet"/>
      <w:lvlText w:val="●"/>
      <w:lvlJc w:val="left"/>
      <w:pPr>
        <w:ind w:left="5040" w:hanging="360"/>
      </w:pPr>
    </w:lvl>
    <w:lvl w:ilvl="7" w:tplc="50C408B4">
      <w:start w:val="1"/>
      <w:numFmt w:val="bullet"/>
      <w:lvlText w:val="●"/>
      <w:lvlJc w:val="left"/>
      <w:pPr>
        <w:ind w:left="5760" w:hanging="360"/>
      </w:pPr>
    </w:lvl>
    <w:lvl w:ilvl="8" w:tplc="61F6A4CA">
      <w:start w:val="1"/>
      <w:numFmt w:val="bullet"/>
      <w:lvlText w:val="●"/>
      <w:lvlJc w:val="left"/>
      <w:pPr>
        <w:ind w:left="6480" w:hanging="360"/>
      </w:pPr>
    </w:lvl>
  </w:abstractNum>
  <w:num w:numId="1" w16cid:durableId="859267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47D3"/>
    <w:rsid w:val="000E2790"/>
    <w:rsid w:val="00124F1A"/>
    <w:rsid w:val="0051225C"/>
    <w:rsid w:val="005947D3"/>
    <w:rsid w:val="00CB7C9F"/>
    <w:rsid w:val="00EF2107"/>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2B20DBE9"/>
  <w15:docId w15:val="{FBA884B7-EE3D-B94A-B1AC-3FF2CCB23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GB"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line="360" w:lineRule="auto"/>
      <w:outlineLvl w:val="0"/>
    </w:pPr>
    <w:rPr>
      <w:b/>
      <w:bCs/>
      <w:sz w:val="32"/>
      <w:szCs w:val="32"/>
    </w:rPr>
  </w:style>
  <w:style w:type="paragraph" w:styleId="Heading2">
    <w:name w:val="heading 2"/>
    <w:uiPriority w:val="9"/>
    <w:unhideWhenUsed/>
    <w:qFormat/>
    <w:pPr>
      <w:spacing w:before="300" w:after="160" w:line="360" w:lineRule="auto"/>
      <w:outlineLvl w:val="1"/>
    </w:pPr>
    <w:rPr>
      <w:b/>
      <w:bCs/>
      <w:sz w:val="28"/>
      <w:szCs w:val="28"/>
    </w:rPr>
  </w:style>
  <w:style w:type="paragraph" w:styleId="Heading3">
    <w:name w:val="heading 3"/>
    <w:uiPriority w:val="9"/>
    <w:unhideWhenUsed/>
    <w:qFormat/>
    <w:pPr>
      <w:spacing w:before="240" w:after="120" w:line="360" w:lineRule="auto"/>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hoverbg-blue-100">
    <w:name w:val="hover:bg-blue-100"/>
    <w:basedOn w:val="DefaultParagraphFont"/>
    <w:rsid w:val="00EF2107"/>
  </w:style>
  <w:style w:type="character" w:customStyle="1" w:styleId="apple-converted-space">
    <w:name w:val="apple-converted-space"/>
    <w:basedOn w:val="DefaultParagraphFont"/>
    <w:rsid w:val="00EF2107"/>
  </w:style>
  <w:style w:type="character" w:customStyle="1" w:styleId="text-black">
    <w:name w:val="text-black"/>
    <w:basedOn w:val="DefaultParagraphFont"/>
    <w:rsid w:val="00EF21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27</Pages>
  <Words>9193</Words>
  <Characters>57552</Characters>
  <Application>Microsoft Office Word</Application>
  <DocSecurity>0</DocSecurity>
  <Lines>834</Lines>
  <Paragraphs>223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Juhyeong Park</cp:lastModifiedBy>
  <cp:revision>3</cp:revision>
  <dcterms:created xsi:type="dcterms:W3CDTF">2026-03-29T18:48:00Z</dcterms:created>
  <dcterms:modified xsi:type="dcterms:W3CDTF">2026-03-31T00:48:00Z</dcterms:modified>
</cp:coreProperties>
</file>