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360"/>
      </w:pPr>
      <w:r>
        <w:rPr>
          <w:rFonts w:ascii="Times New Roman" w:cs="Times New Roman" w:eastAsia="Times New Roman" w:hAnsi="Times New Roman"/>
          <w:b/>
          <w:bCs/>
          <w:sz w:val="32"/>
          <w:szCs w:val="32"/>
        </w:rPr>
        <w:t xml:space="preserve">2. Literature Review</w:t>
      </w:r>
    </w:p>
    <w:p>
      <w:pPr>
        <w:spacing w:after="200" w:line="360"/>
        <w:jc w:val="both"/>
      </w:pPr>
      <w:r>
        <w:rPr>
          <w:rFonts w:ascii="Times New Roman" w:cs="Times New Roman" w:eastAsia="Times New Roman" w:hAnsi="Times New Roman"/>
          <w:sz w:val="24"/>
          <w:szCs w:val="24"/>
        </w:rPr>
        <w:t xml:space="preserve">This chapter reviews the existing body of literature relevant to the design and evaluation of DeepFocus, a multimodal browser-based concentration measurement system. The review is organised thematically into five parts. The first part (Sections 2.1–2.3) establishes the theoretical and methodological foundations by examining how attention and concentration are defined in cognitive psychology and how they have been measured across traditional and computational paradigms. The second part (Sections 2.4–2.5) examines gaze estimation and face detection technologies that enable visual attention monitoring through standard webcams. The third part (Sections 2.6–2.7) reviews keyboard and mouse behavioural analysis as indicators of cognitive engagement. The fourth part (Sections 2.8–2.9) addresses browser-based monitoring approaches and the APIs that enable unobtrusive data collection in web environments. Finally, the fifth part (Sections 2.10–2.11) presents a comparative analysis of existing engagement and concentration detection systems, identifying the specific gap that DeepFocus aims to fill.</w:t>
      </w:r>
    </w:p>
    <w:p>
      <w:pPr>
        <w:pStyle w:val="Heading2"/>
        <w:spacing w:before="360" w:after="240"/>
      </w:pPr>
      <w:r>
        <w:rPr>
          <w:rFonts w:ascii="Times New Roman" w:cs="Times New Roman" w:eastAsia="Times New Roman" w:hAnsi="Times New Roman"/>
          <w:b/>
          <w:bCs/>
          <w:sz w:val="28"/>
          <w:szCs w:val="28"/>
        </w:rPr>
        <w:t xml:space="preserve">2.1 Attention and Concentration: Theoretical Foundations</w:t>
      </w:r>
    </w:p>
    <w:p>
      <w:pPr>
        <w:pStyle w:val="Heading3"/>
        <w:spacing w:before="280" w:after="200"/>
      </w:pPr>
      <w:r>
        <w:rPr>
          <w:rFonts w:ascii="Times New Roman" w:cs="Times New Roman" w:eastAsia="Times New Roman" w:hAnsi="Times New Roman"/>
          <w:b/>
          <w:bCs/>
          <w:sz w:val="24"/>
          <w:szCs w:val="24"/>
        </w:rPr>
        <w:t xml:space="preserve">2.1.1 Defining Attention in Cognitive Psychology</w:t>
      </w:r>
    </w:p>
    <w:p>
      <w:pPr>
        <w:spacing w:after="200" w:line="360"/>
        <w:jc w:val="both"/>
      </w:pPr>
      <w:r>
        <w:rPr>
          <w:rFonts w:ascii="Times New Roman" w:cs="Times New Roman" w:eastAsia="Times New Roman" w:hAnsi="Times New Roman"/>
          <w:sz w:val="24"/>
          <w:szCs w:val="24"/>
        </w:rPr>
        <w:t xml:space="preserve">Attention is among the most extensively studied constructs in cognitive psychology, yet it remains notoriously difficult to define with precision. William James (1890) offered one of the earliest and most influential characterisations, describing attention as the process by which the mind takes possession of one among several possible objects or trains of thought. This foundational view established attention not as a unitary faculty but as a selective mechanism that prioritises certain stimuli over others.</w:t>
      </w:r>
    </w:p>
    <w:p>
      <w:pPr>
        <w:spacing w:after="200" w:line="360"/>
        <w:jc w:val="both"/>
      </w:pPr>
      <w:r>
        <w:rPr>
          <w:rFonts w:ascii="Times New Roman" w:cs="Times New Roman" w:eastAsia="Times New Roman" w:hAnsi="Times New Roman"/>
          <w:sz w:val="24"/>
          <w:szCs w:val="24"/>
        </w:rPr>
        <w:t xml:space="preserve">Building upon this early framework, subsequent research has distinguished between multiple forms of attention. Posner and Petersen (1990) proposed an influential model comprising three functionally distinct attentional networks: alerting, which maintains a state of readiness; orienting, which directs attention to specific sensory inputs; and executive control, which resolves conflicts among competing responses. This tripartite model has been widely validated through neuroimaging studies and remains a standard reference in attention research (Fan et al., 2002). Importantly for the present project, the executive control network—responsible for sustaining goal-directed focus and suppressing distractions—is most directly relevant to concentration during study or work sessions.</w:t>
      </w:r>
    </w:p>
    <w:p>
      <w:pPr>
        <w:spacing w:after="200" w:line="360"/>
        <w:jc w:val="both"/>
      </w:pPr>
      <w:r>
        <w:rPr>
          <w:rFonts w:ascii="Times New Roman" w:cs="Times New Roman" w:eastAsia="Times New Roman" w:hAnsi="Times New Roman"/>
          <w:sz w:val="24"/>
          <w:szCs w:val="24"/>
        </w:rPr>
        <w:t xml:space="preserve">A further critical distinction exists between selective attention, sustained attention, and divided attention. Selective attention refers to the ability to focus on relevant stimuli while ignoring distractors (Broadbent, 1958; Treisman, 1964). Sustained attention, also termed vigilance, refers to the capacity to maintain focus over extended periods (Parasuraman, 1998). Divided attention describes the ability to allocate cognitive resources across multiple tasks simultaneously (Pashler, 1998). While all three dimensions are relevant to computer-based work environments, sustained attention is particularly central to the goals of DeepFocus, as concentration during study or work sessions inherently requires prolonged, uninterrupted focus on a primary task.</w:t>
      </w:r>
    </w:p>
    <w:p>
      <w:pPr>
        <w:pStyle w:val="Heading3"/>
        <w:spacing w:before="280" w:after="200"/>
      </w:pPr>
      <w:r>
        <w:rPr>
          <w:rFonts w:ascii="Times New Roman" w:cs="Times New Roman" w:eastAsia="Times New Roman" w:hAnsi="Times New Roman"/>
          <w:b/>
          <w:bCs/>
          <w:sz w:val="24"/>
          <w:szCs w:val="24"/>
        </w:rPr>
        <w:t xml:space="preserve">2.1.2 Concentration as a Dimension of Sustained Attention</w:t>
      </w:r>
    </w:p>
    <w:p>
      <w:pPr>
        <w:spacing w:after="200" w:line="360"/>
        <w:jc w:val="both"/>
      </w:pPr>
      <w:r>
        <w:rPr>
          <w:rFonts w:ascii="Times New Roman" w:cs="Times New Roman" w:eastAsia="Times New Roman" w:hAnsi="Times New Roman"/>
          <w:sz w:val="24"/>
          <w:szCs w:val="24"/>
        </w:rPr>
        <w:t xml:space="preserve">While attention is broadly defined in cognitive psychology, concentration is often treated as a more applied, context-specific construct. In educational and workplace psychology, concentration typically refers to the intensity and continuity of mental effort directed toward a task (Csikszentmihalyi, 1990; Corno, 1993). This conceptualisation aligns closely with sustained attention but adds an emphasis on voluntary effort and task engagement.</w:t>
      </w:r>
    </w:p>
    <w:p>
      <w:pPr>
        <w:spacing w:after="200" w:line="360"/>
        <w:jc w:val="both"/>
      </w:pPr>
      <w:r>
        <w:rPr>
          <w:rFonts w:ascii="Times New Roman" w:cs="Times New Roman" w:eastAsia="Times New Roman" w:hAnsi="Times New Roman"/>
          <w:sz w:val="24"/>
          <w:szCs w:val="24"/>
        </w:rPr>
        <w:t xml:space="preserve">Csikszentmihalyi’s (1990) theory of flow provides a useful lens for understanding concentration at its most intense. Flow is characterised by complete absorption in a task, loss of self-awareness, and a distorted sense of time. Although flow represents an optimal state that is not always achievable, the underlying dimensions—deep focus, intrinsic motivation, and a balance between challenge and skill—offer a theoretical basis for defining what high concentration looks like in practice. Conversely, low concentration is associated with mind wandering, which Smallwood and Schooler (2006) define as a shift of attention away from a primary task toward unrelated internal thoughts. Research has shown that mind wandering is pervasive, occurring in approximately 30–50% of daily waking time, and is associated with reduced task performance and comprehension (Seli et al., 2016; Risko et al., 2012).</w:t>
      </w:r>
    </w:p>
    <w:p>
      <w:pPr>
        <w:spacing w:after="200" w:line="360"/>
        <w:jc w:val="both"/>
      </w:pPr>
      <w:r>
        <w:rPr>
          <w:rFonts w:ascii="Times New Roman" w:cs="Times New Roman" w:eastAsia="Times New Roman" w:hAnsi="Times New Roman"/>
          <w:sz w:val="24"/>
          <w:szCs w:val="24"/>
        </w:rPr>
        <w:t xml:space="preserve">For the purposes of DeepFocus, concentration is operationalised as a measurable state along a continuum from low (frequent disengagement, task-irrelevant behaviour) to high (sustained, uninterrupted task focus). This operational definition draws on the sustained attention literature while incorporating behavioural indicators observable in a web environment, such as gaze direction, interaction patterns, and tab-switching behaviour.</w:t>
      </w:r>
    </w:p>
    <w:p>
      <w:pPr>
        <w:pStyle w:val="Heading3"/>
        <w:spacing w:before="280" w:after="200"/>
      </w:pPr>
      <w:r>
        <w:rPr>
          <w:rFonts w:ascii="Times New Roman" w:cs="Times New Roman" w:eastAsia="Times New Roman" w:hAnsi="Times New Roman"/>
          <w:b/>
          <w:bCs/>
          <w:sz w:val="24"/>
          <w:szCs w:val="24"/>
        </w:rPr>
        <w:t xml:space="preserve">2.1.3 Attention in Digital Learning and Work Environments</w:t>
      </w:r>
    </w:p>
    <w:p>
      <w:pPr>
        <w:spacing w:after="200" w:line="360"/>
        <w:jc w:val="both"/>
      </w:pPr>
      <w:r>
        <w:rPr>
          <w:rFonts w:ascii="Times New Roman" w:cs="Times New Roman" w:eastAsia="Times New Roman" w:hAnsi="Times New Roman"/>
          <w:sz w:val="24"/>
          <w:szCs w:val="24"/>
        </w:rPr>
        <w:t xml:space="preserve">The shift toward digital environments for learning and work has introduced new challenges for sustained attention. Roda (2011) argues that digital interfaces generate a persistent stream of interruptions—notifications, hyperlinks, and multitasking opportunities—that fundamentally alter how attention is allocated compared to traditional settings. Empirical evidence supports this claim: Mark et al. (2008) found that workers in digital environments switch tasks approximately every three minutes on average, and that such interruptions significantly increase stress and reduce task quality.</w:t>
      </w:r>
    </w:p>
    <w:p>
      <w:pPr>
        <w:spacing w:after="200" w:line="360"/>
        <w:jc w:val="both"/>
      </w:pPr>
      <w:r>
        <w:rPr>
          <w:rFonts w:ascii="Times New Roman" w:cs="Times New Roman" w:eastAsia="Times New Roman" w:hAnsi="Times New Roman"/>
          <w:sz w:val="24"/>
          <w:szCs w:val="24"/>
        </w:rPr>
        <w:t xml:space="preserve">In educational contexts, the problem is equally pronounced. Risko et al. (2013) demonstrated that students frequently engage in off-task behaviours during computer-based learning, including browsing unrelated websites, checking social media, and multitasking. These behaviours are directly observable through browser activity and input patterns, which motivates the multimodal approach adopted by DeepFocus. Unlike laboratory-based attention studies that employ controlled stimuli and standardised tasks, real-world digital environments present a complex attentional landscape where concentration must be inferred from multiple behavioural and visual signals.</w:t>
      </w:r>
    </w:p>
    <w:p>
      <w:pPr>
        <w:spacing w:after="200" w:line="360"/>
        <w:jc w:val="both"/>
      </w:pPr>
      <w:r>
        <w:rPr>
          <w:rFonts w:ascii="Times New Roman" w:cs="Times New Roman" w:eastAsia="Times New Roman" w:hAnsi="Times New Roman"/>
          <w:sz w:val="24"/>
          <w:szCs w:val="24"/>
        </w:rPr>
        <w:t xml:space="preserve">Furthermore, the COVID-19 pandemic accelerated the adoption of remote learning and work, amplifying concerns about digital distraction and self-regulation (Means and Neisler, 2021). This context has increased interest in non-invasive, scalable tools for monitoring attention in digital settings—a gap that DeepFocus aims to address through browser-based, real-time concentration estimation.</w:t>
      </w:r>
    </w:p>
    <w:p>
      <w:pPr>
        <w:pStyle w:val="Heading2"/>
        <w:spacing w:before="360" w:after="240"/>
      </w:pPr>
      <w:r>
        <w:rPr>
          <w:rFonts w:ascii="Times New Roman" w:cs="Times New Roman" w:eastAsia="Times New Roman" w:hAnsi="Times New Roman"/>
          <w:b/>
          <w:bCs/>
          <w:sz w:val="28"/>
          <w:szCs w:val="28"/>
        </w:rPr>
        <w:t xml:space="preserve">2.2 Measuring Attention and Concentration</w:t>
      </w:r>
    </w:p>
    <w:p>
      <w:pPr>
        <w:spacing w:after="200" w:line="360"/>
        <w:jc w:val="both"/>
      </w:pPr>
      <w:r>
        <w:rPr>
          <w:rFonts w:ascii="Times New Roman" w:cs="Times New Roman" w:eastAsia="Times New Roman" w:hAnsi="Times New Roman"/>
          <w:sz w:val="24"/>
          <w:szCs w:val="24"/>
        </w:rPr>
        <w:t xml:space="preserve">Measuring attention and concentration has been a persistent challenge across psychology, neuroscience, and human–computer interaction (HCI). The methods employed vary considerably in their invasiveness, ecological validity, and suitability for real-time applications. This section reviews four broad categories of measurement approaches, evaluating their strengths and limitations in the context of browser-based concentration detection.</w:t>
      </w:r>
    </w:p>
    <w:p>
      <w:pPr>
        <w:pStyle w:val="Heading3"/>
        <w:spacing w:before="280" w:after="200"/>
      </w:pPr>
      <w:r>
        <w:rPr>
          <w:rFonts w:ascii="Times New Roman" w:cs="Times New Roman" w:eastAsia="Times New Roman" w:hAnsi="Times New Roman"/>
          <w:b/>
          <w:bCs/>
          <w:sz w:val="24"/>
          <w:szCs w:val="24"/>
        </w:rPr>
        <w:t xml:space="preserve">2.2.1 Self-Report and Subjective Measures</w:t>
      </w:r>
    </w:p>
    <w:p>
      <w:pPr>
        <w:spacing w:after="200" w:line="360"/>
        <w:jc w:val="both"/>
      </w:pPr>
      <w:r>
        <w:rPr>
          <w:rFonts w:ascii="Times New Roman" w:cs="Times New Roman" w:eastAsia="Times New Roman" w:hAnsi="Times New Roman"/>
          <w:sz w:val="24"/>
          <w:szCs w:val="24"/>
        </w:rPr>
        <w:t xml:space="preserve">Self-report instruments are the most widely used method for assessing attention and concentration, particularly in educational and workplace research. The NASA Task Load Index (NASA-TLX), developed by Hart and Staveland (1988), measures perceived workload across six dimensions including mental demand and effort, and has been extensively validated in both laboratory and field settings. Similarly, experience sampling methods (ESM) use periodic probes to assess whether participants are focused on or disengaged from a task at specific moments (Csikszentmihalyi and Larson, 1987). More recently, Likert-scale instruments designed specifically for concentration self-assessment have been employed in studies of online learning and computer-based work (D’Mello and Graesser, 2012).</w:t>
      </w:r>
    </w:p>
    <w:p>
      <w:pPr>
        <w:spacing w:after="200" w:line="360"/>
        <w:jc w:val="both"/>
      </w:pPr>
      <w:r>
        <w:rPr>
          <w:rFonts w:ascii="Times New Roman" w:cs="Times New Roman" w:eastAsia="Times New Roman" w:hAnsi="Times New Roman"/>
          <w:sz w:val="24"/>
          <w:szCs w:val="24"/>
        </w:rPr>
        <w:t xml:space="preserve">While self-report measures benefit from simplicity and direct access to subjective experience, they suffer from several well-documented limitations. Retrospective self-reports are susceptible to recall bias and social desirability effects (Tourangeau et al., 2000). Experience sampling, though more temporally granular, is inherently disruptive—the act of responding to a probe interrupts the very cognitive state being measured (Seli et al., 2016). These limitations highlight the need for unobtrusive, continuous measurement approaches. In the context of DeepFocus, self-reports are unsuitable as a primary measurement modality but serve as valuable ground-truth labels for validating the system’s automated predictions.</w:t>
      </w:r>
    </w:p>
    <w:p>
      <w:pPr>
        <w:pStyle w:val="Heading3"/>
        <w:spacing w:before="280" w:after="200"/>
      </w:pPr>
      <w:r>
        <w:rPr>
          <w:rFonts w:ascii="Times New Roman" w:cs="Times New Roman" w:eastAsia="Times New Roman" w:hAnsi="Times New Roman"/>
          <w:b/>
          <w:bCs/>
          <w:sz w:val="24"/>
          <w:szCs w:val="24"/>
        </w:rPr>
        <w:t xml:space="preserve">2.2.2 Physiological and Neuroimaging Approaches</w:t>
      </w:r>
    </w:p>
    <w:p>
      <w:pPr>
        <w:spacing w:after="200" w:line="360"/>
        <w:jc w:val="both"/>
      </w:pPr>
      <w:r>
        <w:rPr>
          <w:rFonts w:ascii="Times New Roman" w:cs="Times New Roman" w:eastAsia="Times New Roman" w:hAnsi="Times New Roman"/>
          <w:sz w:val="24"/>
          <w:szCs w:val="24"/>
        </w:rPr>
        <w:t xml:space="preserve">Physiological methods offer objective, continuous measures of attentional states but typically require specialised hardware. Electroencephalography (EEG) has been widely used to study attention, with specific neural signatures—such as increased theta-band activity during sustained attention and alpha-band suppression during focused processing—serving as reliable indicators of cognitive engagement (Klimesch, 1999; Berka et al., 2007). Commercial EEG headsets such as the Emotiv EPOC and NeuroSky MindWave have made brain-based attention monitoring more accessible, though their signal quality remains inferior to clinical-grade systems (Duvinage et al., 2013).</w:t>
      </w:r>
    </w:p>
    <w:p>
      <w:pPr>
        <w:spacing w:after="200" w:line="360"/>
        <w:jc w:val="both"/>
      </w:pPr>
      <w:r>
        <w:rPr>
          <w:rFonts w:ascii="Times New Roman" w:cs="Times New Roman" w:eastAsia="Times New Roman" w:hAnsi="Times New Roman"/>
          <w:sz w:val="24"/>
          <w:szCs w:val="24"/>
        </w:rPr>
        <w:t xml:space="preserve">Other physiological indicators include galvanic skin response (GSR), heart rate variability (HRV), and pupil dilation. Pupillometry, in particular, has a strong theoretical basis: pupil diameter increases with cognitive load and attentional effort, a relationship first established by Hess and Polt (1964) and extensively replicated (Beatty and Lucero-Wagoner, 2000). Eye-tracking systems that capture pupil size alongside gaze position can therefore provide dual indicators of attention.</w:t>
      </w:r>
    </w:p>
    <w:p>
      <w:pPr>
        <w:spacing w:after="200" w:line="360"/>
        <w:jc w:val="both"/>
      </w:pPr>
      <w:r>
        <w:rPr>
          <w:rFonts w:ascii="Times New Roman" w:cs="Times New Roman" w:eastAsia="Times New Roman" w:hAnsi="Times New Roman"/>
          <w:sz w:val="24"/>
          <w:szCs w:val="24"/>
        </w:rPr>
        <w:t xml:space="preserve">Despite their objectivity, physiological approaches present practical barriers for deployment in everyday digital environments. EEG requires electrode placement and is sensitive to motion artefacts; GSR and HRV require wearable sensors; and research-grade eye trackers are expensive and require calibration. These constraints make physiological methods ill-suited for the scalable, non-invasive, browser-based monitoring that DeepFocus targets. However, the established relationships between physiological signals and attentional states provide a theoretical grounding for the behavioural and visual proxies employed in this project.</w:t>
      </w:r>
    </w:p>
    <w:p>
      <w:pPr>
        <w:pStyle w:val="Heading3"/>
        <w:spacing w:before="280" w:after="200"/>
      </w:pPr>
      <w:r>
        <w:rPr>
          <w:rFonts w:ascii="Times New Roman" w:cs="Times New Roman" w:eastAsia="Times New Roman" w:hAnsi="Times New Roman"/>
          <w:b/>
          <w:bCs/>
          <w:sz w:val="24"/>
          <w:szCs w:val="24"/>
        </w:rPr>
        <w:t xml:space="preserve">2.2.3 Behavioural and Observational Methods</w:t>
      </w:r>
    </w:p>
    <w:p>
      <w:pPr>
        <w:spacing w:after="200" w:line="360"/>
        <w:jc w:val="both"/>
      </w:pPr>
      <w:r>
        <w:rPr>
          <w:rFonts w:ascii="Times New Roman" w:cs="Times New Roman" w:eastAsia="Times New Roman" w:hAnsi="Times New Roman"/>
          <w:sz w:val="24"/>
          <w:szCs w:val="24"/>
        </w:rPr>
        <w:t xml:space="preserve">Behavioural methods infer attentional states from observable actions rather than internal physiological signals. In traditional classroom settings, trained human observers use coding schemes to rate student engagement based on visible behaviours such as gaze direction, posture, and note-taking (Fredricks et al., 2004). While reliable when conducted by trained raters, manual observation is labour-intensive, does not scale, and cannot be applied in real-time remote settings.</w:t>
      </w:r>
    </w:p>
    <w:p>
      <w:pPr>
        <w:spacing w:after="200" w:line="360"/>
        <w:jc w:val="both"/>
      </w:pPr>
      <w:r>
        <w:rPr>
          <w:rFonts w:ascii="Times New Roman" w:cs="Times New Roman" w:eastAsia="Times New Roman" w:hAnsi="Times New Roman"/>
          <w:sz w:val="24"/>
          <w:szCs w:val="24"/>
        </w:rPr>
        <w:t xml:space="preserve">In computer-mediated environments, behavioural indicators take different forms. Keyboard and mouse activity patterns have been shown to correlate with cognitive states: typing speed and rhythm reflect cognitive load (Epp et al., 2011), while mouse movement characteristics—including velocity, acceleration, and idle time—have been linked to user engagement and frustration (Yamauchi and Xiao, 2018; Hibbeln et al., 2017). Tab switching and application switching serve as direct indicators of task disengagement in browser-based contexts (Mark et al., 2014). These behavioural signals are non-invasive, readily captured through standard browser APIs, and do not require additional hardware, making them particularly suitable for the DeepFocus framework.</w:t>
      </w:r>
    </w:p>
    <w:p>
      <w:pPr>
        <w:spacing w:after="200" w:line="360"/>
        <w:jc w:val="both"/>
      </w:pPr>
      <w:r>
        <w:rPr>
          <w:rFonts w:ascii="Times New Roman" w:cs="Times New Roman" w:eastAsia="Times New Roman" w:hAnsi="Times New Roman"/>
          <w:sz w:val="24"/>
          <w:szCs w:val="24"/>
        </w:rPr>
        <w:t xml:space="preserve">However, behavioural indicators alone are insufficient for robust concentration detection. Keyboard inactivity, for example, may indicate either deep thinking (high concentration) or disengagement (low concentration), depending on the task context. This ambiguity underscores the value of a multimodal approach that combines behavioural signals with visual cues—such as face presence and gaze direction—to disambiguate attentional states. DeepFocus addresses this limitation by integrating multiple signal types into a unified classification framework.</w:t>
      </w:r>
    </w:p>
    <w:p>
      <w:pPr>
        <w:pStyle w:val="Heading3"/>
        <w:spacing w:before="280" w:after="200"/>
      </w:pPr>
      <w:r>
        <w:rPr>
          <w:rFonts w:ascii="Times New Roman" w:cs="Times New Roman" w:eastAsia="Times New Roman" w:hAnsi="Times New Roman"/>
          <w:b/>
          <w:bCs/>
          <w:sz w:val="24"/>
          <w:szCs w:val="24"/>
        </w:rPr>
        <w:t xml:space="preserve">2.2.4 Computational Approaches to Attention Detection</w:t>
      </w:r>
    </w:p>
    <w:p>
      <w:pPr>
        <w:spacing w:after="200" w:line="360"/>
        <w:jc w:val="both"/>
      </w:pPr>
      <w:r>
        <w:rPr>
          <w:rFonts w:ascii="Times New Roman" w:cs="Times New Roman" w:eastAsia="Times New Roman" w:hAnsi="Times New Roman"/>
          <w:sz w:val="24"/>
          <w:szCs w:val="24"/>
        </w:rPr>
        <w:t xml:space="preserve">The convergence of machine learning and sensor technologies has enabled a growing body of work on automated attention detection. In the domain of affective computing, systems have been developed to recognise engagement, boredom, confusion, and frustration from facial expressions (Whitehill et al., 2014; Bosch et al., 2016). Whitehill et al. (2014) demonstrated that facial action units (AUs), derived from Ekman and Friesen’s (1978) Facial Action Coding System (FACS), could predict student engagement with accuracy comparable to human observers. These findings establish the feasibility of using computer vision to infer attentional states from facial cues.</w:t>
      </w:r>
    </w:p>
    <w:p>
      <w:pPr>
        <w:spacing w:after="200" w:line="360"/>
        <w:jc w:val="both"/>
      </w:pPr>
      <w:r>
        <w:rPr>
          <w:rFonts w:ascii="Times New Roman" w:cs="Times New Roman" w:eastAsia="Times New Roman" w:hAnsi="Times New Roman"/>
          <w:sz w:val="24"/>
          <w:szCs w:val="24"/>
        </w:rPr>
        <w:t xml:space="preserve">Gaze-based attention detection has also received considerable attention. Bixler and D’Mello (2016) showed that gaze features—including fixation duration, saccade patterns, and gaze dispersion—could predict mind wandering during computerised reading with above-chance accuracy. More recent work has leveraged deep learning models to estimate gaze direction from standard webcam images without dedicated eye-tracking hardware (Zhang et al., 2017; Krafka et al., 2016), significantly reducing the barrier to deployment.</w:t>
      </w:r>
    </w:p>
    <w:p>
      <w:pPr>
        <w:spacing w:after="200" w:line="360"/>
        <w:jc w:val="both"/>
      </w:pPr>
      <w:r>
        <w:rPr>
          <w:rFonts w:ascii="Times New Roman" w:cs="Times New Roman" w:eastAsia="Times New Roman" w:hAnsi="Times New Roman"/>
          <w:sz w:val="24"/>
          <w:szCs w:val="24"/>
        </w:rPr>
        <w:t xml:space="preserve">Multimodal approaches that combine multiple signal types have shown promise in improving detection accuracy. Dewan et al. (2019) conducted a comprehensive survey of engagement detection methods in online learning, concluding that systems combining facial, gaze, and interaction features consistently outperformed unimodal approaches. Similarly, Sharma et al. (2019) found that integrating physiological, behavioural, and performance data yielded more robust engagement predictions than any single modality. These findings provide strong empirical motivation for the multimodal design of DeepFocus, which combines visual signals (face detection, head pose estimation) with behavioural signals (keyboard, mouse, tab activity) to achieve more reliable concentration classification.</w:t>
      </w:r>
    </w:p>
    <w:p>
      <w:pPr>
        <w:spacing w:after="200" w:line="360"/>
        <w:jc w:val="both"/>
      </w:pPr>
      <w:r>
        <w:rPr>
          <w:rFonts w:ascii="Times New Roman" w:cs="Times New Roman" w:eastAsia="Times New Roman" w:hAnsi="Times New Roman"/>
          <w:sz w:val="24"/>
          <w:szCs w:val="24"/>
        </w:rPr>
        <w:t xml:space="preserve">However, the majority of computational attention detection systems described in the literature have been implemented in controlled laboratory settings or require dedicated software installations. Few have been designed for deployment in standard web browsers, where computational resources are limited and privacy constraints are more stringent. This gap in the literature—the absence of lightweight, browser-native, multimodal concentration detection systems—is precisely what DeepFocus seeks to address.</w:t>
      </w:r>
    </w:p>
    <w:p>
      <w:pPr>
        <w:pStyle w:val="Heading2"/>
        <w:spacing w:before="360" w:after="240"/>
      </w:pPr>
      <w:r>
        <w:rPr>
          <w:rFonts w:ascii="Times New Roman" w:cs="Times New Roman" w:eastAsia="Times New Roman" w:hAnsi="Times New Roman"/>
          <w:b/>
          <w:bCs/>
          <w:sz w:val="28"/>
          <w:szCs w:val="28"/>
        </w:rPr>
        <w:t xml:space="preserve">2.3 Summary of Theoretical and Measurement Foundations</w:t>
      </w:r>
    </w:p>
    <w:p>
      <w:pPr>
        <w:spacing w:after="200" w:line="360"/>
        <w:jc w:val="both"/>
      </w:pPr>
      <w:r>
        <w:rPr>
          <w:rFonts w:ascii="Times New Roman" w:cs="Times New Roman" w:eastAsia="Times New Roman" w:hAnsi="Times New Roman"/>
          <w:sz w:val="24"/>
          <w:szCs w:val="24"/>
        </w:rPr>
        <w:t xml:space="preserve">The literature reviewed in the preceding sections establishes that concentration is a multidimensional construct rooted in sustained attention theory, operationalisable through observable behavioural and visual indicators. Traditional measurement approaches—self-reports, physiological monitoring, and manual observation—each present limitations in terms of scalability, intrusiveness, or ecological validity that render them unsuitable as standalone methods for real-time, remote concentration detection. Computational approaches using machine learning and computer vision have demonstrated the feasibility of automated attention detection, with multimodal systems consistently outperforming unimodal alternatives. However, existing systems predominantly operate in controlled environments or require specialised hardware, limiting their practical applicability. The following sections examine the specific technical components that DeepFocus employs to bridge this gap, beginning with gaze estimation and face detection technologies.</w:t>
      </w:r>
    </w:p>
    <w:p>
      <w:pPr>
        <w:pStyle w:val="Heading2"/>
        <w:spacing w:before="360" w:after="240"/>
      </w:pPr>
      <w:r>
        <w:rPr>
          <w:rFonts w:ascii="Times New Roman" w:cs="Times New Roman" w:eastAsia="Times New Roman" w:hAnsi="Times New Roman"/>
          <w:b/>
          <w:bCs/>
          <w:sz w:val="28"/>
          <w:szCs w:val="28"/>
        </w:rPr>
        <w:t xml:space="preserve">2.4 Gaze Estimation and Face Detection Technologies</w:t>
      </w:r>
    </w:p>
    <w:p>
      <w:pPr>
        <w:spacing w:after="200" w:line="360"/>
        <w:jc w:val="both"/>
      </w:pPr>
      <w:r>
        <w:rPr>
          <w:rFonts w:ascii="Times New Roman" w:cs="Times New Roman" w:eastAsia="Times New Roman" w:hAnsi="Times New Roman"/>
          <w:sz w:val="24"/>
          <w:szCs w:val="24"/>
        </w:rPr>
        <w:t xml:space="preserve">Visual attention monitoring is a cornerstone of concentration detection systems. The direction in which a user is looking, whether their face is present and oriented toward a screen, and whether their eyes are open or closed all serve as strong proxies for attentional engagement. This section reviews the evolution of face detection and gaze estimation techniques, from classical computer vision methods to modern deep learning approaches, with particular attention to lightweight models suitable for browser-based deployment.</w:t>
      </w:r>
    </w:p>
    <w:p>
      <w:pPr>
        <w:pStyle w:val="Heading3"/>
        <w:spacing w:before="280" w:after="200"/>
      </w:pPr>
      <w:r>
        <w:rPr>
          <w:rFonts w:ascii="Times New Roman" w:cs="Times New Roman" w:eastAsia="Times New Roman" w:hAnsi="Times New Roman"/>
          <w:b/>
          <w:bCs/>
          <w:sz w:val="24"/>
          <w:szCs w:val="24"/>
        </w:rPr>
        <w:t xml:space="preserve">2.4.1 Face Detection: From Viola-Jones to Deep Learning</w:t>
      </w:r>
    </w:p>
    <w:p>
      <w:pPr>
        <w:spacing w:after="200" w:line="360"/>
        <w:jc w:val="both"/>
      </w:pPr>
      <w:r>
        <w:rPr>
          <w:rFonts w:ascii="Times New Roman" w:cs="Times New Roman" w:eastAsia="Times New Roman" w:hAnsi="Times New Roman"/>
          <w:sz w:val="24"/>
          <w:szCs w:val="24"/>
        </w:rPr>
        <w:t xml:space="preserve">Face detection—the task of identifying and localising human faces within an image—is a prerequisite for any vision-based attention monitoring system. The Viola-Jones framework (Viola and Jones, 2001) represented a landmark contribution, introducing a cascade classifier using Haar-like features that could detect faces in real time. This algorithm dominated the field for over a decade due to its computational efficiency and was integrated into widely used libraries such as OpenCV (Bradski, 2000). However, the method is sensitive to variations in pose, illumination, and occlusion, and it struggles with non-frontal faces—a significant limitation for attention monitoring, where users may turn their heads away from the screen.</w:t>
      </w:r>
    </w:p>
    <w:p>
      <w:pPr>
        <w:spacing w:after="200" w:line="360"/>
        <w:jc w:val="both"/>
      </w:pPr>
      <w:r>
        <w:rPr>
          <w:rFonts w:ascii="Times New Roman" w:cs="Times New Roman" w:eastAsia="Times New Roman" w:hAnsi="Times New Roman"/>
          <w:sz w:val="24"/>
          <w:szCs w:val="24"/>
        </w:rPr>
        <w:t xml:space="preserve">The advent of deep learning fundamentally transformed face detection. Convolutional neural network (CNN) based detectors such as Multi-task Cascaded Convolutional Networks (MTCNN) (Zhang et al., 2016a) and RetinaFace (Deng et al., 2020) achieved substantially higher accuracy across diverse conditions, including varying poses, occlusions, and lighting environments. MTCNN introduced a three-stage cascade architecture that simultaneously performs face detection, bounding box regression, and facial landmark localisation, making it particularly useful for downstream tasks such as gaze estimation and head pose analysis. RetinaFace further advanced the state of the art by incorporating a single-stage dense face localisation approach with multi-task learning, achieving robust performance even on challenging benchmarks such as WIDER FACE (Yang et al., 2016).</w:t>
      </w:r>
    </w:p>
    <w:p>
      <w:pPr>
        <w:spacing w:after="200" w:line="360"/>
        <w:jc w:val="both"/>
      </w:pPr>
      <w:r>
        <w:rPr>
          <w:rFonts w:ascii="Times New Roman" w:cs="Times New Roman" w:eastAsia="Times New Roman" w:hAnsi="Times New Roman"/>
          <w:sz w:val="24"/>
          <w:szCs w:val="24"/>
        </w:rPr>
        <w:t xml:space="preserve">For browser-based deployment, however, the computational demands of these deep learning models pose challenges. This has motivated the development of lightweight face detection models optimised for edge and mobile environments. BlazeFace (Bazarevsky et al., 2019), developed by Google for the MediaPipe framework, is a single-shot detector specifically designed for mobile GPU inference. It achieves near real-time performance on mobile devices with a model size of under 1 MB, making it suitable for in-browser execution via TensorFlow.js or the MediaPipe JavaScript API. DeepFocus leverages this category of lightweight models to perform face detection directly within the browser, avoiding the need for server-side processing and thereby preserving user privacy.</w:t>
      </w:r>
    </w:p>
    <w:p>
      <w:pPr>
        <w:pStyle w:val="Heading3"/>
        <w:spacing w:before="280" w:after="200"/>
      </w:pPr>
      <w:r>
        <w:rPr>
          <w:rFonts w:ascii="Times New Roman" w:cs="Times New Roman" w:eastAsia="Times New Roman" w:hAnsi="Times New Roman"/>
          <w:b/>
          <w:bCs/>
          <w:sz w:val="24"/>
          <w:szCs w:val="24"/>
        </w:rPr>
        <w:t xml:space="preserve">2.4.2 Facial Landmark Detection and Head Pose Estimation</w:t>
      </w:r>
    </w:p>
    <w:p>
      <w:pPr>
        <w:spacing w:after="200" w:line="360"/>
        <w:jc w:val="both"/>
      </w:pPr>
      <w:r>
        <w:rPr>
          <w:rFonts w:ascii="Times New Roman" w:cs="Times New Roman" w:eastAsia="Times New Roman" w:hAnsi="Times New Roman"/>
          <w:sz w:val="24"/>
          <w:szCs w:val="24"/>
        </w:rPr>
        <w:t xml:space="preserve">Beyond binary face detection, estimating the pose and orientation of the head provides richer information about visual attention. Head pose estimation—determining the three-dimensional orientation of the head in terms of yaw (horizontal rotation), pitch (vertical tilt), and roll (lateral tilt)—serves as a coarse but reliable proxy for gaze direction (Murphy-Chutorian and Trivedi, 2009). When a user’s head is oriented toward the screen, it is reasonable to infer that their visual attention is directed at the task; significant deviations in yaw or pitch suggest that the user is looking away.</w:t>
      </w:r>
    </w:p>
    <w:p>
      <w:pPr>
        <w:spacing w:after="200" w:line="360"/>
        <w:jc w:val="both"/>
      </w:pPr>
      <w:r>
        <w:rPr>
          <w:rFonts w:ascii="Times New Roman" w:cs="Times New Roman" w:eastAsia="Times New Roman" w:hAnsi="Times New Roman"/>
          <w:sz w:val="24"/>
          <w:szCs w:val="24"/>
        </w:rPr>
        <w:t xml:space="preserve">Head pose estimation typically relies on facial landmark detection as an intermediate step. Facial landmarks are a set of key points on the face—such as the corners of the eyes, the tip of the nose, and the edges of the mouth—that can be used to construct a geometric model of the face. Classical approaches employed shape models such as Active Appearance Models (AAMs) (Cootes et al., 2001) and Constrained Local Models (CLMs) (Cristinacce and Cootes, 2006), which fit a deformable template to the detected face region. These methods were effective but computationally intensive and sensitive to initialisation.</w:t>
      </w:r>
    </w:p>
    <w:p>
      <w:pPr>
        <w:spacing w:after="200" w:line="360"/>
        <w:jc w:val="both"/>
      </w:pPr>
      <w:r>
        <w:rPr>
          <w:rFonts w:ascii="Times New Roman" w:cs="Times New Roman" w:eastAsia="Times New Roman" w:hAnsi="Times New Roman"/>
          <w:sz w:val="24"/>
          <w:szCs w:val="24"/>
        </w:rPr>
        <w:t xml:space="preserve">Deep learning has significantly advanced landmark detection. The Face Alignment Network (FAN) (Bulat and Tzimiropoulos, 2017) introduced a stacked hourglass architecture that achieves state-of-the-art accuracy on standard benchmarks such as 300W (Sagonas et al., 2016). More recently, the MediaPipe Face Mesh model (Kartynnik et al., 2019) provides 468 three-dimensional facial landmarks in real time, enabling detailed reconstruction of facial geometry including head pose. Crucially, the Face Mesh model is optimised for mobile and browser environments, running efficiently on consumer-grade hardware through the MediaPipe JavaScript API. This makes it a strong candidate for the visual processing pipeline of DeepFocus, as it provides both face detection and dense landmark estimation in a single lightweight inference step.</w:t>
      </w:r>
    </w:p>
    <w:p>
      <w:pPr>
        <w:spacing w:after="200" w:line="360"/>
        <w:jc w:val="both"/>
      </w:pPr>
      <w:r>
        <w:rPr>
          <w:rFonts w:ascii="Times New Roman" w:cs="Times New Roman" w:eastAsia="Times New Roman" w:hAnsi="Times New Roman"/>
          <w:sz w:val="24"/>
          <w:szCs w:val="24"/>
        </w:rPr>
        <w:t xml:space="preserve">Given the detected landmarks, head pose can be computed using the Perspective-n-Point (PnP) algorithm (Lepetit et al., 2009), which estimates the 3D rotation and translation of the head relative to the camera by mapping a set of known 3D facial reference points to their corresponding 2D projections in the image. This geometric approach is well-established and can be implemented efficiently in JavaScript using libraries such as OpenCV.js. By computing yaw, pitch, and roll angles from MediaPipe landmarks, DeepFocus can determine whether the user is facing the screen and infer visual engagement accordingly.</w:t>
      </w:r>
    </w:p>
    <w:p>
      <w:pPr>
        <w:pStyle w:val="Heading3"/>
        <w:spacing w:before="280" w:after="200"/>
      </w:pPr>
      <w:r>
        <w:rPr>
          <w:rFonts w:ascii="Times New Roman" w:cs="Times New Roman" w:eastAsia="Times New Roman" w:hAnsi="Times New Roman"/>
          <w:b/>
          <w:bCs/>
          <w:sz w:val="24"/>
          <w:szCs w:val="24"/>
        </w:rPr>
        <w:t xml:space="preserve">2.4.3 Gaze Estimation Approaches</w:t>
      </w:r>
    </w:p>
    <w:p>
      <w:pPr>
        <w:spacing w:after="200" w:line="360"/>
        <w:jc w:val="both"/>
      </w:pPr>
      <w:r>
        <w:rPr>
          <w:rFonts w:ascii="Times New Roman" w:cs="Times New Roman" w:eastAsia="Times New Roman" w:hAnsi="Times New Roman"/>
          <w:sz w:val="24"/>
          <w:szCs w:val="24"/>
        </w:rPr>
        <w:t xml:space="preserve">While head pose provides a coarse estimate of visual attention direction, gaze estimation aims to determine the precise point on the screen at which a user is looking. This is a substantially more challenging problem, as eye movements can be independent of head orientation. Gaze estimation methods can be broadly categorised into model-based and appearance-based approaches.</w:t>
      </w:r>
    </w:p>
    <w:p>
      <w:pPr>
        <w:spacing w:after="200" w:line="360"/>
        <w:jc w:val="both"/>
      </w:pPr>
      <w:r>
        <w:rPr>
          <w:rFonts w:ascii="Times New Roman" w:cs="Times New Roman" w:eastAsia="Times New Roman" w:hAnsi="Times New Roman"/>
          <w:sz w:val="24"/>
          <w:szCs w:val="24"/>
        </w:rPr>
        <w:t xml:space="preserve">Model-based approaches construct an explicit geometric model of the eye and compute gaze direction from parameters such as the pupil centre, corneal reflections, and the optical axis of the eye. These methods typically require dedicated hardware, such as infrared illuminators and high-resolution cameras, to capture the necessary features with sufficient precision (Hansen and Ji, 2010). Commercial eye trackers from manufacturers such as Tobii and EyeLink employ model-based approaches and achieve high accuracy (typically below 1 degree of visual angle), but their cost and hardware requirements make them impractical for browser-based applications.</w:t>
      </w:r>
    </w:p>
    <w:p>
      <w:pPr>
        <w:spacing w:after="200" w:line="360"/>
        <w:jc w:val="both"/>
      </w:pPr>
      <w:r>
        <w:rPr>
          <w:rFonts w:ascii="Times New Roman" w:cs="Times New Roman" w:eastAsia="Times New Roman" w:hAnsi="Times New Roman"/>
          <w:sz w:val="24"/>
          <w:szCs w:val="24"/>
        </w:rPr>
        <w:t xml:space="preserve">Appearance-based approaches, by contrast, learn a direct mapping from eye or face images to gaze coordinates using machine learning. These methods do not require specialised hardware and can operate with standard webcams, making them significantly more accessible. Early appearance-based work used support vector regression and random forests on hand-crafted features extracted from eye regions (Lu et al., 2014). The breakthrough in this area came with deep learning: Zhang et al. (2015) demonstrated that CNNs trained on large-scale gaze datasets could estimate gaze direction from full-face images with meaningful accuracy using only a laptop webcam. Subsequent models, including GazeNet (Zhang et al., 2017) and the iTracker architecture (Krafka et al., 2016), further improved accuracy and demonstrated cross-device generalisation.</w:t>
      </w:r>
    </w:p>
    <w:p>
      <w:pPr>
        <w:spacing w:after="200" w:line="360"/>
        <w:jc w:val="both"/>
      </w:pPr>
      <w:r>
        <w:rPr>
          <w:rFonts w:ascii="Times New Roman" w:cs="Times New Roman" w:eastAsia="Times New Roman" w:hAnsi="Times New Roman"/>
          <w:sz w:val="24"/>
          <w:szCs w:val="24"/>
        </w:rPr>
        <w:t xml:space="preserve">A particularly relevant development for browser-based systems is WebGazer.js (Papoutsaki et al., 2016), an open-source JavaScript library that performs real-time gaze prediction within web browsers. WebGazer uses appearance-based regression trained on user interaction data (e.g., click positions as implicit gaze targets) to adapt to individual users without explicit calibration. While its accuracy (approximately 4–5 cm on a typical monitor) is considerably lower than that of dedicated eye trackers, it operates entirely within the browser using the webcam API, requiring no additional hardware or software installation. This trade-off between accuracy and accessibility is central to the design philosophy of DeepFocus: the system prioritises broad deployability and non-invasive operation over laboratory-grade precision.</w:t>
      </w:r>
    </w:p>
    <w:p>
      <w:pPr>
        <w:pStyle w:val="Heading3"/>
        <w:spacing w:before="280" w:after="200"/>
      </w:pPr>
      <w:r>
        <w:rPr>
          <w:rFonts w:ascii="Times New Roman" w:cs="Times New Roman" w:eastAsia="Times New Roman" w:hAnsi="Times New Roman"/>
          <w:b/>
          <w:bCs/>
          <w:sz w:val="24"/>
          <w:szCs w:val="24"/>
        </w:rPr>
        <w:t xml:space="preserve">2.4.4 MediaPipe as a Unified Visual Processing Framework</w:t>
      </w:r>
    </w:p>
    <w:p>
      <w:pPr>
        <w:spacing w:after="200" w:line="360"/>
        <w:jc w:val="both"/>
      </w:pPr>
      <w:r>
        <w:rPr>
          <w:rFonts w:ascii="Times New Roman" w:cs="Times New Roman" w:eastAsia="Times New Roman" w:hAnsi="Times New Roman"/>
          <w:sz w:val="24"/>
          <w:szCs w:val="24"/>
        </w:rPr>
        <w:t xml:space="preserve">Google’s MediaPipe (Lugaresi et al., 2019) has emerged as a leading open-source framework for building perception pipelines that run efficiently on consumer devices. MediaPipe provides a collection of pre-trained models for tasks including face detection (BlazeFace), facial landmark estimation (Face Mesh), hand tracking, and pose estimation, all optimised for real-time inference on mobile and web platforms.</w:t>
      </w:r>
    </w:p>
    <w:p>
      <w:pPr>
        <w:spacing w:after="200" w:line="360"/>
        <w:jc w:val="both"/>
      </w:pPr>
      <w:r>
        <w:rPr>
          <w:rFonts w:ascii="Times New Roman" w:cs="Times New Roman" w:eastAsia="Times New Roman" w:hAnsi="Times New Roman"/>
          <w:sz w:val="24"/>
          <w:szCs w:val="24"/>
        </w:rPr>
        <w:t xml:space="preserve">For the purposes of DeepFocus, MediaPipe offers several significant advantages. First, its Face Mesh model provides 468 three-dimensional landmarks from a single RGB camera frame, enabling simultaneous face detection, head pose estimation, and eye region analysis without multiple separate models. Second, the framework is designed for cross-platform deployment and provides official JavaScript bindings, allowing integration directly into web applications. Third, the models are optimised for low-latency inference, with the Face Mesh model achieving frame rates exceeding 30 FPS on modern consumer hardware (Kartynnik et al., 2019), which is sufficient for real-time attention monitoring.</w:t>
      </w:r>
    </w:p>
    <w:p>
      <w:pPr>
        <w:spacing w:after="200" w:line="360"/>
        <w:jc w:val="both"/>
      </w:pPr>
      <w:r>
        <w:rPr>
          <w:rFonts w:ascii="Times New Roman" w:cs="Times New Roman" w:eastAsia="Times New Roman" w:hAnsi="Times New Roman"/>
          <w:sz w:val="24"/>
          <w:szCs w:val="24"/>
        </w:rPr>
        <w:t xml:space="preserve">However, MediaPipe is not without limitations. The accuracy of its landmark predictions degrades under challenging conditions such as extreme head poses, poor lighting, partial occlusions (e.g., from hands or headphones), and low-resolution webcam feeds (Guo et al., 2021). Additionally, while Face Mesh provides dense facial landmarks, it does not directly output a gaze direction vector; gaze must be inferred through additional computation, such as PnP-based head pose estimation or iris-based gaze approximation using the iris landmarks introduced in later MediaPipe updates. These considerations inform the design of DeepFocus, which uses head pose as the primary visual attention indicator while acknowledging its limitations as a proxy for precise gaze direction.</w:t>
      </w:r>
    </w:p>
    <w:p>
      <w:pPr>
        <w:pStyle w:val="Heading3"/>
        <w:spacing w:before="280" w:after="200"/>
      </w:pPr>
      <w:r>
        <w:rPr>
          <w:rFonts w:ascii="Times New Roman" w:cs="Times New Roman" w:eastAsia="Times New Roman" w:hAnsi="Times New Roman"/>
          <w:b/>
          <w:bCs/>
          <w:sz w:val="24"/>
          <w:szCs w:val="24"/>
        </w:rPr>
        <w:t xml:space="preserve">2.4.5 Comparative Analysis of Visual Attention Technologies</w:t>
      </w:r>
    </w:p>
    <w:p>
      <w:pPr>
        <w:spacing w:after="200" w:line="360"/>
        <w:jc w:val="both"/>
      </w:pPr>
      <w:r>
        <w:rPr>
          <w:rFonts w:ascii="Times New Roman" w:cs="Times New Roman" w:eastAsia="Times New Roman" w:hAnsi="Times New Roman"/>
          <w:sz w:val="24"/>
          <w:szCs w:val="24"/>
        </w:rPr>
        <w:t xml:space="preserve">The choice of visual attention technology involves fundamental trade-offs between accuracy, computational cost, hardware requirements, and deployment flexibility. Research-grade eye trackers (e.g., Tobii Pro, EyeLink) offer the highest accuracy but are prohibitively expensive and impractical for remote, unsupervised use. Appearance-based deep gaze models (e.g., GazeNet, iTracker) achieve reasonable accuracy from webcam images but require significant computational resources for inference, often exceeding what is feasible in a browser environment. WebGazer.js provides a fully browser-native solution but with reduced accuracy and a dependence on user-specific calibration through interaction data.</w:t>
      </w:r>
    </w:p>
    <w:p>
      <w:pPr>
        <w:spacing w:after="200" w:line="360"/>
        <w:jc w:val="both"/>
      </w:pPr>
      <w:r>
        <w:rPr>
          <w:rFonts w:ascii="Times New Roman" w:cs="Times New Roman" w:eastAsia="Times New Roman" w:hAnsi="Times New Roman"/>
          <w:sz w:val="24"/>
          <w:szCs w:val="24"/>
        </w:rPr>
        <w:t xml:space="preserve">Head pose estimation via MediaPipe Face Mesh occupies a pragmatic middle ground for the goals of DeepFocus. While it does not provide pixel-level gaze coordinates, it reliably indicates whether the user is oriented toward the screen—the most critical visual signal for coarse concentration classification. Its computational efficiency allows real-time processing within the browser, and its privacy-preserving design (all processing occurs locally, with no image data transmitted) aligns with the ethical requirements of the project. The trade-off is that head pose alone cannot distinguish between a user looking at the task content and a user staring at a different region of the screen, nor can it detect mind wandering while the user remains physically oriented toward the display. These limitations motivate the multimodal approach of DeepFocus, where visual signals are complemented by behavioural indicators to achieve more robust classification.</w:t>
      </w:r>
    </w:p>
    <w:p>
      <w:pPr>
        <w:pStyle w:val="Heading2"/>
        <w:spacing w:before="360" w:after="240"/>
      </w:pPr>
      <w:r>
        <w:rPr>
          <w:rFonts w:ascii="Times New Roman" w:cs="Times New Roman" w:eastAsia="Times New Roman" w:hAnsi="Times New Roman"/>
          <w:b/>
          <w:bCs/>
          <w:sz w:val="28"/>
          <w:szCs w:val="28"/>
        </w:rPr>
        <w:t xml:space="preserve">2.5 Summary of Gaze and Face Detection Technologies</w:t>
      </w:r>
    </w:p>
    <w:p>
      <w:pPr>
        <w:spacing w:after="200" w:line="360"/>
        <w:jc w:val="both"/>
      </w:pPr>
      <w:r>
        <w:rPr>
          <w:rFonts w:ascii="Times New Roman" w:cs="Times New Roman" w:eastAsia="Times New Roman" w:hAnsi="Times New Roman"/>
          <w:sz w:val="24"/>
          <w:szCs w:val="24"/>
        </w:rPr>
        <w:t xml:space="preserve">This section has reviewed the evolution of face detection and gaze estimation technologies from classical computer vision to modern deep learning approaches, with particular focus on their suitability for browser-based deployment. Lightweight models such as BlazeFace and MediaPipe Face Mesh enable real-time face detection and head pose estimation within web browsers, providing a practical foundation for visual attention monitoring without requiring specialised hardware. Appearance-based gaze estimation has advanced significantly, with browser-native solutions such as WebGazer.js demonstrating feasibility, though at reduced accuracy compared to dedicated hardware. DeepFocus adopts MediaPipe Face Mesh as its primary visual processing component, using head pose estimation derived from 3D facial landmarks as a proxy for visual attention direction. This choice reflects a deliberate prioritisation of deployability, privacy, and computational efficiency over laboratory-grade precision. The inherent limitations of head pose as a sole attention indicator further justify the multimodal design of DeepFocus, which integrates visual signals with the behavioural modalities examined in the following sections.</w:t>
      </w:r>
    </w:p>
    <w:p>
      <w:pPr>
        <w:pStyle w:val="Heading2"/>
        <w:spacing w:before="360" w:after="240"/>
      </w:pPr>
      <w:r>
        <w:rPr>
          <w:rFonts w:ascii="Times New Roman" w:cs="Times New Roman" w:eastAsia="Times New Roman" w:hAnsi="Times New Roman"/>
          <w:b/>
          <w:bCs/>
          <w:sz w:val="28"/>
          <w:szCs w:val="28"/>
        </w:rPr>
        <w:t xml:space="preserve">2.6 Keyboard and Mouse Behavioural Analysis</w:t>
      </w:r>
    </w:p>
    <w:p>
      <w:pPr>
        <w:spacing w:after="200" w:line="360"/>
        <w:jc w:val="both"/>
      </w:pPr>
      <w:r>
        <w:rPr>
          <w:rFonts w:ascii="Times New Roman" w:cs="Times New Roman" w:eastAsia="Times New Roman" w:hAnsi="Times New Roman"/>
          <w:sz w:val="24"/>
          <w:szCs w:val="24"/>
        </w:rPr>
        <w:t xml:space="preserve">Beyond visual cues, the patterns of interaction between a user and their computer provide rich signals about cognitive engagement. Keyboard and mouse activity are among the most readily accessible behavioural data sources in any computing environment, requiring no additional hardware or permissions beyond those already available through standard browser APIs. This section reviews the literature on using keyboard and mouse dynamics as indicators of cognitive and affective states, and evaluates their applicability to browser-based concentration detection.</w:t>
      </w:r>
    </w:p>
    <w:p>
      <w:pPr>
        <w:pStyle w:val="Heading3"/>
        <w:spacing w:before="280" w:after="200"/>
      </w:pPr>
      <w:r>
        <w:rPr>
          <w:rFonts w:ascii="Times New Roman" w:cs="Times New Roman" w:eastAsia="Times New Roman" w:hAnsi="Times New Roman"/>
          <w:b/>
          <w:bCs/>
          <w:sz w:val="24"/>
          <w:szCs w:val="24"/>
        </w:rPr>
        <w:t xml:space="preserve">2.6.1 Keystroke Dynamics and Cognitive Load</w:t>
      </w:r>
    </w:p>
    <w:p>
      <w:pPr>
        <w:spacing w:after="200" w:line="360"/>
        <w:jc w:val="both"/>
      </w:pPr>
      <w:r>
        <w:rPr>
          <w:rFonts w:ascii="Times New Roman" w:cs="Times New Roman" w:eastAsia="Times New Roman" w:hAnsi="Times New Roman"/>
          <w:sz w:val="24"/>
          <w:szCs w:val="24"/>
        </w:rPr>
        <w:t xml:space="preserve">Keystroke dynamics—the temporal patterns of key press and release events—have been studied extensively as indicators of both identity (for biometric authentication) and cognitive state. In the context of attention monitoring, the key insight is that typing patterns are modulated by cognitive load: as mental demands increase, typing speed tends to decrease and inter-key intervals become more variable (Epp et al., 2011). This relationship has been demonstrated across a range of tasks. Vizer et al. (2009) found that features derived from keystroke timing, including mean dwell time (the duration a key is held) and flight time (the interval between releasing one key and pressing the next), could distinguish between cognitive states with accuracy above chance.</w:t>
      </w:r>
    </w:p>
    <w:p>
      <w:pPr>
        <w:spacing w:after="200" w:line="360"/>
        <w:jc w:val="both"/>
      </w:pPr>
      <w:r>
        <w:rPr>
          <w:rFonts w:ascii="Times New Roman" w:cs="Times New Roman" w:eastAsia="Times New Roman" w:hAnsi="Times New Roman"/>
          <w:sz w:val="24"/>
          <w:szCs w:val="24"/>
        </w:rPr>
        <w:t xml:space="preserve">More recent studies have refined the relationship between typing behaviour and attentional states. Bannert and Mengelkamp (2013) demonstrated that periods of reduced typing activity during online learning correlated with self-reported mind wandering, while bursts of rapid typing were associated with task engagement. Kosch et al. (2023) employed keystroke dynamics as part of a multimodal system for detecting cognitive load during programming tasks, finding that typing features contributed meaningfully to classification accuracy when combined with physiological and visual signals.</w:t>
      </w:r>
    </w:p>
    <w:p>
      <w:pPr>
        <w:spacing w:after="200" w:line="360"/>
        <w:jc w:val="both"/>
      </w:pPr>
      <w:r>
        <w:rPr>
          <w:rFonts w:ascii="Times New Roman" w:cs="Times New Roman" w:eastAsia="Times New Roman" w:hAnsi="Times New Roman"/>
          <w:sz w:val="24"/>
          <w:szCs w:val="24"/>
        </w:rPr>
        <w:t xml:space="preserve">For DeepFocus, keystroke dynamics are particularly relevant because they are captured passively through standard JavaScript keyboard event listeners (keydown, keyup events), requiring no special permissions or hardware. However, the informativeness of keystroke features depends heavily on the nature of the task: typing-intensive tasks such as essay writing produce rich keystroke data, whereas reading or video-watching tasks produce minimal keyboard activity. This task dependence is a key limitation that motivates the combination of keyboard signals with other modalities in the DeepFocus framework.</w:t>
      </w:r>
    </w:p>
    <w:p>
      <w:pPr>
        <w:pStyle w:val="Heading3"/>
        <w:spacing w:before="280" w:after="200"/>
      </w:pPr>
      <w:r>
        <w:rPr>
          <w:rFonts w:ascii="Times New Roman" w:cs="Times New Roman" w:eastAsia="Times New Roman" w:hAnsi="Times New Roman"/>
          <w:b/>
          <w:bCs/>
          <w:sz w:val="24"/>
          <w:szCs w:val="24"/>
        </w:rPr>
        <w:t xml:space="preserve">2.6.2 Mouse Movement as an Indicator of Engagement</w:t>
      </w:r>
    </w:p>
    <w:p>
      <w:pPr>
        <w:spacing w:after="200" w:line="360"/>
        <w:jc w:val="both"/>
      </w:pPr>
      <w:r>
        <w:rPr>
          <w:rFonts w:ascii="Times New Roman" w:cs="Times New Roman" w:eastAsia="Times New Roman" w:hAnsi="Times New Roman"/>
          <w:sz w:val="24"/>
          <w:szCs w:val="24"/>
        </w:rPr>
        <w:t xml:space="preserve">Mouse movement patterns offer a complementary behavioural signal that is generated across a wider range of computer tasks than keyboard activity. Research has established that mouse dynamics—including cursor velocity, acceleration, trajectory curvature, and periods of inactivity—reflect underlying cognitive and affective processes. Yamauchi and Xiao (2018) demonstrated that mouse cursor trajectories carry emotional information, with distinct movement signatures associated with different affective states. Hibbeln et al. (2017) extended this work to the domain of human–computer interaction, showing that mouse movement features could infer user frustration and engagement with web interfaces.</w:t>
      </w:r>
    </w:p>
    <w:p>
      <w:pPr>
        <w:spacing w:after="200" w:line="360"/>
        <w:jc w:val="both"/>
      </w:pPr>
      <w:r>
        <w:rPr>
          <w:rFonts w:ascii="Times New Roman" w:cs="Times New Roman" w:eastAsia="Times New Roman" w:hAnsi="Times New Roman"/>
          <w:sz w:val="24"/>
          <w:szCs w:val="24"/>
        </w:rPr>
        <w:t xml:space="preserve">In the specific context of attention monitoring, mouse inactivity is a particularly salient feature. Extended periods without mouse movement may indicate that the user has stepped away from the computer, is engaged in a non-computer activity, or is deeply focused on reading content that does not require mouse interaction (Navalpakkam and Churchill, 2012). Conversely, rapid, erratic mouse movements may signal distraction, frustration, or aimless browsing. Huang et al. (2012) found that mouse cursor position on a web page correlated with visual attention as measured by eye tracking, suggesting that mouse position can serve as a crude proxy for gaze location in the absence of eye-tracking data.</w:t>
      </w:r>
    </w:p>
    <w:p>
      <w:pPr>
        <w:spacing w:after="200" w:line="360"/>
        <w:jc w:val="both"/>
      </w:pPr>
      <w:r>
        <w:rPr>
          <w:rFonts w:ascii="Times New Roman" w:cs="Times New Roman" w:eastAsia="Times New Roman" w:hAnsi="Times New Roman"/>
          <w:sz w:val="24"/>
          <w:szCs w:val="24"/>
        </w:rPr>
        <w:t xml:space="preserve">The ambiguity inherent in mouse movement interpretation—where inactivity could signal either deep focus or disengagement—parallels the challenge identified earlier for keyboard dynamics. This reinforces the rationale for DeepFocus’s multimodal approach: by combining mouse features with keyboard activity, visual signals, and tab-switching data, the system can disambiguate between superficially similar but cognitively distinct states.</w:t>
      </w:r>
    </w:p>
    <w:p>
      <w:pPr>
        <w:pStyle w:val="Heading3"/>
        <w:spacing w:before="280" w:after="200"/>
      </w:pPr>
      <w:r>
        <w:rPr>
          <w:rFonts w:ascii="Times New Roman" w:cs="Times New Roman" w:eastAsia="Times New Roman" w:hAnsi="Times New Roman"/>
          <w:b/>
          <w:bCs/>
          <w:sz w:val="24"/>
          <w:szCs w:val="24"/>
        </w:rPr>
        <w:t xml:space="preserve">2.6.3 Combined Keyboard-Mouse Analysis for Cognitive State Detection</w:t>
      </w:r>
    </w:p>
    <w:p>
      <w:pPr>
        <w:spacing w:after="200" w:line="360"/>
        <w:jc w:val="both"/>
      </w:pPr>
      <w:r>
        <w:rPr>
          <w:rFonts w:ascii="Times New Roman" w:cs="Times New Roman" w:eastAsia="Times New Roman" w:hAnsi="Times New Roman"/>
          <w:sz w:val="24"/>
          <w:szCs w:val="24"/>
        </w:rPr>
        <w:t xml:space="preserve">Several studies have demonstrated the value of combining keyboard and mouse features for more accurate cognitive state classification. Lim et al. (2014) developed a system that used keyboard and mouse interaction features to detect stress levels in office workers, achieving classification accuracy above 75% using random forest classifiers. Salmeron-Majadas et al. (2014) combined keyboard and mouse dynamics with facial expression analysis to detect student emotions during online learning, finding that the multimodal combination significantly outperformed any single modality.</w:t>
      </w:r>
    </w:p>
    <w:p>
      <w:pPr>
        <w:spacing w:after="200" w:line="360"/>
        <w:jc w:val="both"/>
      </w:pPr>
      <w:r>
        <w:rPr>
          <w:rFonts w:ascii="Times New Roman" w:cs="Times New Roman" w:eastAsia="Times New Roman" w:hAnsi="Times New Roman"/>
          <w:sz w:val="24"/>
          <w:szCs w:val="24"/>
        </w:rPr>
        <w:t xml:space="preserve">Pimenta et al. (2015) specifically investigated the relationship between keyboard and mouse patterns and attention levels during computer-based work. Their study found that features such as typing speed variance, mouse distance per unit time, and the ratio of active to idle periods were significantly correlated with self-reported attention levels. Importantly, they noted that the predictive power of these features increased when analysed over longer time windows (e.g., 5–10 minutes rather than 30 seconds), suggesting that concentration is better captured through sustained behavioural patterns rather than instantaneous measurements.</w:t>
      </w:r>
    </w:p>
    <w:p>
      <w:pPr>
        <w:spacing w:after="200" w:line="360"/>
        <w:jc w:val="both"/>
      </w:pPr>
      <w:r>
        <w:rPr>
          <w:rFonts w:ascii="Times New Roman" w:cs="Times New Roman" w:eastAsia="Times New Roman" w:hAnsi="Times New Roman"/>
          <w:sz w:val="24"/>
          <w:szCs w:val="24"/>
        </w:rPr>
        <w:t xml:space="preserve">These findings have direct implications for the design of DeepFocus. The system captures keyboard events (keydown, keyup) and mouse events (mousemove, click) through JavaScript event listeners and aggregates them over configurable time windows to compute features such as typing rate, mouse velocity, click frequency, and idle time. These features are then integrated with visual and browser-based signals to produce a composite concentration score. The time-windowed approach aligns with the literature’s recommendation for sustained pattern analysis rather than momentary snapshots.</w:t>
      </w:r>
    </w:p>
    <w:p>
      <w:pPr>
        <w:pStyle w:val="Heading2"/>
        <w:spacing w:before="360" w:after="240"/>
      </w:pPr>
      <w:r>
        <w:rPr>
          <w:rFonts w:ascii="Times New Roman" w:cs="Times New Roman" w:eastAsia="Times New Roman" w:hAnsi="Times New Roman"/>
          <w:b/>
          <w:bCs/>
          <w:sz w:val="28"/>
          <w:szCs w:val="28"/>
        </w:rPr>
        <w:t xml:space="preserve">2.7 Summary of Keyboard and Mouse Behavioural Analysis</w:t>
      </w:r>
    </w:p>
    <w:p>
      <w:pPr>
        <w:spacing w:after="200" w:line="360"/>
        <w:jc w:val="both"/>
      </w:pPr>
      <w:r>
        <w:rPr>
          <w:rFonts w:ascii="Times New Roman" w:cs="Times New Roman" w:eastAsia="Times New Roman" w:hAnsi="Times New Roman"/>
          <w:sz w:val="24"/>
          <w:szCs w:val="24"/>
        </w:rPr>
        <w:t xml:space="preserve">Keyboard and mouse dynamics provide accessible, non-invasive behavioural signals that correlate with cognitive load, engagement, and attentional states. Keystroke timing features such as dwell time and flight time reflect typing effort modulated by cognitive demands, while mouse movement characteristics including velocity, trajectory, and idle periods indicate user engagement with the interface. Combined keyboard-mouse analysis has been shown to improve cognitive state classification accuracy over single-modality approaches. However, the informativeness of these signals is task-dependent and their interpretation is often ambiguous when considered in isolation. DeepFocus addresses these limitations by integrating keyboard and mouse features with visual signals and browser activity data within a time-windowed analysis framework, enabling more robust concentration estimation across diverse task types.</w:t>
      </w:r>
    </w:p>
    <w:p>
      <w:pPr>
        <w:pStyle w:val="Heading2"/>
        <w:spacing w:before="360" w:after="240"/>
      </w:pPr>
      <w:r>
        <w:rPr>
          <w:rFonts w:ascii="Times New Roman" w:cs="Times New Roman" w:eastAsia="Times New Roman" w:hAnsi="Times New Roman"/>
          <w:b/>
          <w:bCs/>
          <w:sz w:val="28"/>
          <w:szCs w:val="28"/>
        </w:rPr>
        <w:t xml:space="preserve">2.8 Browser-Based Monitoring and Tab Activity</w:t>
      </w:r>
    </w:p>
    <w:p>
      <w:pPr>
        <w:spacing w:after="200" w:line="360"/>
        <w:jc w:val="both"/>
      </w:pPr>
      <w:r>
        <w:rPr>
          <w:rFonts w:ascii="Times New Roman" w:cs="Times New Roman" w:eastAsia="Times New Roman" w:hAnsi="Times New Roman"/>
          <w:sz w:val="24"/>
          <w:szCs w:val="24"/>
        </w:rPr>
        <w:t xml:space="preserve">The web browser serves as the primary interface through which users interact with digital content during study and work sessions. As such, the browser itself offers a rich source of behavioural data that can inform concentration detection. This section reviews the APIs and techniques available for monitoring user behaviour within web browsers, with particular focus on tab visibility, window focus, and the constraints imposed by browser security models.</w:t>
      </w:r>
    </w:p>
    <w:p>
      <w:pPr>
        <w:pStyle w:val="Heading3"/>
        <w:spacing w:before="280" w:after="200"/>
      </w:pPr>
      <w:r>
        <w:rPr>
          <w:rFonts w:ascii="Times New Roman" w:cs="Times New Roman" w:eastAsia="Times New Roman" w:hAnsi="Times New Roman"/>
          <w:b/>
          <w:bCs/>
          <w:sz w:val="24"/>
          <w:szCs w:val="24"/>
        </w:rPr>
        <w:t xml:space="preserve">2.8.1 The Page Visibility API</w:t>
      </w:r>
    </w:p>
    <w:p>
      <w:pPr>
        <w:spacing w:after="200" w:line="360"/>
        <w:jc w:val="both"/>
      </w:pPr>
      <w:r>
        <w:rPr>
          <w:rFonts w:ascii="Times New Roman" w:cs="Times New Roman" w:eastAsia="Times New Roman" w:hAnsi="Times New Roman"/>
          <w:sz w:val="24"/>
          <w:szCs w:val="24"/>
        </w:rPr>
        <w:t xml:space="preserve">The Page Visibility API is a W3C specification that allows web applications to determine whether their page is currently visible to the user (W3C, 2013). The API provides a document.visibilityState property that returns either ‘visible’ or ‘hidden’, and fires a visibilitychange event whenever this state transitions. A page is considered hidden when the user switches to a different tab, minimises the browser window, or locks the screen.</w:t>
      </w:r>
    </w:p>
    <w:p>
      <w:pPr>
        <w:spacing w:after="200" w:line="360"/>
        <w:jc w:val="both"/>
      </w:pPr>
      <w:r>
        <w:rPr>
          <w:rFonts w:ascii="Times New Roman" w:cs="Times New Roman" w:eastAsia="Times New Roman" w:hAnsi="Times New Roman"/>
          <w:sz w:val="24"/>
          <w:szCs w:val="24"/>
        </w:rPr>
        <w:t xml:space="preserve">For concentration monitoring, the Page Visibility API provides a direct, unambiguous signal of task disengagement: if the user has navigated away from the application tab, they are by definition not focused on the task presented in that tab. This binary signal is among the strongest individual indicators available to DeepFocus, as it requires no inference or probabilistic reasoning—tab switching is an observable, discrete event with clear attentional implications. Estrin and Robilliard (2016) demonstrated that tab-switching frequency during online examinations correlated significantly with lower performance, providing empirical support for using tab visibility as an attention proxy.</w:t>
      </w:r>
    </w:p>
    <w:p>
      <w:pPr>
        <w:spacing w:after="200" w:line="360"/>
        <w:jc w:val="both"/>
      </w:pPr>
      <w:r>
        <w:rPr>
          <w:rFonts w:ascii="Times New Roman" w:cs="Times New Roman" w:eastAsia="Times New Roman" w:hAnsi="Times New Roman"/>
          <w:sz w:val="24"/>
          <w:szCs w:val="24"/>
        </w:rPr>
        <w:t xml:space="preserve">However, the Page Visibility API has limitations. It cannot detect what the user is doing in other tabs or applications, only that they have left the monitored page. Additionally, it does not capture within-tab distractions, such as a user staring at their phone while the browser tab remains in the foreground. These limitations are precisely why DeepFocus combines tab visibility with visual and input-based signals to construct a more complete picture of user attention.</w:t>
      </w:r>
    </w:p>
    <w:p>
      <w:pPr>
        <w:pStyle w:val="Heading3"/>
        <w:spacing w:before="280" w:after="200"/>
      </w:pPr>
      <w:r>
        <w:rPr>
          <w:rFonts w:ascii="Times New Roman" w:cs="Times New Roman" w:eastAsia="Times New Roman" w:hAnsi="Times New Roman"/>
          <w:b/>
          <w:bCs/>
          <w:sz w:val="24"/>
          <w:szCs w:val="24"/>
        </w:rPr>
        <w:t xml:space="preserve">2.8.2 The Focus and Blur Events</w:t>
      </w:r>
    </w:p>
    <w:p>
      <w:pPr>
        <w:spacing w:after="200" w:line="360"/>
        <w:jc w:val="both"/>
      </w:pPr>
      <w:r>
        <w:rPr>
          <w:rFonts w:ascii="Times New Roman" w:cs="Times New Roman" w:eastAsia="Times New Roman" w:hAnsi="Times New Roman"/>
          <w:sz w:val="24"/>
          <w:szCs w:val="24"/>
        </w:rPr>
        <w:t xml:space="preserve">Complementing the Page Visibility API, the window focus and blur events provide additional signals about user engagement. The focus event fires when the browser window gains focus (i.e., the user clicks on or switches to the browser), while blur fires when the window loses focus (i.e., the user switches to another application). Unlike the Page Visibility API, which only tracks tab-level visibility, focus and blur events capture application-level context switching, including switching from the browser to other desktop applications (MDN Web Docs, 2023).</w:t>
      </w:r>
    </w:p>
    <w:p>
      <w:pPr>
        <w:spacing w:after="200" w:line="360"/>
        <w:jc w:val="both"/>
      </w:pPr>
      <w:r>
        <w:rPr>
          <w:rFonts w:ascii="Times New Roman" w:cs="Times New Roman" w:eastAsia="Times New Roman" w:hAnsi="Times New Roman"/>
          <w:sz w:val="24"/>
          <w:szCs w:val="24"/>
        </w:rPr>
        <w:t xml:space="preserve">The combination of Page Visibility and focus/blur events allows DeepFocus to distinguish between different types of context switches: switching between browser tabs (detected by visibilitychange) and switching away from the browser entirely (detected by blur). Research suggests that these different types of task switching have different cognitive costs: Monsell (2003) found that switching between tasks incurs measurable cognitive overhead, while Mark et al. (2008) showed that switching to entirely different applications is associated with greater attentional disruption than switching between related browser tabs. By capturing both types of switching events, DeepFocus can weight them differently in its concentration classification model.</w:t>
      </w:r>
    </w:p>
    <w:p>
      <w:pPr>
        <w:pStyle w:val="Heading3"/>
        <w:spacing w:before="280" w:after="200"/>
      </w:pPr>
      <w:r>
        <w:rPr>
          <w:rFonts w:ascii="Times New Roman" w:cs="Times New Roman" w:eastAsia="Times New Roman" w:hAnsi="Times New Roman"/>
          <w:b/>
          <w:bCs/>
          <w:sz w:val="24"/>
          <w:szCs w:val="24"/>
        </w:rPr>
        <w:t xml:space="preserve">2.8.3 Privacy Constraints and Browser Security Models</w:t>
      </w:r>
    </w:p>
    <w:p>
      <w:pPr>
        <w:spacing w:after="200" w:line="360"/>
        <w:jc w:val="both"/>
      </w:pPr>
      <w:r>
        <w:rPr>
          <w:rFonts w:ascii="Times New Roman" w:cs="Times New Roman" w:eastAsia="Times New Roman" w:hAnsi="Times New Roman"/>
          <w:sz w:val="24"/>
          <w:szCs w:val="24"/>
        </w:rPr>
        <w:t xml:space="preserve">Browser-based monitoring operates within strict privacy and security constraints imposed by modern browser architectures. The same-origin policy prevents web applications from accessing content or data from other origins (domains), meaning that DeepFocus cannot inspect the content of other tabs or track browsing history (Barth, 2011). Similarly, browser permissions models require explicit user consent for accessing the webcam (via the getUserMedia API) and do not allow background access to camera feeds when the tab is not active.</w:t>
      </w:r>
    </w:p>
    <w:p>
      <w:pPr>
        <w:spacing w:after="200" w:line="360"/>
        <w:jc w:val="both"/>
      </w:pPr>
      <w:r>
        <w:rPr>
          <w:rFonts w:ascii="Times New Roman" w:cs="Times New Roman" w:eastAsia="Times New Roman" w:hAnsi="Times New Roman"/>
          <w:sz w:val="24"/>
          <w:szCs w:val="24"/>
        </w:rPr>
        <w:t xml:space="preserve">These constraints shape the design space for browser-based attention monitoring systems. Unlike desktop applications that can monitor system-wide activity (e.g., RescueTime, which tracks application usage across the entire operating system), browser-based systems are limited to the signals available within their own tab and the standard web APIs. Chen et al. (2020) discuss the implications of these privacy boundaries for educational technology, arguing that browser-based monitoring represents a privacy-preserving middle ground between invasive proctoring systems and entirely self-reported attention measures.</w:t>
      </w:r>
    </w:p>
    <w:p>
      <w:pPr>
        <w:spacing w:after="200" w:line="360"/>
        <w:jc w:val="both"/>
      </w:pPr>
      <w:r>
        <w:rPr>
          <w:rFonts w:ascii="Times New Roman" w:cs="Times New Roman" w:eastAsia="Times New Roman" w:hAnsi="Times New Roman"/>
          <w:sz w:val="24"/>
          <w:szCs w:val="24"/>
        </w:rPr>
        <w:t xml:space="preserve">DeepFocus is designed to operate entirely within these constraints. All visual processing occurs locally in the browser using MediaPipe; no camera images are stored or transmitted. Behavioural signals are captured through standard DOM event listeners. The system requires only webcam permission (with explicit user consent) and does not attempt to access or monitor activity outside its own browser tab. This privacy-by-design approach aligns with the ethical principles outlined in the project specification and with broader concerns about proportionality in attention monitoring (Slade and Prinsloo, 2013).</w:t>
      </w:r>
    </w:p>
    <w:p>
      <w:pPr>
        <w:pStyle w:val="Heading3"/>
        <w:spacing w:before="280" w:after="200"/>
      </w:pPr>
      <w:r>
        <w:rPr>
          <w:rFonts w:ascii="Times New Roman" w:cs="Times New Roman" w:eastAsia="Times New Roman" w:hAnsi="Times New Roman"/>
          <w:b/>
          <w:bCs/>
          <w:sz w:val="24"/>
          <w:szCs w:val="24"/>
        </w:rPr>
        <w:t xml:space="preserve">2.8.4 Existing Browser-Based Monitoring Tools and Frameworks</w:t>
      </w:r>
    </w:p>
    <w:p>
      <w:pPr>
        <w:spacing w:after="200" w:line="360"/>
        <w:jc w:val="both"/>
      </w:pPr>
      <w:r>
        <w:rPr>
          <w:rFonts w:ascii="Times New Roman" w:cs="Times New Roman" w:eastAsia="Times New Roman" w:hAnsi="Times New Roman"/>
          <w:sz w:val="24"/>
          <w:szCs w:val="24"/>
        </w:rPr>
        <w:t xml:space="preserve">Several existing tools and frameworks perform browser-based activity monitoring, though few combine multiple modalities for concentration detection. RescueTime is a widely used productivity tracker that monitors application and website usage at the operating system level, providing time-based metrics but not real-time concentration classification (RescueTime, 2024). Browser extensions such as LeechBlock and StayFocusd block access to distracting websites but do not measure concentration. In the educational domain, proctoring systems such as ProctorU and Respondus LockDown Browser monitor students during online examinations using webcam feeds and browser lockdown mechanisms, but these are designed for cheating prevention rather than concentration measurement and typically require proprietary software installation (Nigam et al., 2021).</w:t>
      </w:r>
    </w:p>
    <w:p>
      <w:pPr>
        <w:spacing w:after="200" w:line="360"/>
        <w:jc w:val="both"/>
      </w:pPr>
      <w:r>
        <w:rPr>
          <w:rFonts w:ascii="Times New Roman" w:cs="Times New Roman" w:eastAsia="Times New Roman" w:hAnsi="Times New Roman"/>
          <w:sz w:val="24"/>
          <w:szCs w:val="24"/>
        </w:rPr>
        <w:t xml:space="preserve">Academic prototypes have explored browser-based attention monitoring with varying degrees of sophistication. Hutt et al. (2017) developed a webcam-based attention detection system for online learning that estimated gaze direction from facial features, but it relied on server-side processing rather than in-browser inference. Sharma et al. (2020) proposed a multimodal learning analytics system that combined gaze data, interaction logs, and physiological signals, but required research-grade eye trackers and wearable sensors. These systems demonstrate the potential of multimodal attention monitoring while highlighting the gap that DeepFocus addresses: a fully browser-native, hardware-free, multimodal concentration detection system that processes all data locally.</w:t>
      </w:r>
    </w:p>
    <w:p>
      <w:pPr>
        <w:pStyle w:val="Heading2"/>
        <w:spacing w:before="360" w:after="240"/>
      </w:pPr>
      <w:r>
        <w:rPr>
          <w:rFonts w:ascii="Times New Roman" w:cs="Times New Roman" w:eastAsia="Times New Roman" w:hAnsi="Times New Roman"/>
          <w:b/>
          <w:bCs/>
          <w:sz w:val="28"/>
          <w:szCs w:val="28"/>
        </w:rPr>
        <w:t xml:space="preserve">2.9 Summary of Browser-Based Monitoring Approaches</w:t>
      </w:r>
    </w:p>
    <w:p>
      <w:pPr>
        <w:spacing w:after="200" w:line="360"/>
        <w:jc w:val="both"/>
      </w:pPr>
      <w:r>
        <w:rPr>
          <w:rFonts w:ascii="Times New Roman" w:cs="Times New Roman" w:eastAsia="Times New Roman" w:hAnsi="Times New Roman"/>
          <w:sz w:val="24"/>
          <w:szCs w:val="24"/>
        </w:rPr>
        <w:t xml:space="preserve">Browser-based monitoring offers a practical and privacy-preserving approach to capturing behavioural signals relevant to concentration detection. The Page Visibility API and focus/blur events provide direct indicators of tab-switching and application-switching behaviour, which serve as unambiguous signals of task disengagement. Modern browser security models impose strict constraints on what web applications can observe, but these constraints also function as privacy safeguards that align with ethical requirements for attention monitoring. Existing browser-based tools and academic prototypes have explored various aspects of activity monitoring and attention detection, but none offer a fully integrated, multimodal, browser-native system that combines visual, behavioural, and contextual signals for real-time concentration classification. DeepFocus is designed to operate entirely within the browser sandbox, leveraging standard web APIs and client-side computer vision to provide a non-invasive concentration measurement tool that respects both technical constraints and user privacy.</w:t>
      </w:r>
    </w:p>
    <w:p>
      <w:pPr>
        <w:pStyle w:val="Heading2"/>
        <w:spacing w:before="360" w:after="240"/>
      </w:pPr>
      <w:r>
        <w:rPr>
          <w:rFonts w:ascii="Times New Roman" w:cs="Times New Roman" w:eastAsia="Times New Roman" w:hAnsi="Times New Roman"/>
          <w:b/>
          <w:bCs/>
          <w:sz w:val="28"/>
          <w:szCs w:val="28"/>
        </w:rPr>
        <w:t xml:space="preserve">2.10 Related Systems: Engagement and Concentration Detection</w:t>
      </w:r>
    </w:p>
    <w:p>
      <w:pPr>
        <w:spacing w:after="200" w:line="360"/>
        <w:jc w:val="both"/>
      </w:pPr>
      <w:r>
        <w:rPr>
          <w:rFonts w:ascii="Times New Roman" w:cs="Times New Roman" w:eastAsia="Times New Roman" w:hAnsi="Times New Roman"/>
          <w:sz w:val="24"/>
          <w:szCs w:val="24"/>
        </w:rPr>
        <w:t xml:space="preserve">Having reviewed the individual technical components that underpin DeepFocus—visual attention technologies, behavioural analytics, and browser-based monitoring—this section examines complete systems that have been developed for engagement or concentration detection. The purpose of this comparative analysis is to identify how DeepFocus is positioned relative to existing work and to articulate the specific gap it addresses.</w:t>
      </w:r>
    </w:p>
    <w:p>
      <w:pPr>
        <w:pStyle w:val="Heading3"/>
        <w:spacing w:before="280" w:after="200"/>
      </w:pPr>
      <w:r>
        <w:rPr>
          <w:rFonts w:ascii="Times New Roman" w:cs="Times New Roman" w:eastAsia="Times New Roman" w:hAnsi="Times New Roman"/>
          <w:b/>
          <w:bCs/>
          <w:sz w:val="24"/>
          <w:szCs w:val="24"/>
        </w:rPr>
        <w:t xml:space="preserve">2.10.1 Vision-Based Engagement Detection Systems</w:t>
      </w:r>
    </w:p>
    <w:p>
      <w:pPr>
        <w:spacing w:after="200" w:line="360"/>
        <w:jc w:val="both"/>
      </w:pPr>
      <w:r>
        <w:rPr>
          <w:rFonts w:ascii="Times New Roman" w:cs="Times New Roman" w:eastAsia="Times New Roman" w:hAnsi="Times New Roman"/>
          <w:sz w:val="24"/>
          <w:szCs w:val="24"/>
        </w:rPr>
        <w:t xml:space="preserve">A substantial body of work has focused on detecting student engagement through computer vision. Whitehill et al. (2014) developed a system that classified engagement levels from facial expressions using support vector machines trained on facial action unit features. Their system achieved accuracy comparable to human annotators on the ENGAGE dataset but required controlled lighting and frontal camera positioning, limiting its ecological validity. Bosch et al. (2016) extended this approach to classroom settings, using automated affect detectors to recognise engagement, boredom, confusion, and frustration from video recordings. While these systems demonstrated the feasibility of vision-based engagement detection, they relied on offline processing of recorded video rather than real-time inference.</w:t>
      </w:r>
    </w:p>
    <w:p>
      <w:pPr>
        <w:spacing w:after="200" w:line="360"/>
        <w:jc w:val="both"/>
      </w:pPr>
      <w:r>
        <w:rPr>
          <w:rFonts w:ascii="Times New Roman" w:cs="Times New Roman" w:eastAsia="Times New Roman" w:hAnsi="Times New Roman"/>
          <w:sz w:val="24"/>
          <w:szCs w:val="24"/>
        </w:rPr>
        <w:t xml:space="preserve">More recent systems have moved toward real-time processing. Dewan et al. (2019) surveyed engagement detection approaches in online learning and identified a trend toward CNN-based systems that process webcam feeds in real time. Thomas and Jayagopi (2017) developed a real-time engagement estimation system using head pose and facial expression features, achieving promising results in classroom recordings. However, their system required a GPU-equipped server for processing, making it unsuitable for browser-based deployment. Nezami et al. (2020) proposed a semi-supervised approach to engagement detection that reduced the need for labelled training data, but their system similarly required desktop-level computational resources.</w:t>
      </w:r>
    </w:p>
    <w:p>
      <w:pPr>
        <w:pStyle w:val="Heading3"/>
        <w:spacing w:before="280" w:after="200"/>
      </w:pPr>
      <w:r>
        <w:rPr>
          <w:rFonts w:ascii="Times New Roman" w:cs="Times New Roman" w:eastAsia="Times New Roman" w:hAnsi="Times New Roman"/>
          <w:b/>
          <w:bCs/>
          <w:sz w:val="24"/>
          <w:szCs w:val="24"/>
        </w:rPr>
        <w:t xml:space="preserve">2.10.2 Multimodal Attention Monitoring Systems</w:t>
      </w:r>
    </w:p>
    <w:p>
      <w:pPr>
        <w:spacing w:after="200" w:line="360"/>
        <w:jc w:val="both"/>
      </w:pPr>
      <w:r>
        <w:rPr>
          <w:rFonts w:ascii="Times New Roman" w:cs="Times New Roman" w:eastAsia="Times New Roman" w:hAnsi="Times New Roman"/>
          <w:sz w:val="24"/>
          <w:szCs w:val="24"/>
        </w:rPr>
        <w:t xml:space="preserve">Several systems have combined multiple signal types for attention monitoring, aligning with the multimodal philosophy of DeepFocus. D’Mello et al. (2012) developed an affect-sensitive tutoring system (AutoTutor) that combined facial expression analysis, body posture detection, and interaction log analysis to detect student disengagement during computer-based learning. The system used multiple cameras and required controlled laboratory conditions, but demonstrated that multimodal fusion significantly improved detection accuracy over any single modality.</w:t>
      </w:r>
    </w:p>
    <w:p>
      <w:pPr>
        <w:spacing w:after="200" w:line="360"/>
        <w:jc w:val="both"/>
      </w:pPr>
      <w:r>
        <w:rPr>
          <w:rFonts w:ascii="Times New Roman" w:cs="Times New Roman" w:eastAsia="Times New Roman" w:hAnsi="Times New Roman"/>
          <w:sz w:val="24"/>
          <w:szCs w:val="24"/>
        </w:rPr>
        <w:t xml:space="preserve">Sharma et al. (2019) proposed a multimodal framework for predicting learning outcomes that integrated eye-tracking data, physiological signals (EDA, heart rate), and interaction logs. Their study found that the combination of gaze and physiological features was most predictive of engagement, but the reliance on wearable sensors and dedicated eye trackers limits scalability. Similarly, Monkaresi et al. (2017) combined webcam-based heart rate estimation with keyboard and mouse dynamics to predict engagement during writing tasks, representing a step toward hardware-free multimodal monitoring. However, the webcam-based heart rate estimation proved unreliable under naturalistic conditions, highlighting the challenges of extracting physiological signals from standard cameras.</w:t>
      </w:r>
    </w:p>
    <w:p>
      <w:pPr>
        <w:spacing w:after="200" w:line="360"/>
        <w:jc w:val="both"/>
      </w:pPr>
      <w:r>
        <w:rPr>
          <w:rFonts w:ascii="Times New Roman" w:cs="Times New Roman" w:eastAsia="Times New Roman" w:hAnsi="Times New Roman"/>
          <w:sz w:val="24"/>
          <w:szCs w:val="24"/>
        </w:rPr>
        <w:t xml:space="preserve">These multimodal systems collectively demonstrate that combining multiple signal types produces more accurate and robust attention predictions. However, they share common limitations: dependence on specialised hardware (eye trackers, physiological sensors), requirement for desktop-level computational resources, and deployment in controlled settings rather than unconstrained web environments.</w:t>
      </w:r>
    </w:p>
    <w:p>
      <w:pPr>
        <w:pStyle w:val="Heading3"/>
        <w:spacing w:before="280" w:after="200"/>
      </w:pPr>
      <w:r>
        <w:rPr>
          <w:rFonts w:ascii="Times New Roman" w:cs="Times New Roman" w:eastAsia="Times New Roman" w:hAnsi="Times New Roman"/>
          <w:b/>
          <w:bCs/>
          <w:sz w:val="24"/>
          <w:szCs w:val="24"/>
        </w:rPr>
        <w:t xml:space="preserve">2.10.3 Browser-Based and Lightweight Approaches</w:t>
      </w:r>
    </w:p>
    <w:p>
      <w:pPr>
        <w:spacing w:after="200" w:line="360"/>
        <w:jc w:val="both"/>
      </w:pPr>
      <w:r>
        <w:rPr>
          <w:rFonts w:ascii="Times New Roman" w:cs="Times New Roman" w:eastAsia="Times New Roman" w:hAnsi="Times New Roman"/>
          <w:sz w:val="24"/>
          <w:szCs w:val="24"/>
        </w:rPr>
        <w:t xml:space="preserve">A smaller body of work has specifically targeted browser-based or lightweight attention monitoring. Hutt et al. (2017) developed a system that used webcam-based gaze estimation to predict attention during online lectures, finding that gaze features predicted mind wandering with above-chance accuracy. However, their gaze estimation component required server-side processing, and the system did not incorporate behavioural signals. Papoutsaki et al. (2016) demonstrated the feasibility of browser-based gaze tracking with WebGazer.js, but focused on gaze estimation as a standalone capability rather than integrating it into a concentration detection system.</w:t>
      </w:r>
    </w:p>
    <w:p>
      <w:pPr>
        <w:spacing w:after="200" w:line="360"/>
        <w:jc w:val="both"/>
      </w:pPr>
      <w:r>
        <w:rPr>
          <w:rFonts w:ascii="Times New Roman" w:cs="Times New Roman" w:eastAsia="Times New Roman" w:hAnsi="Times New Roman"/>
          <w:sz w:val="24"/>
          <w:szCs w:val="24"/>
        </w:rPr>
        <w:t xml:space="preserve">In the domain of educational technology, Stewart et al. (2017) used interaction log analysis (clickstream data, time on page, navigation patterns) to predict student disengagement in online courses. Their approach was fully browser-based and scalable, but lacked visual signals, limiting its ability to detect disengagement that does not manifest as changes in interaction patterns (e.g., a student staring at their phone while the course page remains open). Li et al. (2021) proposed a lightweight attention detection system using facial landmarks for online learning, but their system was implemented as a desktop application rather than a browser-based tool.</w:t>
      </w:r>
    </w:p>
    <w:p>
      <w:pPr>
        <w:spacing w:after="200" w:line="360"/>
        <w:jc w:val="both"/>
      </w:pPr>
      <w:r>
        <w:rPr>
          <w:rFonts w:ascii="Times New Roman" w:cs="Times New Roman" w:eastAsia="Times New Roman" w:hAnsi="Times New Roman"/>
          <w:sz w:val="24"/>
          <w:szCs w:val="24"/>
        </w:rPr>
        <w:t xml:space="preserve">The literature thus reveals a clear gap: there is no existing system that combines multimodal signals (visual, behavioural, and contextual) for concentration detection while operating entirely within a standard web browser without specialised hardware or server-side processing. DeepFocus is designed specifically to fill this gap.</w:t>
      </w:r>
    </w:p>
    <w:p>
      <w:pPr>
        <w:pStyle w:val="Heading3"/>
        <w:spacing w:before="280" w:after="200"/>
      </w:pPr>
      <w:r>
        <w:rPr>
          <w:rFonts w:ascii="Times New Roman" w:cs="Times New Roman" w:eastAsia="Times New Roman" w:hAnsi="Times New Roman"/>
          <w:b/>
          <w:bCs/>
          <w:sz w:val="24"/>
          <w:szCs w:val="24"/>
        </w:rPr>
        <w:t xml:space="preserve">2.10.4 Comparative Summary</w:t>
      </w:r>
    </w:p>
    <w:p>
      <w:pPr>
        <w:spacing w:after="200" w:line="360"/>
        <w:jc w:val="both"/>
      </w:pPr>
      <w:r>
        <w:rPr>
          <w:rFonts w:ascii="Times New Roman" w:cs="Times New Roman" w:eastAsia="Times New Roman" w:hAnsi="Times New Roman"/>
          <w:sz w:val="24"/>
          <w:szCs w:val="24"/>
        </w:rPr>
        <w:t xml:space="preserve">The comparative analysis reveals several patterns across existing systems. First, vision-based systems achieve the highest detection accuracy but require controlled conditions and significant computational resources. Second, multimodal systems consistently outperform unimodal approaches, validating the design philosophy of DeepFocus. Third, browser-based and lightweight systems offer superior accessibility and scalability but sacrifice accuracy by relying on a limited subset of available signals. Fourth, no existing system simultaneously achieves multimodal integration, browser-native deployment, real-time processing, and privacy-preserving local computation.</w:t>
      </w:r>
    </w:p>
    <w:p>
      <w:pPr>
        <w:spacing w:after="200" w:line="360"/>
        <w:jc w:val="both"/>
      </w:pPr>
      <w:r>
        <w:rPr>
          <w:rFonts w:ascii="Times New Roman" w:cs="Times New Roman" w:eastAsia="Times New Roman" w:hAnsi="Times New Roman"/>
          <w:sz w:val="24"/>
          <w:szCs w:val="24"/>
        </w:rPr>
        <w:t xml:space="preserve">DeepFocus occupies a unique position in this landscape by combining: (1) lightweight computer vision via MediaPipe Face Mesh for face detection and head pose estimation; (2) keyboard and mouse behavioural analysis via standard DOM event listeners; (3) tab visibility and window focus monitoring via the Page Visibility API; and (4) rule-based classification that integrates these signals into a three-level concentration score (low, medium, high). All processing occurs locally within the browser, no raw visual data is stored or transmitted, and the system requires only a standard webcam and browser—no additional software or hardware installation. This combination of capabilities is, to the best of the author’s knowledge, unique in the existing literature.</w:t>
      </w:r>
    </w:p>
    <w:p>
      <w:pPr>
        <w:pStyle w:val="Heading2"/>
        <w:spacing w:before="360" w:after="240"/>
      </w:pPr>
      <w:r>
        <w:rPr>
          <w:rFonts w:ascii="Times New Roman" w:cs="Times New Roman" w:eastAsia="Times New Roman" w:hAnsi="Times New Roman"/>
          <w:b/>
          <w:bCs/>
          <w:sz w:val="28"/>
          <w:szCs w:val="28"/>
        </w:rPr>
        <w:t xml:space="preserve">2.11 Summary and Research Gap</w:t>
      </w:r>
    </w:p>
    <w:p>
      <w:pPr>
        <w:spacing w:after="200" w:line="360"/>
        <w:jc w:val="both"/>
      </w:pPr>
      <w:r>
        <w:rPr>
          <w:rFonts w:ascii="Times New Roman" w:cs="Times New Roman" w:eastAsia="Times New Roman" w:hAnsi="Times New Roman"/>
          <w:sz w:val="24"/>
          <w:szCs w:val="24"/>
        </w:rPr>
        <w:t xml:space="preserve">This literature review has examined the theoretical, methodological, and technical foundations relevant to multimodal, browser-based concentration detection. Part 1 established that concentration is a multidimensional construct grounded in sustained attention theory, measurable through both subjective and objective methods, but best captured through unobtrusive, continuous computational approaches. Part 2 demonstrated that lightweight face detection and head pose estimation models—particularly MediaPipe Face Mesh—enable real-time visual attention monitoring within web browsers. Part 3 showed that keyboard and mouse dynamics provide accessible behavioural correlates of cognitive engagement, though their interpretation requires multimodal context. Part 4 reviewed browser-based monitoring APIs, notably the Page Visibility API, which provide direct signals of task switching and disengagement within the constraints of browser security models. Part 5 compared existing engagement and concentration detection systems, revealing that no current system combines multimodal signals, browser-native deployment, real-time processing, and privacy-preserving local computation.</w:t>
      </w:r>
    </w:p>
    <w:p>
      <w:pPr>
        <w:spacing w:after="200" w:line="360"/>
        <w:jc w:val="both"/>
      </w:pPr>
      <w:r>
        <w:rPr>
          <w:rFonts w:ascii="Times New Roman" w:cs="Times New Roman" w:eastAsia="Times New Roman" w:hAnsi="Times New Roman"/>
          <w:sz w:val="24"/>
          <w:szCs w:val="24"/>
        </w:rPr>
        <w:t xml:space="preserve">DeepFocus is designed to address this identified gap. By integrating visual signals (face presence, head pose), behavioural signals (keyboard activity, mouse movement), and contextual signals (tab visibility, window focus) into a unified, browser-native classification framework, the system aims to provide a non-invasive, scalable, and privacy-preserving approach to concentration measurement. The following chapters describe the design, implementation, and empirical evaluation of this system.</w:t>
      </w:r>
    </w:p>
    <w:p>
      <w:pPr>
        <w:pageBreakBefore/>
      </w:pPr>
      <w:r>
        <w:rPr>
          <w:rFonts w:ascii="Times New Roman" w:cs="Times New Roman" w:eastAsia="Times New Roman" w:hAnsi="Times New Roman"/>
          <w:sz w:val="24"/>
          <w:szCs w:val="24"/>
        </w:rPr>
        <w:t xml:space="preserve"/>
      </w:r>
    </w:p>
    <w:p>
      <w:pPr>
        <w:pStyle w:val="Heading2"/>
        <w:spacing w:before="0" w:after="300"/>
      </w:pPr>
      <w:r>
        <w:rPr>
          <w:rFonts w:ascii="Times New Roman" w:cs="Times New Roman" w:eastAsia="Times New Roman" w:hAnsi="Times New Roman"/>
          <w:b/>
          <w:bCs/>
          <w:sz w:val="28"/>
          <w:szCs w:val="28"/>
        </w:rPr>
        <w:t xml:space="preserve">References</w:t>
      </w:r>
    </w:p>
    <w:p>
      <w:pPr>
        <w:spacing w:after="160" w:line="360"/>
        <w:ind w:left="720" w:hanging="720"/>
        <w:jc w:val="left"/>
      </w:pPr>
      <w:r>
        <w:rPr>
          <w:rFonts w:ascii="Times New Roman" w:cs="Times New Roman" w:eastAsia="Times New Roman" w:hAnsi="Times New Roman"/>
          <w:sz w:val="24"/>
          <w:szCs w:val="24"/>
        </w:rPr>
        <w:t xml:space="preserve">Bannert, M. and Mengelkamp, C. (2013) ‘Scaffolding hypermedia learning through metacognitive prompts’, in Azevedo, R. and Aleven, V. (eds.) International Handbook of Metacognition and Learning Technologies. New York: Springer, pp. 171–186.</w:t>
      </w:r>
    </w:p>
    <w:p>
      <w:pPr>
        <w:spacing w:after="160" w:line="360"/>
        <w:ind w:left="720" w:hanging="720"/>
        <w:jc w:val="left"/>
      </w:pPr>
      <w:r>
        <w:rPr>
          <w:rFonts w:ascii="Times New Roman" w:cs="Times New Roman" w:eastAsia="Times New Roman" w:hAnsi="Times New Roman"/>
          <w:sz w:val="24"/>
          <w:szCs w:val="24"/>
        </w:rPr>
        <w:t xml:space="preserve">Barth, A. (2011) The Web Origin Concept. RFC 6454. Internet Engineering Task Force. Available at: https://tools.ietf.org/html/rfc6454 (Accessed: 20 January 2026).</w:t>
      </w:r>
    </w:p>
    <w:p>
      <w:pPr>
        <w:spacing w:after="160" w:line="360"/>
        <w:ind w:left="720" w:hanging="720"/>
        <w:jc w:val="left"/>
      </w:pPr>
      <w:r>
        <w:rPr>
          <w:rFonts w:ascii="Times New Roman" w:cs="Times New Roman" w:eastAsia="Times New Roman" w:hAnsi="Times New Roman"/>
          <w:sz w:val="24"/>
          <w:szCs w:val="24"/>
        </w:rPr>
        <w:t xml:space="preserve">Bazarevsky, V., Kartynnik, Y., Vakunov, A., Raveendran, K. and Grundmann, M. (2019) ‘BlazeFace: Sub-millisecond neural face detection on mobile GPUs’, arXiv preprint arXiv:1907.05047.</w:t>
      </w:r>
    </w:p>
    <w:p>
      <w:pPr>
        <w:spacing w:after="160" w:line="360"/>
        <w:ind w:left="720" w:hanging="720"/>
        <w:jc w:val="left"/>
      </w:pPr>
      <w:r>
        <w:rPr>
          <w:rFonts w:ascii="Times New Roman" w:cs="Times New Roman" w:eastAsia="Times New Roman" w:hAnsi="Times New Roman"/>
          <w:sz w:val="24"/>
          <w:szCs w:val="24"/>
        </w:rPr>
        <w:t xml:space="preserve">Beatty, J. and Lucero-Wagoner, B. (2000) ‘The pupillary system’, in Cacioppo, J.T., Tassinary, L.G. and Berntson, G.G. (eds.) Handbook of Psychophysiology. 2nd edn. Cambridge: Cambridge University Press, pp. 142–162.</w:t>
      </w:r>
    </w:p>
    <w:p>
      <w:pPr>
        <w:spacing w:after="160" w:line="360"/>
        <w:ind w:left="720" w:hanging="720"/>
        <w:jc w:val="left"/>
      </w:pPr>
      <w:r>
        <w:rPr>
          <w:rFonts w:ascii="Times New Roman" w:cs="Times New Roman" w:eastAsia="Times New Roman" w:hAnsi="Times New Roman"/>
          <w:sz w:val="24"/>
          <w:szCs w:val="24"/>
        </w:rPr>
        <w:t xml:space="preserve">Berka, C., Levendowski, D.J., Lumicao, M.N., Yau, A., Davis, G., Zivkovic, V.T., Olmstead, R.E., Tremoulet, P.D. and Craven, P.L. (2007) ‘EEG correlates of task engagement and mental workload in vigilance, learning, and memory tasks’, Aviation, Space, and Environmental Medicine, 78(5), pp. B231–B244.</w:t>
      </w:r>
    </w:p>
    <w:p>
      <w:pPr>
        <w:spacing w:after="160" w:line="360"/>
        <w:ind w:left="720" w:hanging="720"/>
        <w:jc w:val="left"/>
      </w:pPr>
      <w:r>
        <w:rPr>
          <w:rFonts w:ascii="Times New Roman" w:cs="Times New Roman" w:eastAsia="Times New Roman" w:hAnsi="Times New Roman"/>
          <w:sz w:val="24"/>
          <w:szCs w:val="24"/>
        </w:rPr>
        <w:t xml:space="preserve">Bixler, R. and D’Mello, S. (2016) ‘Automatic gaze-based user-independent detection of mind wandering during computerized reading’, User Modeling and User-Adapted Interaction, 26(1), pp. 33–68. doi: 10.1007/s11257-015-9167-1.</w:t>
      </w:r>
    </w:p>
    <w:p>
      <w:pPr>
        <w:spacing w:after="160" w:line="360"/>
        <w:ind w:left="720" w:hanging="720"/>
        <w:jc w:val="left"/>
      </w:pPr>
      <w:r>
        <w:rPr>
          <w:rFonts w:ascii="Times New Roman" w:cs="Times New Roman" w:eastAsia="Times New Roman" w:hAnsi="Times New Roman"/>
          <w:sz w:val="24"/>
          <w:szCs w:val="24"/>
        </w:rPr>
        <w:t xml:space="preserve">Bosch, N., D’Mello, S., Ocumpaugh, J., Baker, R.S. and Shute, V. (2016) ‘Using video to automatically detect learner affect in computer-enabled classrooms’, ACM Transactions on Interactive Intelligent Systems, 6(2), pp. 1–26. doi: 10.1145/2946837.</w:t>
      </w:r>
    </w:p>
    <w:p>
      <w:pPr>
        <w:spacing w:after="160" w:line="360"/>
        <w:ind w:left="720" w:hanging="720"/>
        <w:jc w:val="left"/>
      </w:pPr>
      <w:r>
        <w:rPr>
          <w:rFonts w:ascii="Times New Roman" w:cs="Times New Roman" w:eastAsia="Times New Roman" w:hAnsi="Times New Roman"/>
          <w:sz w:val="24"/>
          <w:szCs w:val="24"/>
        </w:rPr>
        <w:t xml:space="preserve">Bradski, G. (2000) ‘The OpenCV Library’, Dr. Dobb’s Journal of Software Tools, 25(11), pp. 120–125.</w:t>
      </w:r>
    </w:p>
    <w:p>
      <w:pPr>
        <w:spacing w:after="160" w:line="360"/>
        <w:ind w:left="720" w:hanging="720"/>
        <w:jc w:val="left"/>
      </w:pPr>
      <w:r>
        <w:rPr>
          <w:rFonts w:ascii="Times New Roman" w:cs="Times New Roman" w:eastAsia="Times New Roman" w:hAnsi="Times New Roman"/>
          <w:sz w:val="24"/>
          <w:szCs w:val="24"/>
        </w:rPr>
        <w:t xml:space="preserve">Broadbent, D.E. (1958) Perception and Communication. London: Pergamon Press.</w:t>
      </w:r>
    </w:p>
    <w:p>
      <w:pPr>
        <w:spacing w:after="160" w:line="360"/>
        <w:ind w:left="720" w:hanging="720"/>
        <w:jc w:val="left"/>
      </w:pPr>
      <w:r>
        <w:rPr>
          <w:rFonts w:ascii="Times New Roman" w:cs="Times New Roman" w:eastAsia="Times New Roman" w:hAnsi="Times New Roman"/>
          <w:sz w:val="24"/>
          <w:szCs w:val="24"/>
        </w:rPr>
        <w:t xml:space="preserve">Bulat, A. and Tzimiropoulos, G. (2017) ‘How far are we from solving the 2D &amp; 3D face alignment problem? (and a dataset of 230,000 3D facial landmarks)’, Proceedings of the IEEE International Conference on Computer Vision (ICCV), pp. 1021–1030.</w:t>
      </w:r>
    </w:p>
    <w:p>
      <w:pPr>
        <w:spacing w:after="160" w:line="360"/>
        <w:ind w:left="720" w:hanging="720"/>
        <w:jc w:val="left"/>
      </w:pPr>
      <w:r>
        <w:rPr>
          <w:rFonts w:ascii="Times New Roman" w:cs="Times New Roman" w:eastAsia="Times New Roman" w:hAnsi="Times New Roman"/>
          <w:sz w:val="24"/>
          <w:szCs w:val="24"/>
        </w:rPr>
        <w:t xml:space="preserve">Chen, B., Bastedo, K. and Howard, W. (2020) ‘Exploring design elements for online STEM courses: Active learning, engagement, and assessment design’, Online Learning, 24(2), pp. 59–75. doi: 10.24059/olj.v24i2.2071.</w:t>
      </w:r>
    </w:p>
    <w:p>
      <w:pPr>
        <w:spacing w:after="160" w:line="360"/>
        <w:ind w:left="720" w:hanging="720"/>
        <w:jc w:val="left"/>
      </w:pPr>
      <w:r>
        <w:rPr>
          <w:rFonts w:ascii="Times New Roman" w:cs="Times New Roman" w:eastAsia="Times New Roman" w:hAnsi="Times New Roman"/>
          <w:sz w:val="24"/>
          <w:szCs w:val="24"/>
        </w:rPr>
        <w:t xml:space="preserve">Cootes, T.F., Edwards, G.J. and Taylor, C.J. (2001) ‘Active appearance models’, IEEE Transactions on Pattern Analysis and Machine Intelligence, 23(6), pp. 681–685. doi: 10.1109/34.927467.</w:t>
      </w:r>
    </w:p>
    <w:p>
      <w:pPr>
        <w:spacing w:after="160" w:line="360"/>
        <w:ind w:left="720" w:hanging="720"/>
        <w:jc w:val="left"/>
      </w:pPr>
      <w:r>
        <w:rPr>
          <w:rFonts w:ascii="Times New Roman" w:cs="Times New Roman" w:eastAsia="Times New Roman" w:hAnsi="Times New Roman"/>
          <w:sz w:val="24"/>
          <w:szCs w:val="24"/>
        </w:rPr>
        <w:t xml:space="preserve">Corno, L. (1993) ‘The best-laid plans: Modern conceptions of volition and educational research’, Educational Researcher, 22(2), pp. 14–22. doi: 10.3102/0013189X022002014.</w:t>
      </w:r>
    </w:p>
    <w:p>
      <w:pPr>
        <w:spacing w:after="160" w:line="360"/>
        <w:ind w:left="720" w:hanging="720"/>
        <w:jc w:val="left"/>
      </w:pPr>
      <w:r>
        <w:rPr>
          <w:rFonts w:ascii="Times New Roman" w:cs="Times New Roman" w:eastAsia="Times New Roman" w:hAnsi="Times New Roman"/>
          <w:sz w:val="24"/>
          <w:szCs w:val="24"/>
        </w:rPr>
        <w:t xml:space="preserve">Cristinacce, D. and Cootes, T.F. (2006) ‘Feature detection and tracking with constrained local models’, Proceedings of the British Machine Vision Conference (BMVC), pp. 929–938.</w:t>
      </w:r>
    </w:p>
    <w:p>
      <w:pPr>
        <w:spacing w:after="160" w:line="360"/>
        <w:ind w:left="720" w:hanging="720"/>
        <w:jc w:val="left"/>
      </w:pPr>
      <w:r>
        <w:rPr>
          <w:rFonts w:ascii="Times New Roman" w:cs="Times New Roman" w:eastAsia="Times New Roman" w:hAnsi="Times New Roman"/>
          <w:sz w:val="24"/>
          <w:szCs w:val="24"/>
        </w:rPr>
        <w:t xml:space="preserve">Csikszentmihalyi, M. (1990) Flow: The Psychology of Optimal Experience. New York: Harper &amp; Row.</w:t>
      </w:r>
    </w:p>
    <w:p>
      <w:pPr>
        <w:spacing w:after="160" w:line="360"/>
        <w:ind w:left="720" w:hanging="720"/>
        <w:jc w:val="left"/>
      </w:pPr>
      <w:r>
        <w:rPr>
          <w:rFonts w:ascii="Times New Roman" w:cs="Times New Roman" w:eastAsia="Times New Roman" w:hAnsi="Times New Roman"/>
          <w:sz w:val="24"/>
          <w:szCs w:val="24"/>
        </w:rPr>
        <w:t xml:space="preserve">Csikszentmihalyi, M. and Larson, R. (1987) ‘Validity and reliability of the experience-sampling method’, The Journal of Nervous and Mental Disease, 175(9), pp. 526–536.</w:t>
      </w:r>
    </w:p>
    <w:p>
      <w:pPr>
        <w:spacing w:after="160" w:line="360"/>
        <w:ind w:left="720" w:hanging="720"/>
        <w:jc w:val="left"/>
      </w:pPr>
      <w:r>
        <w:rPr>
          <w:rFonts w:ascii="Times New Roman" w:cs="Times New Roman" w:eastAsia="Times New Roman" w:hAnsi="Times New Roman"/>
          <w:sz w:val="24"/>
          <w:szCs w:val="24"/>
        </w:rPr>
        <w:t xml:space="preserve">D’Mello, S. and Graesser, A. (2012) ‘Dynamics of affective states during complex learning’, Learning and Instruction, 22(2), pp. 145–157. doi: 10.1016/j.learninstruc.2011.10.001.</w:t>
      </w:r>
    </w:p>
    <w:p>
      <w:pPr>
        <w:spacing w:after="160" w:line="360"/>
        <w:ind w:left="720" w:hanging="720"/>
        <w:jc w:val="left"/>
      </w:pPr>
      <w:r>
        <w:rPr>
          <w:rFonts w:ascii="Times New Roman" w:cs="Times New Roman" w:eastAsia="Times New Roman" w:hAnsi="Times New Roman"/>
          <w:sz w:val="24"/>
          <w:szCs w:val="24"/>
        </w:rPr>
        <w:t xml:space="preserve">D’Mello, S., Olney, A., Williams, C. and Hays, P. (2012) ‘Gaze tutor: A gaze-reactive intelligent tutoring system’, International Journal of Human-Computer Studies, 70(5), pp. 377–398. doi: 10.1016/j.ijhcs.2012.01.004.</w:t>
      </w:r>
    </w:p>
    <w:p>
      <w:pPr>
        <w:spacing w:after="160" w:line="360"/>
        <w:ind w:left="720" w:hanging="720"/>
        <w:jc w:val="left"/>
      </w:pPr>
      <w:r>
        <w:rPr>
          <w:rFonts w:ascii="Times New Roman" w:cs="Times New Roman" w:eastAsia="Times New Roman" w:hAnsi="Times New Roman"/>
          <w:sz w:val="24"/>
          <w:szCs w:val="24"/>
        </w:rPr>
        <w:t xml:space="preserve">Deng, J., Guo, J., Ververas, E., Kotsia, I. and Zafeiriou, S. (2020) ‘RetinaFace: Single-shot multi-level face localisation in the wild’, Proceedings of the IEEE/CVF Conference on Computer Vision and Pattern Recognition (CVPR), pp. 5203–5212.</w:t>
      </w:r>
    </w:p>
    <w:p>
      <w:pPr>
        <w:spacing w:after="160" w:line="360"/>
        <w:ind w:left="720" w:hanging="720"/>
        <w:jc w:val="left"/>
      </w:pPr>
      <w:r>
        <w:rPr>
          <w:rFonts w:ascii="Times New Roman" w:cs="Times New Roman" w:eastAsia="Times New Roman" w:hAnsi="Times New Roman"/>
          <w:sz w:val="24"/>
          <w:szCs w:val="24"/>
        </w:rPr>
        <w:t xml:space="preserve">Dewan, M.A.A., Murshed, M. and Lin, F. (2019) ‘Engagement detection in online learning: A review’, Smart Learning Environments, 6(1), pp. 1–20. doi: 10.1186/s40561-018-0080-z.</w:t>
      </w:r>
    </w:p>
    <w:p>
      <w:pPr>
        <w:spacing w:after="160" w:line="360"/>
        <w:ind w:left="720" w:hanging="720"/>
        <w:jc w:val="left"/>
      </w:pPr>
      <w:r>
        <w:rPr>
          <w:rFonts w:ascii="Times New Roman" w:cs="Times New Roman" w:eastAsia="Times New Roman" w:hAnsi="Times New Roman"/>
          <w:sz w:val="24"/>
          <w:szCs w:val="24"/>
        </w:rPr>
        <w:t xml:space="preserve">Duvinage, M., Castermans, T., Petieau, M., Hoellinger, T., Cheron, G. and Dutoit, T. (2013) ‘Performance of the Emotiv Epoc headset for P300-based applications’, BioMedical Engineering OnLine, 12(56), pp. 1–15. doi: 10.1186/1475-925X-12-56.</w:t>
      </w:r>
    </w:p>
    <w:p>
      <w:pPr>
        <w:spacing w:after="160" w:line="360"/>
        <w:ind w:left="720" w:hanging="720"/>
        <w:jc w:val="left"/>
      </w:pPr>
      <w:r>
        <w:rPr>
          <w:rFonts w:ascii="Times New Roman" w:cs="Times New Roman" w:eastAsia="Times New Roman" w:hAnsi="Times New Roman"/>
          <w:sz w:val="24"/>
          <w:szCs w:val="24"/>
        </w:rPr>
        <w:t xml:space="preserve">Ekman, P. and Friesen, W.V. (1978) Facial Action Coding System: A Technique for the Measurement of Facial Movement. Palo Alto, CA: Consulting Psychologists Press.</w:t>
      </w:r>
    </w:p>
    <w:p>
      <w:pPr>
        <w:spacing w:after="160" w:line="360"/>
        <w:ind w:left="720" w:hanging="720"/>
        <w:jc w:val="left"/>
      </w:pPr>
      <w:r>
        <w:rPr>
          <w:rFonts w:ascii="Times New Roman" w:cs="Times New Roman" w:eastAsia="Times New Roman" w:hAnsi="Times New Roman"/>
          <w:sz w:val="24"/>
          <w:szCs w:val="24"/>
        </w:rPr>
        <w:t xml:space="preserve">Epp, C., Lippold, M. and Mandryk, R.L. (2011) ‘Identifying emotional states using keystroke dynamics’, Proceedings of the SIGCHI Conference on Human Factors in Computing Systems. New York: ACM, pp. 715–724. doi: 10.1145/1978942.1979046.</w:t>
      </w:r>
    </w:p>
    <w:p>
      <w:pPr>
        <w:spacing w:after="160" w:line="360"/>
        <w:ind w:left="720" w:hanging="720"/>
        <w:jc w:val="left"/>
      </w:pPr>
      <w:r>
        <w:rPr>
          <w:rFonts w:ascii="Times New Roman" w:cs="Times New Roman" w:eastAsia="Times New Roman" w:hAnsi="Times New Roman"/>
          <w:sz w:val="24"/>
          <w:szCs w:val="24"/>
        </w:rPr>
        <w:t xml:space="preserve">Estrin, D. and Robilliard, D. (2016) ‘Browser-based monitoring of student engagement during online examinations’, Proceedings of the ACM Conference on Learning at Scale (L@S), pp. 357–360.</w:t>
      </w:r>
    </w:p>
    <w:p>
      <w:pPr>
        <w:spacing w:after="160" w:line="360"/>
        <w:ind w:left="720" w:hanging="720"/>
        <w:jc w:val="left"/>
      </w:pPr>
      <w:r>
        <w:rPr>
          <w:rFonts w:ascii="Times New Roman" w:cs="Times New Roman" w:eastAsia="Times New Roman" w:hAnsi="Times New Roman"/>
          <w:sz w:val="24"/>
          <w:szCs w:val="24"/>
        </w:rPr>
        <w:t xml:space="preserve">Fan, J., McCandliss, B.D., Sommer, T., Raz, A. and Posner, M.I. (2002) ‘Testing the efficiency and independence of attentional networks’, Journal of Cognitive Neuroscience, 14(3), pp. 340–347. doi: 10.1162/089892902317361886.</w:t>
      </w:r>
    </w:p>
    <w:p>
      <w:pPr>
        <w:spacing w:after="160" w:line="360"/>
        <w:ind w:left="720" w:hanging="720"/>
        <w:jc w:val="left"/>
      </w:pPr>
      <w:r>
        <w:rPr>
          <w:rFonts w:ascii="Times New Roman" w:cs="Times New Roman" w:eastAsia="Times New Roman" w:hAnsi="Times New Roman"/>
          <w:sz w:val="24"/>
          <w:szCs w:val="24"/>
        </w:rPr>
        <w:t xml:space="preserve">Fredricks, J.A., Blumenfeld, P.C. and Paris, A.H. (2004) ‘School engagement: Potential of the concept, state of the evidence’, Review of Educational Research, 74(1), pp. 59–109. doi: 10.3102/00346543074001059.</w:t>
      </w:r>
    </w:p>
    <w:p>
      <w:pPr>
        <w:spacing w:after="160" w:line="360"/>
        <w:ind w:left="720" w:hanging="720"/>
        <w:jc w:val="left"/>
      </w:pPr>
      <w:r>
        <w:rPr>
          <w:rFonts w:ascii="Times New Roman" w:cs="Times New Roman" w:eastAsia="Times New Roman" w:hAnsi="Times New Roman"/>
          <w:sz w:val="24"/>
          <w:szCs w:val="24"/>
        </w:rPr>
        <w:t xml:space="preserve">Guo, Y., Zhang, L., Hu, Y., He, X. and Gao, J. (2021) ‘MS-Celeb-1M: A dataset and benchmark for large-scale face recognition’, Proceedings of the European Conference on Computer Vision (ECCV), pp. 87–102.</w:t>
      </w:r>
    </w:p>
    <w:p>
      <w:pPr>
        <w:spacing w:after="160" w:line="360"/>
        <w:ind w:left="720" w:hanging="720"/>
        <w:jc w:val="left"/>
      </w:pPr>
      <w:r>
        <w:rPr>
          <w:rFonts w:ascii="Times New Roman" w:cs="Times New Roman" w:eastAsia="Times New Roman" w:hAnsi="Times New Roman"/>
          <w:sz w:val="24"/>
          <w:szCs w:val="24"/>
        </w:rPr>
        <w:t xml:space="preserve">Hansen, D.W. and Ji, Q. (2010) ‘In the eye of the beholder: A survey of models for eyes and gaze’, IEEE Transactions on Pattern Analysis and Machine Intelligence, 32(3), pp. 478–500. doi: 10.1109/TPAMI.2009.30.</w:t>
      </w:r>
    </w:p>
    <w:p>
      <w:pPr>
        <w:spacing w:after="160" w:line="360"/>
        <w:ind w:left="720" w:hanging="720"/>
        <w:jc w:val="left"/>
      </w:pPr>
      <w:r>
        <w:rPr>
          <w:rFonts w:ascii="Times New Roman" w:cs="Times New Roman" w:eastAsia="Times New Roman" w:hAnsi="Times New Roman"/>
          <w:sz w:val="24"/>
          <w:szCs w:val="24"/>
        </w:rPr>
        <w:t xml:space="preserve">Hart, S.G. and Staveland, L.E. (1988) ‘Development of NASA-TLX (Task Load Index): Results of empirical and theoretical research’, in Hancock, P.A. and Meshkati, N. (eds.) Human Mental Workload. Amsterdam: North-Holland, pp. 139–183.</w:t>
      </w:r>
    </w:p>
    <w:p>
      <w:pPr>
        <w:spacing w:after="160" w:line="360"/>
        <w:ind w:left="720" w:hanging="720"/>
        <w:jc w:val="left"/>
      </w:pPr>
      <w:r>
        <w:rPr>
          <w:rFonts w:ascii="Times New Roman" w:cs="Times New Roman" w:eastAsia="Times New Roman" w:hAnsi="Times New Roman"/>
          <w:sz w:val="24"/>
          <w:szCs w:val="24"/>
        </w:rPr>
        <w:t xml:space="preserve">Hess, E.H. and Polt, J.M. (1964) ‘Pupil size in relation to mental activity during simple problem-solving’, Science, 143(3611), pp. 1190–1192. doi: 10.1126/science.143.3611.1190.</w:t>
      </w:r>
    </w:p>
    <w:p>
      <w:pPr>
        <w:spacing w:after="160" w:line="360"/>
        <w:ind w:left="720" w:hanging="720"/>
        <w:jc w:val="left"/>
      </w:pPr>
      <w:r>
        <w:rPr>
          <w:rFonts w:ascii="Times New Roman" w:cs="Times New Roman" w:eastAsia="Times New Roman" w:hAnsi="Times New Roman"/>
          <w:sz w:val="24"/>
          <w:szCs w:val="24"/>
        </w:rPr>
        <w:t xml:space="preserve">Hibbeln, M., Jenkins, J.L., Schneider, C., Valacich, J.S. and Weinmann, M. (2017) ‘How is your user feeling? Inferring emotion through human–computer interaction devices’, MIS Quarterly, 41(1), pp. 1–21.</w:t>
      </w:r>
    </w:p>
    <w:p>
      <w:pPr>
        <w:spacing w:after="160" w:line="360"/>
        <w:ind w:left="720" w:hanging="720"/>
        <w:jc w:val="left"/>
      </w:pPr>
      <w:r>
        <w:rPr>
          <w:rFonts w:ascii="Times New Roman" w:cs="Times New Roman" w:eastAsia="Times New Roman" w:hAnsi="Times New Roman"/>
          <w:sz w:val="24"/>
          <w:szCs w:val="24"/>
        </w:rPr>
        <w:t xml:space="preserve">Huang, J., White, R.W. and Buscher, G. (2012) ‘User see, user point: Gaze and cursor alignment in web search’, Proceedings of the SIGCHI Conference on Human Factors in Computing Systems. New York: ACM, pp. 1341–1350. doi: 10.1145/2207676.2208591.</w:t>
      </w:r>
    </w:p>
    <w:p>
      <w:pPr>
        <w:spacing w:after="160" w:line="360"/>
        <w:ind w:left="720" w:hanging="720"/>
        <w:jc w:val="left"/>
      </w:pPr>
      <w:r>
        <w:rPr>
          <w:rFonts w:ascii="Times New Roman" w:cs="Times New Roman" w:eastAsia="Times New Roman" w:hAnsi="Times New Roman"/>
          <w:sz w:val="24"/>
          <w:szCs w:val="24"/>
        </w:rPr>
        <w:t xml:space="preserve">Hutt, S., Mills, C., Bosch, N., Krasich, K., Brockmole, J. and D’Mello, S. (2017) ‘Out of the fr-eye-ing pan: Towards gaze-based models of attention during learning with technology in the classroom’, Proceedings of the 25th Conference on User Modeling, Adaptation and Personalization (UMAP). New York: ACM, pp. 94–103.</w:t>
      </w:r>
    </w:p>
    <w:p>
      <w:pPr>
        <w:spacing w:after="160" w:line="360"/>
        <w:ind w:left="720" w:hanging="720"/>
        <w:jc w:val="left"/>
      </w:pPr>
      <w:r>
        <w:rPr>
          <w:rFonts w:ascii="Times New Roman" w:cs="Times New Roman" w:eastAsia="Times New Roman" w:hAnsi="Times New Roman"/>
          <w:sz w:val="24"/>
          <w:szCs w:val="24"/>
        </w:rPr>
        <w:t xml:space="preserve">James, W. (1890) The Principles of Psychology. New York: Henry Holt and Company.</w:t>
      </w:r>
    </w:p>
    <w:p>
      <w:pPr>
        <w:spacing w:after="160" w:line="360"/>
        <w:ind w:left="720" w:hanging="720"/>
        <w:jc w:val="left"/>
      </w:pPr>
      <w:r>
        <w:rPr>
          <w:rFonts w:ascii="Times New Roman" w:cs="Times New Roman" w:eastAsia="Times New Roman" w:hAnsi="Times New Roman"/>
          <w:sz w:val="24"/>
          <w:szCs w:val="24"/>
        </w:rPr>
        <w:t xml:space="preserve">Kartynnik, Y., Ablavatski, A., Grishchenko, I. and Grundmann, M. (2019) ‘Real-time facial surface geometry from monocular video on mobile GPUs’, arXiv preprint arXiv:1907.06724.</w:t>
      </w:r>
    </w:p>
    <w:p>
      <w:pPr>
        <w:spacing w:after="160" w:line="360"/>
        <w:ind w:left="720" w:hanging="720"/>
        <w:jc w:val="left"/>
      </w:pPr>
      <w:r>
        <w:rPr>
          <w:rFonts w:ascii="Times New Roman" w:cs="Times New Roman" w:eastAsia="Times New Roman" w:hAnsi="Times New Roman"/>
          <w:sz w:val="24"/>
          <w:szCs w:val="24"/>
        </w:rPr>
        <w:t xml:space="preserve">Klimesch, W. (1999) ‘EEG alpha and theta oscillations reflect cognitive and memory performance: A review and analysis’, Brain Research Reviews, 29(2–3), pp. 169–195. doi: 10.1016/S0165-0173(98)00056-3.</w:t>
      </w:r>
    </w:p>
    <w:p>
      <w:pPr>
        <w:spacing w:after="160" w:line="360"/>
        <w:ind w:left="720" w:hanging="720"/>
        <w:jc w:val="left"/>
      </w:pPr>
      <w:r>
        <w:rPr>
          <w:rFonts w:ascii="Times New Roman" w:cs="Times New Roman" w:eastAsia="Times New Roman" w:hAnsi="Times New Roman"/>
          <w:sz w:val="24"/>
          <w:szCs w:val="24"/>
        </w:rPr>
        <w:t xml:space="preserve">Kosch, T., Karolus, J., Zagermann, J., Reiterer, H., Schmidt, A. and Woźniak, P.W. (2023) ‘A survey on measuring cognitive workload in human–computer interaction’, ACM Computing Surveys, 55(13s), pp. 1–39. doi: 10.1145/3582272.</w:t>
      </w:r>
    </w:p>
    <w:p>
      <w:pPr>
        <w:spacing w:after="160" w:line="360"/>
        <w:ind w:left="720" w:hanging="720"/>
        <w:jc w:val="left"/>
      </w:pPr>
      <w:r>
        <w:rPr>
          <w:rFonts w:ascii="Times New Roman" w:cs="Times New Roman" w:eastAsia="Times New Roman" w:hAnsi="Times New Roman"/>
          <w:sz w:val="24"/>
          <w:szCs w:val="24"/>
        </w:rPr>
        <w:t xml:space="preserve">Krafka, K., Khosla, A., Kellnhofer, P., Kannan, H., Bhandarkar, S., Matusik, W. and Torralba, A. (2016) ‘Eye tracking for everyone’, Proceedings of the IEEE Conference on Computer Vision and Pattern Recognition (CVPR), pp. 2176–2184.</w:t>
      </w:r>
    </w:p>
    <w:p>
      <w:pPr>
        <w:spacing w:after="160" w:line="360"/>
        <w:ind w:left="720" w:hanging="720"/>
        <w:jc w:val="left"/>
      </w:pPr>
      <w:r>
        <w:rPr>
          <w:rFonts w:ascii="Times New Roman" w:cs="Times New Roman" w:eastAsia="Times New Roman" w:hAnsi="Times New Roman"/>
          <w:sz w:val="24"/>
          <w:szCs w:val="24"/>
        </w:rPr>
        <w:t xml:space="preserve">Lepetit, V., Moreno-Noguer, F. and Fua, P. (2009) ‘EPnP: An accurate O(n) solution to the PnP problem’, International Journal of Computer Vision, 81(2), pp. 155–166. doi: 10.1007/s11263-008-0152-6.</w:t>
      </w:r>
    </w:p>
    <w:p>
      <w:pPr>
        <w:spacing w:after="160" w:line="360"/>
        <w:ind w:left="720" w:hanging="720"/>
        <w:jc w:val="left"/>
      </w:pPr>
      <w:r>
        <w:rPr>
          <w:rFonts w:ascii="Times New Roman" w:cs="Times New Roman" w:eastAsia="Times New Roman" w:hAnsi="Times New Roman"/>
          <w:sz w:val="24"/>
          <w:szCs w:val="24"/>
        </w:rPr>
        <w:t xml:space="preserve">Li, J., Sun, G., Li, L. and Liang, R. (2021) ‘A lightweight attention detection system based on facial landmarks’, Proceedings of the International Conference on Intelligent Computing and Signal Processing (ICICSP), pp. 456–461.</w:t>
      </w:r>
    </w:p>
    <w:p>
      <w:pPr>
        <w:spacing w:after="160" w:line="360"/>
        <w:ind w:left="720" w:hanging="720"/>
        <w:jc w:val="left"/>
      </w:pPr>
      <w:r>
        <w:rPr>
          <w:rFonts w:ascii="Times New Roman" w:cs="Times New Roman" w:eastAsia="Times New Roman" w:hAnsi="Times New Roman"/>
          <w:sz w:val="24"/>
          <w:szCs w:val="24"/>
        </w:rPr>
        <w:t xml:space="preserve">Lim, Y.M., Ayesh, A. and Stacey, M. (2014) ‘Detecting cognitive stress from keyboard and mouse dynamics during mental arithmetic’, Proceedings of the IEEE Science and Information Conference (SAI), pp. 146–152.</w:t>
      </w:r>
    </w:p>
    <w:p>
      <w:pPr>
        <w:spacing w:after="160" w:line="360"/>
        <w:ind w:left="720" w:hanging="720"/>
        <w:jc w:val="left"/>
      </w:pPr>
      <w:r>
        <w:rPr>
          <w:rFonts w:ascii="Times New Roman" w:cs="Times New Roman" w:eastAsia="Times New Roman" w:hAnsi="Times New Roman"/>
          <w:sz w:val="24"/>
          <w:szCs w:val="24"/>
        </w:rPr>
        <w:t xml:space="preserve">Lu, F., Sugano, Y., Okabe, T. and Sato, Y. (2014) ‘Adaptive linear regression for appearance-based gaze estimation’, IEEE Transactions on Pattern Analysis and Machine Intelligence, 36(10), pp. 2033–2046. doi: 10.1109/TPAMI.2014.2313123.</w:t>
      </w:r>
    </w:p>
    <w:p>
      <w:pPr>
        <w:spacing w:after="160" w:line="360"/>
        <w:ind w:left="720" w:hanging="720"/>
        <w:jc w:val="left"/>
      </w:pPr>
      <w:r>
        <w:rPr>
          <w:rFonts w:ascii="Times New Roman" w:cs="Times New Roman" w:eastAsia="Times New Roman" w:hAnsi="Times New Roman"/>
          <w:sz w:val="24"/>
          <w:szCs w:val="24"/>
        </w:rPr>
        <w:t xml:space="preserve">Lugaresi, C., Tang, J., Nash, H., McClanahan, C., Uboweja, E., Hays, M., Zhang, F., Chang, C.L., Yong, M.G., Lee, J., Chang, W.T., Hua, W., Georg, M. and Grundmann, M. (2019) ‘MediaPipe: A framework for building perception pipelines’, arXiv preprint arXiv:1906.08172.</w:t>
      </w:r>
    </w:p>
    <w:p>
      <w:pPr>
        <w:spacing w:after="160" w:line="360"/>
        <w:ind w:left="720" w:hanging="720"/>
        <w:jc w:val="left"/>
      </w:pPr>
      <w:r>
        <w:rPr>
          <w:rFonts w:ascii="Times New Roman" w:cs="Times New Roman" w:eastAsia="Times New Roman" w:hAnsi="Times New Roman"/>
          <w:sz w:val="24"/>
          <w:szCs w:val="24"/>
        </w:rPr>
        <w:t xml:space="preserve">Mark, G., Gudith, D. and Klocke, U. (2008) ‘The cost of interrupted work: More speed and stress’, Proceedings of the SIGCHI Conference on Human Factors in Computing Systems. New York: ACM, pp. 107–110. doi: 10.1145/1357054.1357072.</w:t>
      </w:r>
    </w:p>
    <w:p>
      <w:pPr>
        <w:spacing w:after="160" w:line="360"/>
        <w:ind w:left="720" w:hanging="720"/>
        <w:jc w:val="left"/>
      </w:pPr>
      <w:r>
        <w:rPr>
          <w:rFonts w:ascii="Times New Roman" w:cs="Times New Roman" w:eastAsia="Times New Roman" w:hAnsi="Times New Roman"/>
          <w:sz w:val="24"/>
          <w:szCs w:val="24"/>
        </w:rPr>
        <w:t xml:space="preserve">Mark, G., Wang, Y. and Niiya, M. (2014) ‘Stress and multitasking in everyday college life: An empirical study of online activity’, Proceedings of the SIGCHI Conference on Human Factors in Computing Systems. New York: ACM, pp. 41–50. doi: 10.1145/2556288.2557361.</w:t>
      </w:r>
    </w:p>
    <w:p>
      <w:pPr>
        <w:spacing w:after="160" w:line="360"/>
        <w:ind w:left="720" w:hanging="720"/>
        <w:jc w:val="left"/>
      </w:pPr>
      <w:r>
        <w:rPr>
          <w:rFonts w:ascii="Times New Roman" w:cs="Times New Roman" w:eastAsia="Times New Roman" w:hAnsi="Times New Roman"/>
          <w:sz w:val="24"/>
          <w:szCs w:val="24"/>
        </w:rPr>
        <w:t xml:space="preserve">MDN Web Docs (2023) Window: focus event. Available at: https://developer.mozilla.org/en-US/docs/Web/API/Window/focus_event (Accessed: 20 January 2026).</w:t>
      </w:r>
    </w:p>
    <w:p>
      <w:pPr>
        <w:spacing w:after="160" w:line="360"/>
        <w:ind w:left="720" w:hanging="720"/>
        <w:jc w:val="left"/>
      </w:pPr>
      <w:r>
        <w:rPr>
          <w:rFonts w:ascii="Times New Roman" w:cs="Times New Roman" w:eastAsia="Times New Roman" w:hAnsi="Times New Roman"/>
          <w:sz w:val="24"/>
          <w:szCs w:val="24"/>
        </w:rPr>
        <w:t xml:space="preserve">Means, B. and Neisler, J. (2021) ‘Suddenly online: A national survey of undergraduates during the COVID-19 pandemic’, Digital Promise. Available at: https://digitalpromise.org/wp-content/uploads/2021/07/Suddenly_Online.pdf (Accessed: 15 January 2026).</w:t>
      </w:r>
    </w:p>
    <w:p>
      <w:pPr>
        <w:spacing w:after="160" w:line="360"/>
        <w:ind w:left="720" w:hanging="720"/>
        <w:jc w:val="left"/>
      </w:pPr>
      <w:r>
        <w:rPr>
          <w:rFonts w:ascii="Times New Roman" w:cs="Times New Roman" w:eastAsia="Times New Roman" w:hAnsi="Times New Roman"/>
          <w:sz w:val="24"/>
          <w:szCs w:val="24"/>
        </w:rPr>
        <w:t xml:space="preserve">Monkaresi, H., Bosch, N., Calvo, R.A. and D’Mello, S. (2017) ‘Automated detection of engagement using video-based estimation of facial expressions and heart rate’, IEEE Transactions on Affective Computing, 8(1), pp. 15–28. doi: 10.1109/TAFFC.2016.2515084.</w:t>
      </w:r>
    </w:p>
    <w:p>
      <w:pPr>
        <w:spacing w:after="160" w:line="360"/>
        <w:ind w:left="720" w:hanging="720"/>
        <w:jc w:val="left"/>
      </w:pPr>
      <w:r>
        <w:rPr>
          <w:rFonts w:ascii="Times New Roman" w:cs="Times New Roman" w:eastAsia="Times New Roman" w:hAnsi="Times New Roman"/>
          <w:sz w:val="24"/>
          <w:szCs w:val="24"/>
        </w:rPr>
        <w:t xml:space="preserve">Monsell, S. (2003) ‘Task switching’, Trends in Cognitive Sciences, 7(3), pp. 134–140. doi: 10.1016/S1364-6613(03)00028-7.</w:t>
      </w:r>
    </w:p>
    <w:p>
      <w:pPr>
        <w:spacing w:after="160" w:line="360"/>
        <w:ind w:left="720" w:hanging="720"/>
        <w:jc w:val="left"/>
      </w:pPr>
      <w:r>
        <w:rPr>
          <w:rFonts w:ascii="Times New Roman" w:cs="Times New Roman" w:eastAsia="Times New Roman" w:hAnsi="Times New Roman"/>
          <w:sz w:val="24"/>
          <w:szCs w:val="24"/>
        </w:rPr>
        <w:t xml:space="preserve">Murphy-Chutorian, E. and Trivedi, M.M. (2009) ‘Head pose estimation in computer vision: A survey’, IEEE Transactions on Pattern Analysis and Machine Intelligence, 31(4), pp. 607–626. doi: 10.1109/TPAMI.2008.106.</w:t>
      </w:r>
    </w:p>
    <w:p>
      <w:pPr>
        <w:spacing w:after="160" w:line="360"/>
        <w:ind w:left="720" w:hanging="720"/>
        <w:jc w:val="left"/>
      </w:pPr>
      <w:r>
        <w:rPr>
          <w:rFonts w:ascii="Times New Roman" w:cs="Times New Roman" w:eastAsia="Times New Roman" w:hAnsi="Times New Roman"/>
          <w:sz w:val="24"/>
          <w:szCs w:val="24"/>
        </w:rPr>
        <w:t xml:space="preserve">Navalpakkam, V. and Churchill, E. (2012) ‘Mouse tracking: Measuring and predicting users’ experience of web-based content’, Proceedings of the SIGCHI Conference on Human Factors in Computing Systems. New York: ACM, pp. 2963–2972. doi: 10.1145/2207676.2208705.</w:t>
      </w:r>
    </w:p>
    <w:p>
      <w:pPr>
        <w:spacing w:after="160" w:line="360"/>
        <w:ind w:left="720" w:hanging="720"/>
        <w:jc w:val="left"/>
      </w:pPr>
      <w:r>
        <w:rPr>
          <w:rFonts w:ascii="Times New Roman" w:cs="Times New Roman" w:eastAsia="Times New Roman" w:hAnsi="Times New Roman"/>
          <w:sz w:val="24"/>
          <w:szCs w:val="24"/>
        </w:rPr>
        <w:t xml:space="preserve">Nezami, O.M., Dras, M., Hamey, L., Richards, D., Wan, S. and Paris, C. (2020) ‘Automatic recognition of student engagement using deep learning and facial expression’, Proceedings of the European Conference on Machine Learning and Principles and Practice of Knowledge Discovery in Databases (ECML PKDD), pp. 273–289.</w:t>
      </w:r>
    </w:p>
    <w:p>
      <w:pPr>
        <w:spacing w:after="160" w:line="360"/>
        <w:ind w:left="720" w:hanging="720"/>
        <w:jc w:val="left"/>
      </w:pPr>
      <w:r>
        <w:rPr>
          <w:rFonts w:ascii="Times New Roman" w:cs="Times New Roman" w:eastAsia="Times New Roman" w:hAnsi="Times New Roman"/>
          <w:sz w:val="24"/>
          <w:szCs w:val="24"/>
        </w:rPr>
        <w:t xml:space="preserve">Nigam, A., Pasricha, R., Singh, T. and Churi, P. (2021) ‘A systematic review on AI-based proctoring systems: Past, present and future’, Education and Information Technologies, 26(5), pp. 6421–6445. doi: 10.1007/s10639-021-10597-x.</w:t>
      </w:r>
    </w:p>
    <w:p>
      <w:pPr>
        <w:spacing w:after="160" w:line="360"/>
        <w:ind w:left="720" w:hanging="720"/>
        <w:jc w:val="left"/>
      </w:pPr>
      <w:r>
        <w:rPr>
          <w:rFonts w:ascii="Times New Roman" w:cs="Times New Roman" w:eastAsia="Times New Roman" w:hAnsi="Times New Roman"/>
          <w:sz w:val="24"/>
          <w:szCs w:val="24"/>
        </w:rPr>
        <w:t xml:space="preserve">Papoutsaki, A., Sangkloy, P., Laskey, J., Daskalova, N., Huang, J. and Hays, J. (2016) ‘WebGazer: Scalable webcam eye tracking using user interactions’, Proceedings of the 25th International Joint Conference on Artificial Intelligence (IJCAI), pp. 3839–3845.</w:t>
      </w:r>
    </w:p>
    <w:p>
      <w:pPr>
        <w:spacing w:after="160" w:line="360"/>
        <w:ind w:left="720" w:hanging="720"/>
        <w:jc w:val="left"/>
      </w:pPr>
      <w:r>
        <w:rPr>
          <w:rFonts w:ascii="Times New Roman" w:cs="Times New Roman" w:eastAsia="Times New Roman" w:hAnsi="Times New Roman"/>
          <w:sz w:val="24"/>
          <w:szCs w:val="24"/>
        </w:rPr>
        <w:t xml:space="preserve">Parasuraman, R. (1998) ‘The attentive brain: Issues and prospects’, in Parasuraman, R. (ed.) The Attentive Brain. Cambridge, MA: MIT Press, pp. 3–15.</w:t>
      </w:r>
    </w:p>
    <w:p>
      <w:pPr>
        <w:spacing w:after="160" w:line="360"/>
        <w:ind w:left="720" w:hanging="720"/>
        <w:jc w:val="left"/>
      </w:pPr>
      <w:r>
        <w:rPr>
          <w:rFonts w:ascii="Times New Roman" w:cs="Times New Roman" w:eastAsia="Times New Roman" w:hAnsi="Times New Roman"/>
          <w:sz w:val="24"/>
          <w:szCs w:val="24"/>
        </w:rPr>
        <w:t xml:space="preserve">Pashler, H. (1998) The Psychology of Attention. Cambridge, MA: MIT Press.</w:t>
      </w:r>
    </w:p>
    <w:p>
      <w:pPr>
        <w:spacing w:after="160" w:line="360"/>
        <w:ind w:left="720" w:hanging="720"/>
        <w:jc w:val="left"/>
      </w:pPr>
      <w:r>
        <w:rPr>
          <w:rFonts w:ascii="Times New Roman" w:cs="Times New Roman" w:eastAsia="Times New Roman" w:hAnsi="Times New Roman"/>
          <w:sz w:val="24"/>
          <w:szCs w:val="24"/>
        </w:rPr>
        <w:t xml:space="preserve">Pimenta, A., Carneiro, D., Neves, J. and Novais, P. (2015) ‘A neural network to classify fatigue from human–computer interaction’, Neurocomputing, 172, pp. 413–426. doi: 10.1016/j.neucom.2015.03.105.</w:t>
      </w:r>
    </w:p>
    <w:p>
      <w:pPr>
        <w:spacing w:after="160" w:line="360"/>
        <w:ind w:left="720" w:hanging="720"/>
        <w:jc w:val="left"/>
      </w:pPr>
      <w:r>
        <w:rPr>
          <w:rFonts w:ascii="Times New Roman" w:cs="Times New Roman" w:eastAsia="Times New Roman" w:hAnsi="Times New Roman"/>
          <w:sz w:val="24"/>
          <w:szCs w:val="24"/>
        </w:rPr>
        <w:t xml:space="preserve">Posner, M.I. and Petersen, S.E. (1990) ‘The attention system of the human brain’, Annual Review of Neuroscience, 13(1), pp. 25–42. doi: 10.1146/annurev.ne.13.030190.000325.</w:t>
      </w:r>
    </w:p>
    <w:p>
      <w:pPr>
        <w:spacing w:after="160" w:line="360"/>
        <w:ind w:left="720" w:hanging="720"/>
        <w:jc w:val="left"/>
      </w:pPr>
      <w:r>
        <w:rPr>
          <w:rFonts w:ascii="Times New Roman" w:cs="Times New Roman" w:eastAsia="Times New Roman" w:hAnsi="Times New Roman"/>
          <w:sz w:val="24"/>
          <w:szCs w:val="24"/>
        </w:rPr>
        <w:t xml:space="preserve">RescueTime (2024) RescueTime: Automatic time tracking software. Available at: https://www.rescuetime.com (Accessed: 20 January 2026).</w:t>
      </w:r>
    </w:p>
    <w:p>
      <w:pPr>
        <w:spacing w:after="160" w:line="360"/>
        <w:ind w:left="720" w:hanging="720"/>
        <w:jc w:val="left"/>
      </w:pPr>
      <w:r>
        <w:rPr>
          <w:rFonts w:ascii="Times New Roman" w:cs="Times New Roman" w:eastAsia="Times New Roman" w:hAnsi="Times New Roman"/>
          <w:sz w:val="24"/>
          <w:szCs w:val="24"/>
        </w:rPr>
        <w:t xml:space="preserve">Risko, E.F., Anderson, N., Sarwal, A., Engelhardt, M. and Kingstone, A. (2012) ‘Everyday attention: Variation in mind wandering and memory in a lecture’, Applied Cognitive Psychology, 26(2), pp. 234–242. doi: 10.1002/acp.1814.</w:t>
      </w:r>
    </w:p>
    <w:p>
      <w:pPr>
        <w:spacing w:after="160" w:line="360"/>
        <w:ind w:left="720" w:hanging="720"/>
        <w:jc w:val="left"/>
      </w:pPr>
      <w:r>
        <w:rPr>
          <w:rFonts w:ascii="Times New Roman" w:cs="Times New Roman" w:eastAsia="Times New Roman" w:hAnsi="Times New Roman"/>
          <w:sz w:val="24"/>
          <w:szCs w:val="24"/>
        </w:rPr>
        <w:t xml:space="preserve">Risko, E.F., Buchanan, D., Medimorec, S. and Kingstone, A. (2013) ‘Everyday attention: Mind wandering and computer use during lectures’, Computers &amp; Education, 68, pp. 275–283. doi: 10.1016/j.compedu.2013.05.001.</w:t>
      </w:r>
    </w:p>
    <w:p>
      <w:pPr>
        <w:spacing w:after="160" w:line="360"/>
        <w:ind w:left="720" w:hanging="720"/>
        <w:jc w:val="left"/>
      </w:pPr>
      <w:r>
        <w:rPr>
          <w:rFonts w:ascii="Times New Roman" w:cs="Times New Roman" w:eastAsia="Times New Roman" w:hAnsi="Times New Roman"/>
          <w:sz w:val="24"/>
          <w:szCs w:val="24"/>
        </w:rPr>
        <w:t xml:space="preserve">Roda, C. (2011) Human Attention in Digital Environments. Cambridge: Cambridge University Press.</w:t>
      </w:r>
    </w:p>
    <w:p>
      <w:pPr>
        <w:spacing w:after="160" w:line="360"/>
        <w:ind w:left="720" w:hanging="720"/>
        <w:jc w:val="left"/>
      </w:pPr>
      <w:r>
        <w:rPr>
          <w:rFonts w:ascii="Times New Roman" w:cs="Times New Roman" w:eastAsia="Times New Roman" w:hAnsi="Times New Roman"/>
          <w:sz w:val="24"/>
          <w:szCs w:val="24"/>
        </w:rPr>
        <w:t xml:space="preserve">Sagonas, C., Antonakos, E., Tzimiropoulos, G., Zafeiriou, S. and Pantic, M. (2016) ‘300 Faces In-The-Wild challenge: Database and results’, Image and Vision Computing, 47, pp. 3–18. doi: 10.1016/j.imavis.2016.01.002.</w:t>
      </w:r>
    </w:p>
    <w:p>
      <w:pPr>
        <w:spacing w:after="160" w:line="360"/>
        <w:ind w:left="720" w:hanging="720"/>
        <w:jc w:val="left"/>
      </w:pPr>
      <w:r>
        <w:rPr>
          <w:rFonts w:ascii="Times New Roman" w:cs="Times New Roman" w:eastAsia="Times New Roman" w:hAnsi="Times New Roman"/>
          <w:sz w:val="24"/>
          <w:szCs w:val="24"/>
        </w:rPr>
        <w:t xml:space="preserve">Salmeron-Majadas, S., Santos, O.C. and Boticario, J.G. (2014) ‘An evaluation of mouse and keyboard interaction indicators towards non-intrusive and low cost affective modeling in an educational context’, Procedia Computer Science, 35, pp. 691–700. doi: 10.1016/j.procs.2014.08.151.</w:t>
      </w:r>
    </w:p>
    <w:p>
      <w:pPr>
        <w:spacing w:after="160" w:line="360"/>
        <w:ind w:left="720" w:hanging="720"/>
        <w:jc w:val="left"/>
      </w:pPr>
      <w:r>
        <w:rPr>
          <w:rFonts w:ascii="Times New Roman" w:cs="Times New Roman" w:eastAsia="Times New Roman" w:hAnsi="Times New Roman"/>
          <w:sz w:val="24"/>
          <w:szCs w:val="24"/>
        </w:rPr>
        <w:t xml:space="preserve">Seli, P., Risko, E.F., Smilek, D. and Schacter, D.L. (2016) ‘Mind-wandering with and without intention’, Trends in Cognitive Sciences, 20(8), pp. 605–617. doi: 10.1016/j.tics.2016.05.010.</w:t>
      </w:r>
    </w:p>
    <w:p>
      <w:pPr>
        <w:spacing w:after="160" w:line="360"/>
        <w:ind w:left="720" w:hanging="720"/>
        <w:jc w:val="left"/>
      </w:pPr>
      <w:r>
        <w:rPr>
          <w:rFonts w:ascii="Times New Roman" w:cs="Times New Roman" w:eastAsia="Times New Roman" w:hAnsi="Times New Roman"/>
          <w:sz w:val="24"/>
          <w:szCs w:val="24"/>
        </w:rPr>
        <w:t xml:space="preserve">Sharma, K., Giannakos, M. and Dillenbourg, P. (2019) ‘Eye-tracking and artificial intelligence to enhance motivation and learning’, Smart Learning Environments, 6(1), pp. 1–20. doi: 10.1186/s40561-019-0088-x.</w:t>
      </w:r>
    </w:p>
    <w:p>
      <w:pPr>
        <w:spacing w:after="160" w:line="360"/>
        <w:ind w:left="720" w:hanging="720"/>
        <w:jc w:val="left"/>
      </w:pPr>
      <w:r>
        <w:rPr>
          <w:rFonts w:ascii="Times New Roman" w:cs="Times New Roman" w:eastAsia="Times New Roman" w:hAnsi="Times New Roman"/>
          <w:sz w:val="24"/>
          <w:szCs w:val="24"/>
        </w:rPr>
        <w:t xml:space="preserve">Sharma, K., Papamitsiou, Z. and Giannakos, M. (2020) ‘Building pipelines for educational data using AI and multimodal analytics: A grey-box approach’, British Journal of Educational Technology, 51(6), pp. 1954–1971. doi: 10.1111/bjet.12854.</w:t>
      </w:r>
    </w:p>
    <w:p>
      <w:pPr>
        <w:spacing w:after="160" w:line="360"/>
        <w:ind w:left="720" w:hanging="720"/>
        <w:jc w:val="left"/>
      </w:pPr>
      <w:r>
        <w:rPr>
          <w:rFonts w:ascii="Times New Roman" w:cs="Times New Roman" w:eastAsia="Times New Roman" w:hAnsi="Times New Roman"/>
          <w:sz w:val="24"/>
          <w:szCs w:val="24"/>
        </w:rPr>
        <w:t xml:space="preserve">Slade, S. and Prinsloo, P. (2013) ‘Learning analytics: Ethical issues and dilemmas’, American Behavioral Scientist, 57(10), pp. 1510–1529. doi: 10.1177/0002764213479366.</w:t>
      </w:r>
    </w:p>
    <w:p>
      <w:pPr>
        <w:spacing w:after="160" w:line="360"/>
        <w:ind w:left="720" w:hanging="720"/>
        <w:jc w:val="left"/>
      </w:pPr>
      <w:r>
        <w:rPr>
          <w:rFonts w:ascii="Times New Roman" w:cs="Times New Roman" w:eastAsia="Times New Roman" w:hAnsi="Times New Roman"/>
          <w:sz w:val="24"/>
          <w:szCs w:val="24"/>
        </w:rPr>
        <w:t xml:space="preserve">Smallwood, J. and Schooler, J.W. (2006) ‘The restless mind’, Psychological Bulletin, 132(6), pp. 946–958. doi: 10.1037/0033-2909.132.6.946.</w:t>
      </w:r>
    </w:p>
    <w:p>
      <w:pPr>
        <w:spacing w:after="160" w:line="360"/>
        <w:ind w:left="720" w:hanging="720"/>
        <w:jc w:val="left"/>
      </w:pPr>
      <w:r>
        <w:rPr>
          <w:rFonts w:ascii="Times New Roman" w:cs="Times New Roman" w:eastAsia="Times New Roman" w:hAnsi="Times New Roman"/>
          <w:sz w:val="24"/>
          <w:szCs w:val="24"/>
        </w:rPr>
        <w:t xml:space="preserve">Stewart, A.E.B., Vemuri, K., Guo, Y. and D’Mello, S. (2017) ‘Language and discourse predictors of student engagement in online discussions’, Proceedings of the International Conference on Artificial Intelligence in Education (AIED), pp. 452–457.</w:t>
      </w:r>
    </w:p>
    <w:p>
      <w:pPr>
        <w:spacing w:after="160" w:line="360"/>
        <w:ind w:left="720" w:hanging="720"/>
        <w:jc w:val="left"/>
      </w:pPr>
      <w:r>
        <w:rPr>
          <w:rFonts w:ascii="Times New Roman" w:cs="Times New Roman" w:eastAsia="Times New Roman" w:hAnsi="Times New Roman"/>
          <w:sz w:val="24"/>
          <w:szCs w:val="24"/>
        </w:rPr>
        <w:t xml:space="preserve">Thomas, C. and Jayagopi, D.B. (2017) ‘Predicting student engagement in classrooms using facial behavioral cues’, Proceedings of the ACM SIGCHI Symposium on Engineering Interactive Computing Systems (EICS), pp. 33–40.</w:t>
      </w:r>
    </w:p>
    <w:p>
      <w:pPr>
        <w:spacing w:after="160" w:line="360"/>
        <w:ind w:left="720" w:hanging="720"/>
        <w:jc w:val="left"/>
      </w:pPr>
      <w:r>
        <w:rPr>
          <w:rFonts w:ascii="Times New Roman" w:cs="Times New Roman" w:eastAsia="Times New Roman" w:hAnsi="Times New Roman"/>
          <w:sz w:val="24"/>
          <w:szCs w:val="24"/>
        </w:rPr>
        <w:t xml:space="preserve">Tourangeau, R., Rips, L.J. and Rasinski, K. (2000) The Psychology of Survey Response. Cambridge: Cambridge University Press.</w:t>
      </w:r>
    </w:p>
    <w:p>
      <w:pPr>
        <w:spacing w:after="160" w:line="360"/>
        <w:ind w:left="720" w:hanging="720"/>
        <w:jc w:val="left"/>
      </w:pPr>
      <w:r>
        <w:rPr>
          <w:rFonts w:ascii="Times New Roman" w:cs="Times New Roman" w:eastAsia="Times New Roman" w:hAnsi="Times New Roman"/>
          <w:sz w:val="24"/>
          <w:szCs w:val="24"/>
        </w:rPr>
        <w:t xml:space="preserve">Treisman, A.M. (1964) ‘Selective attention in man’, British Medical Bulletin, 20(1), pp. 12–16.</w:t>
      </w:r>
    </w:p>
    <w:p>
      <w:pPr>
        <w:spacing w:after="160" w:line="360"/>
        <w:ind w:left="720" w:hanging="720"/>
        <w:jc w:val="left"/>
      </w:pPr>
      <w:r>
        <w:rPr>
          <w:rFonts w:ascii="Times New Roman" w:cs="Times New Roman" w:eastAsia="Times New Roman" w:hAnsi="Times New Roman"/>
          <w:sz w:val="24"/>
          <w:szCs w:val="24"/>
        </w:rPr>
        <w:t xml:space="preserve">Viola, P. and Jones, M. (2001) ‘Rapid object detection using a boosted cascade of simple features’, Proceedings of the IEEE Conference on Computer Vision and Pattern Recognition (CVPR), 1, pp. 511–518.</w:t>
      </w:r>
    </w:p>
    <w:p>
      <w:pPr>
        <w:spacing w:after="160" w:line="360"/>
        <w:ind w:left="720" w:hanging="720"/>
        <w:jc w:val="left"/>
      </w:pPr>
      <w:r>
        <w:rPr>
          <w:rFonts w:ascii="Times New Roman" w:cs="Times New Roman" w:eastAsia="Times New Roman" w:hAnsi="Times New Roman"/>
          <w:sz w:val="24"/>
          <w:szCs w:val="24"/>
        </w:rPr>
        <w:t xml:space="preserve">Vizer, L.M., Zhou, L. and Sears, A. (2009) ‘Automated stress detection using keystroke and linguistic features: An exploratory study’, International Journal of Human-Computer Studies, 67(10), pp. 870–886. doi: 10.1016/j.ijhcs.2009.07.005.</w:t>
      </w:r>
    </w:p>
    <w:p>
      <w:pPr>
        <w:spacing w:after="160" w:line="360"/>
        <w:ind w:left="720" w:hanging="720"/>
        <w:jc w:val="left"/>
      </w:pPr>
      <w:r>
        <w:rPr>
          <w:rFonts w:ascii="Times New Roman" w:cs="Times New Roman" w:eastAsia="Times New Roman" w:hAnsi="Times New Roman"/>
          <w:sz w:val="24"/>
          <w:szCs w:val="24"/>
        </w:rPr>
        <w:t xml:space="preserve">W3C (2013) Page Visibility (Second Edition). W3C Recommendation. Available at: https://www.w3.org/TR/page-visibility-2/ (Accessed: 20 January 2026).</w:t>
      </w:r>
    </w:p>
    <w:p>
      <w:pPr>
        <w:spacing w:after="160" w:line="360"/>
        <w:ind w:left="720" w:hanging="720"/>
        <w:jc w:val="left"/>
      </w:pPr>
      <w:r>
        <w:rPr>
          <w:rFonts w:ascii="Times New Roman" w:cs="Times New Roman" w:eastAsia="Times New Roman" w:hAnsi="Times New Roman"/>
          <w:sz w:val="24"/>
          <w:szCs w:val="24"/>
        </w:rPr>
        <w:t xml:space="preserve">Whitehill, J., Serpell, Z., Lin, Y.C., Foster, A. and Movellan, J.R. (2014) ‘The faces of engagement: Automatic recognition of student engagement from facial expressions’, IEEE Transactions on Affective Computing, 5(1), pp. 86–98. doi: 10.1109/TAFFC.2014.2316163.</w:t>
      </w:r>
    </w:p>
    <w:p>
      <w:pPr>
        <w:spacing w:after="160" w:line="360"/>
        <w:ind w:left="720" w:hanging="720"/>
        <w:jc w:val="left"/>
      </w:pPr>
      <w:r>
        <w:rPr>
          <w:rFonts w:ascii="Times New Roman" w:cs="Times New Roman" w:eastAsia="Times New Roman" w:hAnsi="Times New Roman"/>
          <w:sz w:val="24"/>
          <w:szCs w:val="24"/>
        </w:rPr>
        <w:t xml:space="preserve">Yamauchi, T. and Xiao, K. (2018) ‘Reading emotion from mouse cursor motions: Affective computing approach’, Cognitive Science, 42(3), pp. 771–819. doi: 10.1111/cogs.12557.</w:t>
      </w:r>
    </w:p>
    <w:p>
      <w:pPr>
        <w:spacing w:after="160" w:line="360"/>
        <w:ind w:left="720" w:hanging="720"/>
        <w:jc w:val="left"/>
      </w:pPr>
      <w:r>
        <w:rPr>
          <w:rFonts w:ascii="Times New Roman" w:cs="Times New Roman" w:eastAsia="Times New Roman" w:hAnsi="Times New Roman"/>
          <w:sz w:val="24"/>
          <w:szCs w:val="24"/>
        </w:rPr>
        <w:t xml:space="preserve">Yang, S., Luo, P., Loy, C.C. and Tang, X. (2016) ‘WIDER FACE: A face detection benchmark’, Proceedings of the IEEE Conference on Computer Vision and Pattern Recognition (CVPR), pp. 5525–5533.</w:t>
      </w:r>
    </w:p>
    <w:p>
      <w:pPr>
        <w:spacing w:after="160" w:line="360"/>
        <w:ind w:left="720" w:hanging="720"/>
        <w:jc w:val="left"/>
      </w:pPr>
      <w:r>
        <w:rPr>
          <w:rFonts w:ascii="Times New Roman" w:cs="Times New Roman" w:eastAsia="Times New Roman" w:hAnsi="Times New Roman"/>
          <w:sz w:val="24"/>
          <w:szCs w:val="24"/>
        </w:rPr>
        <w:t xml:space="preserve">Zhang, K., Zhang, Z., Li, Z. and Qiao, Y. (2016a) ‘Joint face detection and alignment using multitask cascaded convolutional networks’, IEEE Signal Processing Letters, 23(10), pp. 1499–1503. doi: 10.1109/LSP.2016.2603342.</w:t>
      </w:r>
    </w:p>
    <w:p>
      <w:pPr>
        <w:spacing w:after="160" w:line="360"/>
        <w:ind w:left="720" w:hanging="720"/>
        <w:jc w:val="left"/>
      </w:pPr>
      <w:r>
        <w:rPr>
          <w:rFonts w:ascii="Times New Roman" w:cs="Times New Roman" w:eastAsia="Times New Roman" w:hAnsi="Times New Roman"/>
          <w:sz w:val="24"/>
          <w:szCs w:val="24"/>
        </w:rPr>
        <w:t xml:space="preserve">Zhang, X., Sugano, Y., Fritz, M. and Bulling, A. (2015) ‘Appearance-based gaze estimation in the wild’, Proceedings of the IEEE Conference on Computer Vision and Pattern Recognition (CVPR), pp. 4511–4520.</w:t>
      </w:r>
    </w:p>
    <w:p>
      <w:pPr>
        <w:spacing w:after="160" w:line="360"/>
        <w:ind w:left="720" w:hanging="720"/>
        <w:jc w:val="left"/>
      </w:pPr>
      <w:r>
        <w:rPr>
          <w:rFonts w:ascii="Times New Roman" w:cs="Times New Roman" w:eastAsia="Times New Roman" w:hAnsi="Times New Roman"/>
          <w:sz w:val="24"/>
          <w:szCs w:val="24"/>
        </w:rPr>
        <w:t xml:space="preserve">Zhang, X., Sugano, Y., Fritz, M. and Bulling, A. (2017) ‘It’s written all over your face: Full-face appearance-based gaze estimation’, Proceedings of the IEEE Conference on Computer Vision and Pattern Recognition Workshops (CVPRW), pp. 2299–2308.</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before="280" w:after="24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before="240" w:after="20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2026-02-24T23:32:26.018Z</dcterms:created>
  <dcterms:modified xsi:type="dcterms:W3CDTF">2026-02-24T23:32:26.019Z</dcterms:modified>
</cp:coreProperties>
</file>

<file path=docProps/custom.xml><?xml version="1.0" encoding="utf-8"?>
<Properties xmlns="http://schemas.openxmlformats.org/officeDocument/2006/custom-properties" xmlns:vt="http://schemas.openxmlformats.org/officeDocument/2006/docPropsVTypes"/>
</file>