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br w:type="textWrapping"/>
      </w:r>
    </w:p>
    <w:p w:rsidR="00000000" w:rsidDel="00000000" w:rsidP="00000000" w:rsidRDefault="00000000" w:rsidRPr="00000000" w14:paraId="00000002">
      <w:pPr>
        <w:spacing w:line="360" w:lineRule="auto"/>
        <w:jc w:val="center"/>
        <w:rPr/>
      </w:pPr>
      <w:r w:rsidDel="00000000" w:rsidR="00000000" w:rsidRPr="00000000">
        <w:rPr>
          <w:rtl w:val="0"/>
        </w:rPr>
        <w:br w:type="textWrapping"/>
      </w:r>
    </w:p>
    <w:p w:rsidR="00000000" w:rsidDel="00000000" w:rsidP="00000000" w:rsidRDefault="00000000" w:rsidRPr="00000000" w14:paraId="00000003">
      <w:pPr>
        <w:spacing w:line="360" w:lineRule="auto"/>
        <w:jc w:val="center"/>
        <w:rPr/>
      </w:pPr>
      <w:r w:rsidDel="00000000" w:rsidR="00000000" w:rsidRPr="00000000">
        <w:rPr>
          <w:rtl w:val="0"/>
        </w:rPr>
        <w:br w:type="textWrapping"/>
      </w:r>
    </w:p>
    <w:p w:rsidR="00000000" w:rsidDel="00000000" w:rsidP="00000000" w:rsidRDefault="00000000" w:rsidRPr="00000000" w14:paraId="00000004">
      <w:pPr>
        <w:spacing w:line="360" w:lineRule="auto"/>
        <w:jc w:val="center"/>
        <w:rPr/>
      </w:pPr>
      <w:r w:rsidDel="00000000" w:rsidR="00000000" w:rsidRPr="00000000">
        <w:rPr>
          <w:rtl w:val="0"/>
        </w:rPr>
        <w:br w:type="textWrapping"/>
      </w:r>
    </w:p>
    <w:p w:rsidR="00000000" w:rsidDel="00000000" w:rsidP="00000000" w:rsidRDefault="00000000" w:rsidRPr="00000000" w14:paraId="00000005">
      <w:pPr>
        <w:spacing w:line="360" w:lineRule="auto"/>
        <w:jc w:val="center"/>
        <w:rPr/>
      </w:pPr>
      <w:r w:rsidDel="00000000" w:rsidR="00000000" w:rsidRPr="00000000">
        <w:rPr>
          <w:rtl w:val="0"/>
        </w:rPr>
        <w:br w:type="textWrapping"/>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2"/>
          <w:szCs w:val="32"/>
        </w:rPr>
      </w:pPr>
      <w:r w:rsidDel="00000000" w:rsidR="00000000" w:rsidRPr="00000000">
        <w:rPr>
          <w:b w:val="1"/>
          <w:bCs w:val="1"/>
          <w:sz w:val="32"/>
          <w:szCs w:val="32"/>
          <w:rtl w:val="0"/>
        </w:rPr>
        <w:t xml:space="preserve">Plano Estratégico de Informatização: Diagnóstico e Levantamento de Requisitos</w:t>
      </w:r>
    </w:p>
    <w:p w:rsidR="00000000" w:rsidDel="00000000" w:rsidP="00000000" w:rsidRDefault="00000000" w:rsidRPr="00000000" w14:paraId="00000008">
      <w:pPr>
        <w:spacing w:after="80" w:before="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80" w:before="80" w:line="360" w:lineRule="auto"/>
        <w:jc w:val="center"/>
        <w:rPr>
          <w:sz w:val="24"/>
          <w:szCs w:val="24"/>
        </w:rPr>
      </w:pPr>
      <w:r w:rsidDel="00000000" w:rsidR="00000000" w:rsidRPr="00000000">
        <w:rPr>
          <w:sz w:val="24"/>
          <w:szCs w:val="24"/>
          <w:rtl w:val="0"/>
        </w:rPr>
        <w:t xml:space="preserve">Tema: Plataforma de ingestão e visualização (Convênio Médico)</w:t>
      </w:r>
    </w:p>
    <w:p w:rsidR="00000000" w:rsidDel="00000000" w:rsidP="00000000" w:rsidRDefault="00000000" w:rsidRPr="00000000" w14:paraId="0000000A">
      <w:pPr>
        <w:spacing w:after="80" w:before="80" w:line="360" w:lineRule="auto"/>
        <w:jc w:val="center"/>
        <w:rPr>
          <w:sz w:val="24"/>
          <w:szCs w:val="24"/>
        </w:rPr>
      </w:pPr>
      <w:r w:rsidDel="00000000" w:rsidR="00000000" w:rsidRPr="00000000">
        <w:rPr>
          <w:rtl w:val="0"/>
        </w:rPr>
      </w:r>
    </w:p>
    <w:p w:rsidR="00000000" w:rsidDel="00000000" w:rsidP="00000000" w:rsidRDefault="00000000" w:rsidRPr="00000000" w14:paraId="0000000B">
      <w:pPr>
        <w:spacing w:after="80" w:before="80" w:line="360" w:lineRule="auto"/>
        <w:jc w:val="center"/>
        <w:rPr>
          <w:sz w:val="24"/>
          <w:szCs w:val="24"/>
        </w:rPr>
      </w:pPr>
      <w:r w:rsidDel="00000000" w:rsidR="00000000" w:rsidRPr="00000000">
        <w:rPr>
          <w:rtl w:val="0"/>
        </w:rPr>
      </w:r>
    </w:p>
    <w:p w:rsidR="00000000" w:rsidDel="00000000" w:rsidP="00000000" w:rsidRDefault="00000000" w:rsidRPr="00000000" w14:paraId="0000000C">
      <w:pPr>
        <w:spacing w:after="80" w:before="80" w:line="360" w:lineRule="auto"/>
        <w:jc w:val="center"/>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0D">
      <w:pPr>
        <w:spacing w:after="80" w:before="80" w:line="360" w:lineRule="auto"/>
        <w:jc w:val="center"/>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0E">
      <w:pPr>
        <w:spacing w:after="80" w:before="80" w:line="360" w:lineRule="auto"/>
        <w:jc w:val="center"/>
        <w:rPr>
          <w:rFonts w:ascii="Arial" w:cs="Arial" w:eastAsia="Arial" w:hAnsi="Arial"/>
        </w:rPr>
      </w:pPr>
      <w:r w:rsidDel="00000000" w:rsidR="00000000" w:rsidRPr="00000000">
        <w:rPr>
          <w:rtl w:val="0"/>
        </w:rPr>
        <w:t xml:space="preserve">Marcelo Moraes da Silva, Matheus Costa Teixeira, Milan de Oliveira Bahrami</w:t>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Caracterização da Empresa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b w:val="1"/>
          <w:bCs w:val="1"/>
          <w:sz w:val="24"/>
          <w:szCs w:val="24"/>
          <w:rtl w:val="0"/>
        </w:rPr>
        <w:t xml:space="preserve">Empresa Fictícia</w:t>
      </w:r>
      <w:r w:rsidDel="00000000" w:rsidR="00000000" w:rsidRPr="00000000">
        <w:rPr>
          <w:rFonts w:ascii="Arial" w:cs="Arial" w:eastAsia="Arial" w:hAnsi="Arial"/>
          <w:sz w:val="24"/>
          <w:szCs w:val="24"/>
          <w:rtl w:val="0"/>
        </w:rPr>
        <w:t xml:space="preserve">: Saúde Prime Araraquara (base</w:t>
      </w:r>
      <w:r w:rsidDel="00000000" w:rsidR="00000000" w:rsidRPr="00000000">
        <w:rPr>
          <w:sz w:val="24"/>
          <w:szCs w:val="24"/>
          <w:rtl w:val="0"/>
        </w:rPr>
        <w:t xml:space="preserve">a</w:t>
      </w:r>
      <w:r w:rsidDel="00000000" w:rsidR="00000000" w:rsidRPr="00000000">
        <w:rPr>
          <w:rFonts w:ascii="Arial" w:cs="Arial" w:eastAsia="Arial" w:hAnsi="Arial"/>
          <w:sz w:val="24"/>
          <w:szCs w:val="24"/>
          <w:rtl w:val="0"/>
        </w:rPr>
        <w:t xml:space="preserve">da em operações reais de operadoras de planos de saúde de grande porte).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b w:val="1"/>
          <w:bCs w:val="1"/>
          <w:sz w:val="24"/>
          <w:szCs w:val="24"/>
          <w:rtl w:val="0"/>
        </w:rPr>
        <w:t xml:space="preserve">Ramo de atuação</w:t>
      </w:r>
      <w:r w:rsidDel="00000000" w:rsidR="00000000" w:rsidRPr="00000000">
        <w:rPr>
          <w:rFonts w:ascii="Arial" w:cs="Arial" w:eastAsia="Arial" w:hAnsi="Arial"/>
          <w:sz w:val="24"/>
          <w:szCs w:val="24"/>
          <w:rtl w:val="0"/>
        </w:rPr>
        <w:t xml:space="preserve">: Saúde Suplementar (Convênio Médico).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b w:val="1"/>
          <w:bCs w:val="1"/>
          <w:sz w:val="24"/>
          <w:szCs w:val="24"/>
          <w:rtl w:val="0"/>
        </w:rPr>
        <w:t xml:space="preserve">Porte</w:t>
      </w:r>
      <w:r w:rsidDel="00000000" w:rsidR="00000000" w:rsidRPr="00000000">
        <w:rPr>
          <w:rFonts w:ascii="Arial" w:cs="Arial" w:eastAsia="Arial" w:hAnsi="Arial"/>
          <w:sz w:val="24"/>
          <w:szCs w:val="24"/>
          <w:rtl w:val="0"/>
        </w:rPr>
        <w:t xml:space="preserve">: Grande.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b w:val="1"/>
          <w:bCs w:val="1"/>
          <w:sz w:val="24"/>
          <w:szCs w:val="24"/>
          <w:rtl w:val="0"/>
        </w:rPr>
        <w:t xml:space="preserve">Número de funcionários</w:t>
      </w: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Cerca de 1.200 funcionários diretos e mais de 2.000 médicos e clínicas credenciadas em toda a região.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b w:val="1"/>
          <w:bCs w:val="1"/>
          <w:sz w:val="24"/>
          <w:szCs w:val="24"/>
          <w:rtl w:val="0"/>
        </w:rPr>
        <w:t xml:space="preserve">Principais produtos e serviços</w:t>
      </w:r>
      <w:r w:rsidDel="00000000" w:rsidR="00000000" w:rsidRPr="00000000">
        <w:rPr>
          <w:rFonts w:ascii="Arial" w:cs="Arial" w:eastAsia="Arial" w:hAnsi="Arial"/>
          <w:sz w:val="24"/>
          <w:szCs w:val="24"/>
          <w:rtl w:val="0"/>
        </w:rPr>
        <w:t xml:space="preserve">: Comercialização de planos de saúde empresariais e familiares, gestão integral da rede credenciada, auditoria médica, liberação de exames e procedimentos cirúrgicos, e acompanhamento de pacientes crônicos.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b w:val="1"/>
          <w:bCs w:val="1"/>
          <w:sz w:val="24"/>
          <w:szCs w:val="24"/>
          <w:rtl w:val="0"/>
        </w:rPr>
        <w:t xml:space="preserve">Principais processos que a empresa realiza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Contas e Despesas: Fechamento das contas que chegam dos hospitais, cálculo do que precisa ser pago e controle de quanto a empresa está gastando de fato com os atendimentos.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Liberação de Guias: Recebimento dos pedidos médicos para verificar se o paciente ainda está na carência e fazer a liberação de exames, cirurgias ou internações.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Controle de Clientes: Cadastro de quem entra no plano, cancelamentos, transferência de planos (portabilidade) e cobrança de clientes que estão com a mensalidade atrasada.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ind w:left="720" w:hanging="360"/>
        <w:jc w:val="both"/>
        <w:rPr>
          <w:sz w:val="24"/>
          <w:szCs w:val="24"/>
        </w:rPr>
      </w:pP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Pagamento da Rede Credenciada: Fazer o acerto de contas e transferir os pagamentos para os médicos, laboratórios e hospitais parceiros que atenderam os pacientes.</w:t>
      </w: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Diagnóstico da Situação Atual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Saúde Prime Araraquara lida com um volume imenso de dados diariamente, originados do sistema de gestão (ERP) hospitalar, do portal de autorizações de guias e do sistema de atendimento (CRM). Apesar dessa riqueza de informações, a forma como a empresa processa e consome esses dados é muito ultrapassada, o que trava o crescimento e dificulta a gestão eficiente.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Problemas e Gargalos Identificados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Trabalho Manual e Dados Descentralizados: A operadora não possui um processo automatizado e seguro para extrair informações. A equipe de dados e os analistas de negócios perdem horas exportando planilhas e arquivos CSV. Esse processo manual gera lentidão e alto risco de falha humana.</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Falta de Governança, Ética e Segurança: Atualmente, a empresa usa cerca de 200 licenças PPU (Premium Per User) do Power BI de forma desorganizada. Como todos têm o mesmo nível de licença, não há controle claro de quem cria painéis e quem apenas visualiza. Isso gera uma proliferação de relatórios não homologados e expõe dados sensíveis de pacientes, violando princípios da LGPD.</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Estrutura de Dados Inexistente: </w:t>
      </w:r>
      <w:r w:rsidDel="00000000" w:rsidR="00000000" w:rsidRPr="00000000">
        <w:rPr>
          <w:sz w:val="24"/>
          <w:szCs w:val="24"/>
          <w:rtl w:val="0"/>
        </w:rPr>
        <w:t xml:space="preserve">Os dados chegam brutos e não são tratados. A ausência de uma arquitetura estruturada faz com que as informações </w:t>
      </w:r>
      <w:r w:rsidDel="00000000" w:rsidR="00000000" w:rsidRPr="00000000">
        <w:rPr>
          <w:b w:val="1"/>
          <w:bCs w:val="1"/>
          <w:sz w:val="24"/>
          <w:szCs w:val="24"/>
          <w:rtl w:val="0"/>
        </w:rPr>
        <w:t xml:space="preserve">sejam </w:t>
      </w:r>
      <w:r w:rsidDel="00000000" w:rsidR="00000000" w:rsidRPr="00000000">
        <w:rPr>
          <w:sz w:val="24"/>
          <w:szCs w:val="24"/>
          <w:rtl w:val="0"/>
        </w:rPr>
        <w:t xml:space="preserve">apresentadas de forma confusa</w:t>
      </w:r>
      <w:r w:rsidDel="00000000" w:rsidR="00000000" w:rsidRPr="00000000">
        <w:rPr>
          <w:sz w:val="24"/>
          <w:szCs w:val="24"/>
          <w:rtl w:val="0"/>
        </w:rPr>
        <w:t xml:space="preserve"> nos relatórios finais</w:t>
      </w:r>
      <w:r w:rsidDel="00000000" w:rsidR="00000000" w:rsidRPr="00000000">
        <w:rPr>
          <w:rFonts w:ascii="Arial" w:cs="Arial" w:eastAsia="Arial" w:hAnsi="Arial"/>
          <w:sz w:val="24"/>
          <w:szCs w:val="24"/>
          <w:rtl w:val="0"/>
        </w:rPr>
        <w:t xml:space="preserve">, gerando desconfiança por parte da diretoria e impossibilitando o uso de tecnologias modernas, como Inteligência Artificial.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Conflito de Informações e Retrabalho: Sem uma base de informações validada e unificada, setores diferentes (como a área Médica e o Comercial) montam os mesmos indicadores de formas variadas. Isso gera reuniões longas e desgastantes </w:t>
      </w:r>
      <w:r w:rsidDel="00000000" w:rsidR="00000000" w:rsidRPr="00000000">
        <w:rPr>
          <w:sz w:val="24"/>
          <w:szCs w:val="24"/>
          <w:rtl w:val="0"/>
        </w:rPr>
        <w:t xml:space="preserve">nas quais </w:t>
      </w:r>
      <w:r w:rsidDel="00000000" w:rsidR="00000000" w:rsidRPr="00000000">
        <w:rPr>
          <w:rFonts w:ascii="Arial" w:cs="Arial" w:eastAsia="Arial" w:hAnsi="Arial"/>
          <w:sz w:val="24"/>
          <w:szCs w:val="24"/>
          <w:rtl w:val="0"/>
        </w:rPr>
        <w:t xml:space="preserve">os diretores não conseguem aprovar pautas porque os resultados divergem.</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Fundamentação do Projeto</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Importância da Arquitetura Medalhão e Preparação para 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principal função da parte de ingestão de dados deste projeto é organizar o caos. Os dados gerados por um hospital vêm repletos de erros de digitação, formatos incorretos e informações duplicadas. A Arquitetura Medalhão resolve isso dividindo o tratamento dos dados em três camadas lógicas dentro do Data Lake: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Camada Bronze: É o repositório onde os dados chegam em seu estado bruto e original, exatamente como foram extraídos do ERP e do CRM. Serve como um histórico seguro caso seja necessário reprocessar algo.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Camada Prata (Silver): Aqui os dados são higienizados, filtrados e padronizados (ex: padronizar formatos de data, remover cadastros duplicados de pacientes).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Camada Ouro (Gold): Os dados já limpos são organizados em modelos de negócios prontos para consumo.</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de organizar a casa, ter essa estrutura é o requisito fundamental para a modernização analítica. Ao implementar essa arquitetura, a empresa prepara o terreno para o uso de ferramentas nativas de Inteligência Artificial. O Databricks e o Fabric, tecnologias propostas neste projeto, já vêm com capacidades prontas de Machine Learning e criação de agentes de IA, permitindo que a empresa avance futuramente para modelos preditivos, como prever a ocupação de leitos hospitalares ou identificar riscos de fraude em guias médicas.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Importância da Visualização de Dados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nada adianta ter os dados mais limpos do mundo se os gestores precisarem ler milhares de linhas em uma planilha para entender o que está acontecendo. A visualização de dados transforma números complexos em painéis (dashboards) interativos e de fácil interpretação. Isso permite que a diretoria identifique rapidamente tendências, como um pico incomum de internações em uma determinada região, e tome decisões estratégicas de forma ágil. A visualização moderna no Fabric também já incorpora assistentes virtuais baseados em IA para ajudar os usuários a extraírem insights com perguntas em linguagem natural.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Levantamento de Requisitos e Arquitetura em Nuvem Proposta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solução proposta baseia-se na implementação da nuvem da Microsoft (Azure), exigindo a configuração dos seguintes recursos e infraestruturas:</w:t>
      </w:r>
      <w:r w:rsidDel="00000000" w:rsidR="00000000" w:rsidRPr="00000000">
        <w:br w:type="page"/>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tbl>
      <w:tblPr>
        <w:tblStyle w:val="Table1"/>
        <w:tblW w:w="10290.0" w:type="dxa"/>
        <w:jc w:val="left"/>
        <w:tblInd w:w="-4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95"/>
        <w:gridCol w:w="6495"/>
        <w:tblGridChange w:id="0">
          <w:tblGrid>
            <w:gridCol w:w="3795"/>
            <w:gridCol w:w="6495"/>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sidDel="00000000" w:rsidR="00000000" w:rsidRPr="00000000">
              <w:rPr>
                <w:rFonts w:ascii="Arial" w:cs="Arial" w:eastAsia="Arial" w:hAnsi="Arial"/>
                <w:sz w:val="24"/>
                <w:szCs w:val="24"/>
                <w:shd w:fill="auto" w:val="clear"/>
                <w:rtl w:val="0"/>
              </w:rPr>
              <w:t xml:space="preserve">Recurso / Tecnologia em Nuvem</w:t>
            </w:r>
          </w:p>
        </w:tc>
        <w:tc>
          <w:tcPr>
            <w:shd w:fill="f2f2f2"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sidDel="00000000" w:rsidR="00000000" w:rsidRPr="00000000">
              <w:rPr>
                <w:rFonts w:ascii="Arial" w:cs="Arial" w:eastAsia="Arial" w:hAnsi="Arial"/>
                <w:sz w:val="24"/>
                <w:szCs w:val="24"/>
                <w:shd w:fill="auto" w:val="clear"/>
                <w:rtl w:val="0"/>
              </w:rPr>
              <w:t xml:space="preserve">Descrição e Papel na Arquitetura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Resource Group</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Contêiner lógico no Azure para agrupar e organizar todos os recursos, facilitando o controle de custos.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Redes e Subredes (VNet)</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Redes fechadas para garantir que o tráfego de dados da operadora não transite pela internet pública.</w:t>
            </w:r>
          </w:p>
        </w:tc>
      </w:tr>
      <w:tr>
        <w:trPr>
          <w:cantSplit w:val="0"/>
          <w:trHeight w:val="13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Private Endpoints</w:t>
            </w:r>
          </w:p>
        </w:tc>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Fornecem conexões privadas aos serviços, bloqueando acessos externos e garantindo adequação à LGPD.</w:t>
            </w:r>
          </w:p>
        </w:tc>
      </w:tr>
      <w:tr>
        <w:trPr>
          <w:cantSplit w:val="0"/>
          <w:trHeight w:val="115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 Vault</w:t>
            </w:r>
          </w:p>
        </w:tc>
        <w:tc>
          <w:tcPr>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Cofre digital seguro utilizado para armazenar credenciais, senhas e certificados.</w:t>
            </w:r>
          </w:p>
        </w:tc>
      </w:tr>
      <w:tr>
        <w:trPr>
          <w:cantSplit w:val="0"/>
          <w:trHeight w:val="169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Storage Account</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 de armazenamento que funcionará como o Data Lake da empresa, guardando as camadas Bronze, Prata e Ouro.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Databricks</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Motor principal de processamento de dados para limpar e organizar tudo na arquitetura medalhão. Ele já possui um ecossistema pronto para a criação e treinamento de modelos de Machine Learning utilizando os dados estruturados da empresa.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 Fabric</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que centralizará a visualização corporativa e aplicará regras estritas de governança aos painéis, possuindo recursos integrados de Agentes de IA e assistentes Copilot.</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Governança e Estimativa de Custos: O Cenário PPU vs. Solução Completa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maior gargalo atual de gestão da empresa é o licenciamento. Atualmente, a Saúde Prime paga cerca de 200 licenças Premium Per User (PPU). O problema desse modelo é duplo:</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Falta de Governança: Com 200 pessoas possuindo licenças que permitem publicação, não há controle entre quem é o desenvolvedor do relatório e quem deveria ser apenas o consumidor (diretores, médicos, gerentes). Isso causa uma bagunça nos workspaces.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Ineficiência de Plataforma: O modelo PPU foca apenas na visualização. A empresa gasta um valor elevado por mês e ainda assim não possui estrutura para criar uma arquitetura medalhão ou implementar modelos de IA.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Solução Proposta (Azure e Fabric F64): A proposta é migrar a visualização para o modelo de Capacidade do Microsoft Fabric (SKU F64) e implementar o backend de dados com o Azure Databricks. Ao adquirir a capacidade F64, a empresa muda o paradigma de consumo: os visualizadores finais não precisam mais de licenças pagas individuais para acessar os relatórios.</w:t>
      </w:r>
      <w:r w:rsidDel="00000000" w:rsidR="00000000" w:rsidRPr="00000000">
        <w:br w:type="page"/>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360" w:lineRule="auto"/>
        <w:jc w:val="both"/>
        <w:rPr>
          <w:sz w:val="24"/>
          <w:szCs w:val="24"/>
        </w:rPr>
      </w:pPr>
      <w:r w:rsidDel="00000000" w:rsidR="00000000" w:rsidRPr="00000000">
        <w:rPr>
          <w:rtl w:val="0"/>
        </w:rPr>
      </w:r>
    </w:p>
    <w:tbl>
      <w:tblPr>
        <w:tblStyle w:val="Table2"/>
        <w:tblW w:w="1035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80"/>
        <w:gridCol w:w="5070"/>
        <w:tblGridChange w:id="0">
          <w:tblGrid>
            <w:gridCol w:w="5280"/>
            <w:gridCol w:w="507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sidDel="00000000" w:rsidR="00000000" w:rsidRPr="00000000">
              <w:rPr>
                <w:rFonts w:ascii="Arial" w:cs="Arial" w:eastAsia="Arial" w:hAnsi="Arial"/>
                <w:sz w:val="24"/>
                <w:szCs w:val="24"/>
                <w:shd w:fill="auto" w:val="clear"/>
                <w:rtl w:val="0"/>
              </w:rPr>
              <w:t xml:space="preserve">Modelo Atual (200 Licenças PPU)</w:t>
            </w:r>
          </w:p>
        </w:tc>
        <w:tc>
          <w:tcPr>
            <w:shd w:fill="f2f2f2"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shd w:fill="auto" w:val="clear"/>
              </w:rPr>
            </w:pPr>
            <w:r w:rsidDel="00000000" w:rsidR="00000000" w:rsidRPr="00000000">
              <w:rPr>
                <w:rFonts w:ascii="Arial" w:cs="Arial" w:eastAsia="Arial" w:hAnsi="Arial"/>
                <w:sz w:val="24"/>
                <w:szCs w:val="24"/>
                <w:shd w:fill="auto" w:val="clear"/>
                <w:rtl w:val="0"/>
              </w:rPr>
              <w:t xml:space="preserve">Modelo Proposto (Azure Databricks e Fabric F64)</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 de licenciamento de aproximadamente $4.000 mensais.</w:t>
            </w:r>
          </w:p>
        </w:tc>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 da máquina F64 ($5.000 mensais) somado ao consumo pago por uso (pay-as-you-go) do Azure Databricks, Storage e tráfego de rede.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podem criar e publicar conteúdos indiscriminadamente, dificultando o controle e a auditoria dos dados.</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Governança rígida: Apenas uma equipe restrita de desenvolvedores possui licença Pro para publicar. Os demais 180 usuários tornam-se espectadores gratuitos suportados pela capacidade F64.</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Ambiente restrito à criação de relatórios básicos, sem preparação para o futuro.</w:t>
            </w:r>
          </w:p>
        </w:tc>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 de uma plataforma corporativa completa (Big Data). O ambiente vem equipado com ferramentas nativas prontas para a modernização com Machine Learning e Agentes de IA.</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Conformidade com a LGPD, Ética e Localidade dos Dados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Lidar com dados de saúde exige um cuidado extremo. A Lei Geral de Proteção de Dados (LGPD) classifica as informações médicas (como histórico de exames, diagnósticos e tratamentos) como dados sensíveis, exigindo o mais alto nível de proteção e ética no seu manuseio. O vazamento dessas informações pode gerar não apenas multas pesadas, mas também danos irreversíveis à reputação da operadora.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Para garantir a conformidade com a LGPD, a segurança e o uso ético das informações, a arquitetura proposta adota as seguintes medidas: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Residência de Dados (Brazil South): Todos os recursos em nuvem da Azure e os espaços de trabalho do Fabric serão instanciados fisicamente nos datacenters da Microsoft localizados na região Brazil South (São Paulo). Isso garante que os dados dos pacientes não saiam do território nacional, respeitando as exigências legais de soberania e armazenamento local.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360" w:lineRule="auto"/>
        <w:ind w:left="600" w:hanging="360"/>
        <w:jc w:val="both"/>
        <w:rPr>
          <w:sz w:val="24"/>
          <w:szCs w:val="24"/>
        </w:rPr>
      </w:pPr>
      <w:r w:rsidDel="00000000" w:rsidR="00000000" w:rsidRPr="00000000">
        <w:rPr>
          <w:rFonts w:ascii="Arial" w:cs="Arial" w:eastAsia="Arial" w:hAnsi="Arial"/>
          <w:sz w:val="24"/>
          <w:szCs w:val="24"/>
          <w:rtl w:val="0"/>
        </w:rPr>
        <w:t xml:space="preserve">Controle de Acesso e Ética no Uso dos Dados: A união do Key Vault (para proteger senhas), dos Private Endpoints e do controle de capacidade do Fabric garantirá que apenas médicos e auditores estritamente autorizados tenham acesso aos dados identificados dos pacientes. Para as áreas gerenciais e comerciais que criam relatórios de apoio à decisão, os dados (como nome e CPF) serão anonimizados ou mascarados ainda na camada Prata da arquitetura, permitindo gerar estatísticas de saúde sem violar a privacidade de nenhum indivíduo.</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60" w:lineRule="auto"/>
        <w:ind w:left="600" w:firstLine="0"/>
        <w:jc w:val="both"/>
        <w:rPr>
          <w:sz w:val="24"/>
          <w:szCs w:val="24"/>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Infraestrutura como Código (IaC) com Terraform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toda a infraestrutura em nuvem citada será provisionada utilizando o Terraform (Infraestrutura como Código, ou IaC). Isso garante que o ambiente da Azure seja totalmente documentado em código, evita falhas de segurança por configuração manual incorreta e permite versionar o ambiente, facilitando a recriação em caso de desastres.</w:t>
      </w:r>
    </w:p>
    <w:sectPr>
      <w:headerReference r:id="rId6" w:type="default"/>
      <w:footerReference r:id="rId7" w:type="default"/>
      <w:pgSz w:h="16838" w:w="11906" w:orient="portrait"/>
      <w:pgMar w:bottom="1296"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-1047749</wp:posOffset>
          </wp:positionH>
          <wp:positionV relativeFrom="paragraph">
            <wp:posOffset>47626</wp:posOffset>
          </wp:positionV>
          <wp:extent cx="1471613" cy="14716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1613" cy="14716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