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680"/>
      </w:pPr>
      <w:r>
        <w:rPr>
          <w:rFonts w:ascii="Aptos" w:hAnsi="Aptos"/>
          <w:b/>
          <w:i w:val="0"/>
          <w:color w:val="477E7A"/>
          <w:sz w:val="22"/>
        </w:rPr>
        <w:t>RUNLU LAB</w:t>
      </w:r>
    </w:p>
    <w:p>
      <w:pPr>
        <w:pStyle w:val="Title"/>
      </w:pPr>
      <w:r>
        <w:rPr>
          <w:rFonts w:ascii="Aptos" w:hAnsi="Aptos"/>
          <w:b/>
          <w:i w:val="0"/>
          <w:color w:val="244B5A"/>
          <w:sz w:val="50"/>
        </w:rPr>
        <w:t>Sample 001</w:t>
      </w:r>
    </w:p>
    <w:p>
      <w:pPr>
        <w:pStyle w:val="Subtitle"/>
      </w:pPr>
      <w:r>
        <w:rPr>
          <w:rFonts w:ascii="Aptos" w:hAnsi="Aptos"/>
          <w:b w:val="0"/>
          <w:i w:val="0"/>
          <w:color w:val="65747A"/>
          <w:sz w:val="24"/>
        </w:rPr>
        <w:t>Warehouse OS: A Retrospective Case Study of Long-Term Human–AI Collaboration</w:t>
      </w:r>
    </w:p>
    <w:tbl>
      <w:tblPr>
        <w:tblW w:type="auto" w:w="0"/>
        <w:jc w:val="left"/>
        <w:tblLayout w:type="fixed"/>
        <w:tblLook w:firstColumn="1" w:firstRow="1" w:lastColumn="0" w:lastRow="0" w:noHBand="0" w:noVBand="1" w:val="04A0"/>
        <w:tblW w:w="9360" w:type="dxa"/>
        <w:tblInd w:w="120" w:type="dxa"/>
      </w:tblPr>
      <w:tblGrid>
        <w:gridCol w:w="2200"/>
        <w:gridCol w:w="7160"/>
      </w:tblGrid>
      <w:tr>
        <w:tc>
          <w:tcPr>
            <w:tcW w:type="dxa" w:w="2200"/>
            <w:vAlign w:val="center"/>
            <w:tcMar>
              <w:top w:w="90" w:type="dxa"/>
              <w:start w:w="120" w:type="dxa"/>
              <w:bottom w:w="90" w:type="dxa"/>
              <w:end w:w="120" w:type="dxa"/>
            </w:tcMar>
            <w:shd w:fill="EAF2F1"/>
          </w:tcPr>
          <w:p>
            <w:pPr>
              <w:spacing w:after="0" w:line="259" w:lineRule="auto"/>
              <w:jc w:val="left"/>
            </w:pPr>
            <w:r>
              <w:rPr>
                <w:rFonts w:ascii="Aptos" w:hAnsi="Aptos"/>
                <w:b/>
                <w:i w:val="0"/>
                <w:color w:val="244B5A"/>
                <w:sz w:val="18"/>
              </w:rPr>
              <w:t>Sample ID</w:t>
            </w:r>
          </w:p>
        </w:tc>
        <w:tc>
          <w:tcPr>
            <w:tcW w:type="dxa" w:w="7160"/>
            <w:vAlign w:val="center"/>
            <w:tcMar>
              <w:top w:w="90" w:type="dxa"/>
              <w:start w:w="120" w:type="dxa"/>
              <w:bottom w:w="90" w:type="dxa"/>
              <w:end w:w="120" w:type="dxa"/>
            </w:tcMar>
            <w:shd w:fill="FFFFFF"/>
          </w:tcPr>
          <w:p>
            <w:pPr>
              <w:spacing w:after="0" w:line="259" w:lineRule="auto"/>
              <w:jc w:val="left"/>
            </w:pPr>
            <w:r>
              <w:rPr>
                <w:rFonts w:ascii="Aptos" w:hAnsi="Aptos"/>
                <w:b w:val="0"/>
                <w:i w:val="0"/>
                <w:color w:val="172A33"/>
                <w:sz w:val="18"/>
              </w:rPr>
              <w:t>RUNLU LAB Sample 001</w:t>
            </w:r>
          </w:p>
        </w:tc>
      </w:tr>
      <w:tr>
        <w:tc>
          <w:tcPr>
            <w:tcW w:type="dxa" w:w="2200"/>
            <w:vAlign w:val="center"/>
            <w:tcMar>
              <w:top w:w="90" w:type="dxa"/>
              <w:start w:w="120" w:type="dxa"/>
              <w:bottom w:w="90" w:type="dxa"/>
              <w:end w:w="120" w:type="dxa"/>
            </w:tcMar>
            <w:shd w:fill="EAF2F1"/>
          </w:tcPr>
          <w:p>
            <w:pPr>
              <w:spacing w:after="0" w:line="259" w:lineRule="auto"/>
              <w:jc w:val="left"/>
            </w:pPr>
            <w:r>
              <w:rPr>
                <w:rFonts w:ascii="Aptos" w:hAnsi="Aptos"/>
                <w:b/>
                <w:i w:val="0"/>
                <w:color w:val="244B5A"/>
                <w:sz w:val="18"/>
              </w:rPr>
              <w:t>Object</w:t>
            </w:r>
          </w:p>
        </w:tc>
        <w:tc>
          <w:tcPr>
            <w:tcW w:type="dxa" w:w="7160"/>
            <w:vAlign w:val="center"/>
            <w:tcMar>
              <w:top w:w="90" w:type="dxa"/>
              <w:start w:w="120" w:type="dxa"/>
              <w:bottom w:w="90" w:type="dxa"/>
              <w:end w:w="120" w:type="dxa"/>
            </w:tcMar>
            <w:shd w:fill="F5F7F7"/>
          </w:tcPr>
          <w:p>
            <w:pPr>
              <w:spacing w:after="0" w:line="259" w:lineRule="auto"/>
              <w:jc w:val="left"/>
            </w:pPr>
            <w:r>
              <w:rPr>
                <w:rFonts w:ascii="Aptos" w:hAnsi="Aptos"/>
                <w:b w:val="0"/>
                <w:i w:val="0"/>
                <w:color w:val="172A33"/>
                <w:sz w:val="18"/>
              </w:rPr>
              <w:t>Joint development of RUNLU Warehouse OS</w:t>
            </w:r>
          </w:p>
        </w:tc>
      </w:tr>
      <w:tr>
        <w:tc>
          <w:tcPr>
            <w:tcW w:type="dxa" w:w="2200"/>
            <w:vAlign w:val="center"/>
            <w:tcMar>
              <w:top w:w="90" w:type="dxa"/>
              <w:start w:w="120" w:type="dxa"/>
              <w:bottom w:w="90" w:type="dxa"/>
              <w:end w:w="120" w:type="dxa"/>
            </w:tcMar>
            <w:shd w:fill="EAF2F1"/>
          </w:tcPr>
          <w:p>
            <w:pPr>
              <w:spacing w:after="0" w:line="259" w:lineRule="auto"/>
              <w:jc w:val="left"/>
            </w:pPr>
            <w:r>
              <w:rPr>
                <w:rFonts w:ascii="Aptos" w:hAnsi="Aptos"/>
                <w:b/>
                <w:i w:val="0"/>
                <w:color w:val="244B5A"/>
                <w:sz w:val="18"/>
              </w:rPr>
              <w:t>Type</w:t>
            </w:r>
          </w:p>
        </w:tc>
        <w:tc>
          <w:tcPr>
            <w:tcW w:type="dxa" w:w="7160"/>
            <w:vAlign w:val="center"/>
            <w:tcMar>
              <w:top w:w="90" w:type="dxa"/>
              <w:start w:w="120" w:type="dxa"/>
              <w:bottom w:w="90" w:type="dxa"/>
              <w:end w:w="120" w:type="dxa"/>
            </w:tcMar>
            <w:shd w:fill="FFFFFF"/>
          </w:tcPr>
          <w:p>
            <w:pPr>
              <w:spacing w:after="0" w:line="259" w:lineRule="auto"/>
              <w:jc w:val="left"/>
            </w:pPr>
            <w:r>
              <w:rPr>
                <w:rFonts w:ascii="Aptos" w:hAnsi="Aptos"/>
                <w:b w:val="0"/>
                <w:i w:val="0"/>
                <w:color w:val="172A33"/>
                <w:sz w:val="18"/>
              </w:rPr>
              <w:t>Real-project retrospective exploratory sample</w:t>
            </w:r>
          </w:p>
        </w:tc>
      </w:tr>
      <w:tr>
        <w:tc>
          <w:tcPr>
            <w:tcW w:type="dxa" w:w="2200"/>
            <w:vAlign w:val="center"/>
            <w:tcMar>
              <w:top w:w="90" w:type="dxa"/>
              <w:start w:w="120" w:type="dxa"/>
              <w:bottom w:w="90" w:type="dxa"/>
              <w:end w:w="120" w:type="dxa"/>
            </w:tcMar>
            <w:shd w:fill="EAF2F1"/>
          </w:tcPr>
          <w:p>
            <w:pPr>
              <w:spacing w:after="0" w:line="259" w:lineRule="auto"/>
              <w:jc w:val="left"/>
            </w:pPr>
            <w:r>
              <w:rPr>
                <w:rFonts w:ascii="Aptos" w:hAnsi="Aptos"/>
                <w:b/>
                <w:i w:val="0"/>
                <w:color w:val="244B5A"/>
                <w:sz w:val="18"/>
              </w:rPr>
              <w:t>Observation period</w:t>
            </w:r>
          </w:p>
        </w:tc>
        <w:tc>
          <w:tcPr>
            <w:tcW w:type="dxa" w:w="7160"/>
            <w:vAlign w:val="center"/>
            <w:tcMar>
              <w:top w:w="90" w:type="dxa"/>
              <w:start w:w="120" w:type="dxa"/>
              <w:bottom w:w="90" w:type="dxa"/>
              <w:end w:w="120" w:type="dxa"/>
            </w:tcMar>
            <w:shd w:fill="F5F7F7"/>
          </w:tcPr>
          <w:p>
            <w:pPr>
              <w:spacing w:after="0" w:line="259" w:lineRule="auto"/>
              <w:jc w:val="left"/>
            </w:pPr>
            <w:r>
              <w:rPr>
                <w:rFonts w:ascii="Aptos" w:hAnsi="Aptos"/>
                <w:b w:val="0"/>
                <w:i w:val="0"/>
                <w:color w:val="172A33"/>
                <w:sz w:val="18"/>
              </w:rPr>
              <w:t>Long-term, multi-round, multi-version collaboration; report compiled August 16, 2026</w:t>
            </w:r>
          </w:p>
        </w:tc>
      </w:tr>
      <w:tr>
        <w:tc>
          <w:tcPr>
            <w:tcW w:type="dxa" w:w="2200"/>
            <w:vAlign w:val="center"/>
            <w:tcMar>
              <w:top w:w="90" w:type="dxa"/>
              <w:start w:w="120" w:type="dxa"/>
              <w:bottom w:w="90" w:type="dxa"/>
              <w:end w:w="120" w:type="dxa"/>
            </w:tcMar>
            <w:shd w:fill="EAF2F1"/>
          </w:tcPr>
          <w:p>
            <w:pPr>
              <w:spacing w:after="0" w:line="259" w:lineRule="auto"/>
              <w:jc w:val="left"/>
            </w:pPr>
            <w:r>
              <w:rPr>
                <w:rFonts w:ascii="Aptos" w:hAnsi="Aptos"/>
                <w:b/>
                <w:i w:val="0"/>
                <w:color w:val="244B5A"/>
                <w:sz w:val="18"/>
              </w:rPr>
              <w:t>Evidence</w:t>
            </w:r>
          </w:p>
        </w:tc>
        <w:tc>
          <w:tcPr>
            <w:tcW w:type="dxa" w:w="7160"/>
            <w:vAlign w:val="center"/>
            <w:tcMar>
              <w:top w:w="90" w:type="dxa"/>
              <w:start w:w="120" w:type="dxa"/>
              <w:bottom w:w="90" w:type="dxa"/>
              <w:end w:w="120" w:type="dxa"/>
            </w:tcMar>
            <w:shd w:fill="FFFFFF"/>
          </w:tcPr>
          <w:p>
            <w:pPr>
              <w:spacing w:after="0" w:line="259" w:lineRule="auto"/>
              <w:jc w:val="left"/>
            </w:pPr>
            <w:r>
              <w:rPr>
                <w:rFonts w:ascii="Aptos" w:hAnsi="Aptos"/>
                <w:b w:val="0"/>
                <w:i w:val="0"/>
                <w:color w:val="172A33"/>
                <w:sz w:val="18"/>
              </w:rPr>
              <w:t>Conversation records, version defects, field tests, and formalized business rules</w:t>
            </w:r>
          </w:p>
        </w:tc>
      </w:tr>
      <w:tr>
        <w:tc>
          <w:tcPr>
            <w:tcW w:type="dxa" w:w="2200"/>
            <w:vAlign w:val="center"/>
            <w:tcMar>
              <w:top w:w="90" w:type="dxa"/>
              <w:start w:w="120" w:type="dxa"/>
              <w:bottom w:w="90" w:type="dxa"/>
              <w:end w:w="120" w:type="dxa"/>
            </w:tcMar>
            <w:shd w:fill="EAF2F1"/>
          </w:tcPr>
          <w:p>
            <w:pPr>
              <w:spacing w:after="0" w:line="259" w:lineRule="auto"/>
              <w:jc w:val="left"/>
            </w:pPr>
            <w:r>
              <w:rPr>
                <w:rFonts w:ascii="Aptos" w:hAnsi="Aptos"/>
                <w:b/>
                <w:i w:val="0"/>
                <w:color w:val="244B5A"/>
                <w:sz w:val="18"/>
              </w:rPr>
              <w:t>Evidence level</w:t>
            </w:r>
          </w:p>
        </w:tc>
        <w:tc>
          <w:tcPr>
            <w:tcW w:type="dxa" w:w="7160"/>
            <w:vAlign w:val="center"/>
            <w:tcMar>
              <w:top w:w="90" w:type="dxa"/>
              <w:start w:w="120" w:type="dxa"/>
              <w:bottom w:w="90" w:type="dxa"/>
              <w:end w:w="120" w:type="dxa"/>
            </w:tcMar>
            <w:shd w:fill="F5F7F7"/>
          </w:tcPr>
          <w:p>
            <w:pPr>
              <w:spacing w:after="0" w:line="259" w:lineRule="auto"/>
              <w:jc w:val="left"/>
            </w:pPr>
            <w:r>
              <w:rPr>
                <w:rFonts w:ascii="Aptos" w:hAnsi="Aptos"/>
                <w:b w:val="0"/>
                <w:i w:val="0"/>
                <w:color w:val="172A33"/>
                <w:sz w:val="18"/>
              </w:rPr>
              <w:t>Exploratory; hypothesis-forming, not causal proof</w:t>
            </w:r>
          </w:p>
        </w:tc>
      </w:tr>
    </w:tbl>
    <w:p/>
    <w:tbl>
      <w:tblPr>
        <w:tblW w:type="auto" w:w="0"/>
        <w:jc w:val="left"/>
        <w:tblLayout w:type="fixed"/>
        <w:tblLook w:firstColumn="1" w:firstRow="1" w:lastColumn="0" w:lastRow="0" w:noHBand="0" w:noVBand="1" w:val="04A0"/>
        <w:tblW w:w="9360" w:type="dxa"/>
        <w:tblInd w:w="120" w:type="dxa"/>
      </w:tblPr>
      <w:tblGrid>
        <w:gridCol w:w="9360"/>
      </w:tblGrid>
      <w:tr>
        <w:tc>
          <w:tcPr>
            <w:tcW w:type="dxa" w:w="9360"/>
            <w:vAlign w:val="center"/>
            <w:tcMar>
              <w:top w:w="90" w:type="dxa"/>
              <w:start w:w="120" w:type="dxa"/>
              <w:bottom w:w="90" w:type="dxa"/>
              <w:end w:w="120" w:type="dxa"/>
            </w:tcMar>
            <w:shd w:fill="EAF2F1"/>
          </w:tcPr>
          <w:p>
            <w:pPr>
              <w:spacing w:after="0"/>
            </w:pPr>
            <w:r>
              <w:rPr>
                <w:rFonts w:ascii="Aptos" w:hAnsi="Aptos"/>
                <w:b/>
                <w:i w:val="0"/>
                <w:color w:val="244B5A"/>
                <w:sz w:val="21"/>
              </w:rPr>
              <w:t xml:space="preserve">Case question  </w:t>
            </w:r>
            <w:r>
              <w:rPr>
                <w:rFonts w:ascii="Aptos" w:hAnsi="Aptos"/>
                <w:b w:val="0"/>
                <w:i w:val="0"/>
                <w:color w:val="172A33"/>
                <w:sz w:val="21"/>
              </w:rPr>
              <w:t>Did an AI that became familiar with the warehouse, business rules, and user preferences develop a joint problem-solving capacity beyond one-off question answering?</w:t>
            </w:r>
          </w:p>
        </w:tc>
      </w:tr>
    </w:tbl>
    <w:p>
      <w:pPr>
        <w:spacing w:after="0"/>
      </w:pPr>
    </w:p>
    <w:p>
      <w:pPr>
        <w:pStyle w:val="Heading1"/>
      </w:pPr>
      <w:r>
        <w:t>Executive Summary</w:t>
      </w:r>
    </w:p>
    <w:p>
      <w:r>
        <w:rPr>
          <w:rFonts w:ascii="Aptos" w:hAnsi="Aptos"/>
          <w:b w:val="0"/>
          <w:i w:val="0"/>
          <w:color w:val="172A33"/>
          <w:sz w:val="21"/>
        </w:rPr>
        <w:t>Warehouse OS shows a sustained loop between field expertise and AI structuring. The user identified real problems, supplied tacit rules, and validated outcomes. The AI translated experience into data structures, state logic, interface flows, and testable hypotheses. Capability emerged through repeated failures, correction, and version iteration—not a single generation event.</w:t>
      </w:r>
    </w:p>
    <w:p>
      <w:r>
        <w:rPr>
          <w:rFonts w:ascii="Aptos" w:hAnsi="Aptos"/>
          <w:b w:val="0"/>
          <w:i w:val="0"/>
          <w:color w:val="172A33"/>
          <w:sz w:val="21"/>
        </w:rPr>
        <w:t>The case offers preliminary support for practical value from long-term cognitive coupling, especially in constraint memory, cross-module consistency, and conversion of tacit knowledge into executable rules. It also reveals risks: agreement bias, premature claims of completion, and shared failure to seek counter-evidence.</w:t>
      </w:r>
    </w:p>
    <w:tbl>
      <w:tblPr>
        <w:tblW w:type="auto" w:w="0"/>
        <w:jc w:val="left"/>
        <w:tblLayout w:type="fixed"/>
        <w:tblLook w:firstColumn="1" w:firstRow="1" w:lastColumn="0" w:lastRow="0" w:noHBand="0" w:noVBand="1" w:val="04A0"/>
        <w:tblW w:w="9360" w:type="dxa"/>
        <w:tblInd w:w="120" w:type="dxa"/>
      </w:tblPr>
      <w:tblGrid>
        <w:gridCol w:w="9360"/>
      </w:tblGrid>
      <w:tr>
        <w:tc>
          <w:tcPr>
            <w:tcW w:type="dxa" w:w="9360"/>
            <w:vAlign w:val="center"/>
            <w:tcMar>
              <w:top w:w="90" w:type="dxa"/>
              <w:start w:w="120" w:type="dxa"/>
              <w:bottom w:w="90" w:type="dxa"/>
              <w:end w:w="120" w:type="dxa"/>
            </w:tcMar>
            <w:shd w:fill="F7F1E5"/>
          </w:tcPr>
          <w:p>
            <w:pPr>
              <w:spacing w:after="0"/>
            </w:pPr>
            <w:r>
              <w:rPr>
                <w:rFonts w:ascii="Aptos" w:hAnsi="Aptos"/>
                <w:b/>
                <w:i w:val="0"/>
                <w:color w:val="244B5A"/>
                <w:sz w:val="21"/>
              </w:rPr>
              <w:t xml:space="preserve">Central finding  </w:t>
            </w:r>
            <w:r>
              <w:rPr>
                <w:rFonts w:ascii="Aptos" w:hAnsi="Aptos"/>
                <w:b w:val="0"/>
                <w:i w:val="0"/>
                <w:color w:val="172A33"/>
                <w:sz w:val="21"/>
              </w:rPr>
              <w:t>The AI did not replace warehouse expertise. Human and AI jointly converted field knowledge into testable, maintainable, and extensible system knowledge.</w:t>
            </w:r>
          </w:p>
        </w:tc>
      </w:tr>
    </w:tbl>
    <w:p>
      <w:pPr>
        <w:spacing w:after="0"/>
      </w:pPr>
    </w:p>
    <w:p>
      <w:r>
        <w:br w:type="page"/>
      </w:r>
    </w:p>
    <w:p>
      <w:pPr>
        <w:pStyle w:val="Heading1"/>
      </w:pPr>
      <w:r>
        <w:t>1. Context and Roles</w:t>
      </w:r>
    </w:p>
    <w:p>
      <w:r>
        <w:rPr>
          <w:rFonts w:ascii="Aptos" w:hAnsi="Aptos"/>
          <w:b w:val="0"/>
          <w:i w:val="0"/>
          <w:color w:val="172A33"/>
          <w:sz w:val="21"/>
        </w:rPr>
        <w:t>Warehouse OS grew from day-to-day flooring-warehouse operations in Calgary. It covers carpet rolls, flooring, underlayment, adhesive, receiving, cutting, transfers, shipping, returns, samples, inventory history, and rack mapping. Mobile use is primary, with computer/mobile synchronization required.</w:t>
      </w:r>
    </w:p>
    <w:tbl>
      <w:tblPr>
        <w:tblW w:type="auto" w:w="0"/>
        <w:jc w:val="left"/>
        <w:tblLayout w:type="fixed"/>
        <w:tblLook w:firstColumn="1" w:firstRow="1" w:lastColumn="0" w:lastRow="0" w:noHBand="0" w:noVBand="1" w:val="04A0"/>
        <w:tblW w:w="9360" w:type="dxa"/>
        <w:tblInd w:w="120" w:type="dxa"/>
      </w:tblPr>
      <w:tblGrid>
        <w:gridCol w:w="1700"/>
        <w:gridCol w:w="3800"/>
        <w:gridCol w:w="3860"/>
      </w:tblGrid>
      <w:tr>
        <w:tc>
          <w:tcPr>
            <w:tcW w:type="dxa" w:w="1700"/>
            <w:vAlign w:val="center"/>
            <w:tcMar>
              <w:top w:w="90" w:type="dxa"/>
              <w:start w:w="120" w:type="dxa"/>
              <w:bottom w:w="90" w:type="dxa"/>
              <w:end w:w="120" w:type="dxa"/>
            </w:tcMar>
            <w:shd w:fill="244B5A"/>
          </w:tcPr>
          <w:p>
            <w:pPr>
              <w:spacing w:after="0" w:line="259" w:lineRule="auto"/>
              <w:jc w:val="center"/>
            </w:pPr>
            <w:r>
              <w:rPr>
                <w:rFonts w:ascii="Aptos" w:hAnsi="Aptos"/>
                <w:b/>
                <w:i w:val="0"/>
                <w:color w:val="FFFFFF"/>
                <w:sz w:val="17"/>
              </w:rPr>
              <w:t>Source</w:t>
            </w:r>
          </w:p>
        </w:tc>
        <w:tc>
          <w:tcPr>
            <w:tcW w:type="dxa" w:w="3800"/>
            <w:vAlign w:val="center"/>
            <w:tcMar>
              <w:top w:w="90" w:type="dxa"/>
              <w:start w:w="120" w:type="dxa"/>
              <w:bottom w:w="90" w:type="dxa"/>
              <w:end w:w="120" w:type="dxa"/>
            </w:tcMar>
            <w:shd w:fill="244B5A"/>
          </w:tcPr>
          <w:p>
            <w:pPr>
              <w:spacing w:after="0" w:line="259" w:lineRule="auto"/>
              <w:jc w:val="center"/>
            </w:pPr>
            <w:r>
              <w:rPr>
                <w:rFonts w:ascii="Aptos" w:hAnsi="Aptos"/>
                <w:b/>
                <w:i w:val="0"/>
                <w:color w:val="FFFFFF"/>
                <w:sz w:val="17"/>
              </w:rPr>
              <w:t>Contribution</w:t>
            </w:r>
          </w:p>
        </w:tc>
        <w:tc>
          <w:tcPr>
            <w:tcW w:type="dxa" w:w="3860"/>
            <w:vAlign w:val="center"/>
            <w:tcMar>
              <w:top w:w="90" w:type="dxa"/>
              <w:start w:w="120" w:type="dxa"/>
              <w:bottom w:w="90" w:type="dxa"/>
              <w:end w:w="120" w:type="dxa"/>
            </w:tcMar>
            <w:shd w:fill="244B5A"/>
          </w:tcPr>
          <w:p>
            <w:pPr>
              <w:spacing w:after="0" w:line="259" w:lineRule="auto"/>
              <w:jc w:val="center"/>
            </w:pPr>
            <w:r>
              <w:rPr>
                <w:rFonts w:ascii="Aptos" w:hAnsi="Aptos"/>
                <w:b/>
                <w:i w:val="0"/>
                <w:color w:val="FFFFFF"/>
                <w:sz w:val="17"/>
              </w:rPr>
              <w:t>Why it mattered</w:t>
            </w:r>
          </w:p>
        </w:tc>
      </w:tr>
      <w:tr>
        <w:tc>
          <w:tcPr>
            <w:tcW w:type="dxa" w:w="1700"/>
            <w:vAlign w:val="center"/>
            <w:tcMar>
              <w:top w:w="90" w:type="dxa"/>
              <w:start w:w="120" w:type="dxa"/>
              <w:bottom w:w="90" w:type="dxa"/>
              <w:end w:w="120" w:type="dxa"/>
            </w:tcMar>
            <w:shd w:fill="FFFFFF"/>
          </w:tcPr>
          <w:p>
            <w:pPr>
              <w:spacing w:after="0" w:line="259" w:lineRule="auto"/>
              <w:jc w:val="left"/>
            </w:pPr>
            <w:r>
              <w:rPr>
                <w:rFonts w:ascii="Aptos" w:hAnsi="Aptos"/>
                <w:b/>
                <w:i w:val="0"/>
                <w:color w:val="244B5A"/>
                <w:sz w:val="17"/>
              </w:rPr>
              <w:t>Human participant</w:t>
            </w:r>
          </w:p>
        </w:tc>
        <w:tc>
          <w:tcPr>
            <w:tcW w:type="dxa" w:w="3800"/>
            <w:vAlign w:val="center"/>
            <w:tcMar>
              <w:top w:w="90" w:type="dxa"/>
              <w:start w:w="120" w:type="dxa"/>
              <w:bottom w:w="90" w:type="dxa"/>
              <w:end w:w="120" w:type="dxa"/>
            </w:tcMar>
            <w:shd w:fill="FFFFFF"/>
          </w:tcPr>
          <w:p>
            <w:pPr>
              <w:spacing w:after="0" w:line="259" w:lineRule="auto"/>
              <w:jc w:val="left"/>
            </w:pPr>
            <w:r>
              <w:rPr>
                <w:rFonts w:ascii="Aptos" w:hAnsi="Aptos"/>
                <w:b w:val="0"/>
                <w:i w:val="0"/>
                <w:color w:val="172A33"/>
                <w:sz w:val="17"/>
              </w:rPr>
              <w:t>Field expertise, true constraints, anomaly judgment, priority, and final acceptance</w:t>
            </w:r>
          </w:p>
        </w:tc>
        <w:tc>
          <w:tcPr>
            <w:tcW w:type="dxa" w:w="3860"/>
            <w:vAlign w:val="center"/>
            <w:tcMar>
              <w:top w:w="90" w:type="dxa"/>
              <w:start w:w="120" w:type="dxa"/>
              <w:bottom w:w="90" w:type="dxa"/>
              <w:end w:w="120" w:type="dxa"/>
            </w:tcMar>
            <w:shd w:fill="FFFFFF"/>
          </w:tcPr>
          <w:p>
            <w:pPr>
              <w:spacing w:after="0" w:line="259" w:lineRule="auto"/>
              <w:jc w:val="left"/>
            </w:pPr>
            <w:r>
              <w:rPr>
                <w:rFonts w:ascii="Aptos" w:hAnsi="Aptos"/>
                <w:b w:val="0"/>
                <w:i w:val="0"/>
                <w:color w:val="172A33"/>
                <w:sz w:val="17"/>
              </w:rPr>
              <w:t>Knows what the warehouse actually does and when a plausible result is unusable</w:t>
            </w:r>
          </w:p>
        </w:tc>
      </w:tr>
      <w:tr>
        <w:tc>
          <w:tcPr>
            <w:tcW w:type="dxa" w:w="1700"/>
            <w:vAlign w:val="center"/>
            <w:tcMar>
              <w:top w:w="90" w:type="dxa"/>
              <w:start w:w="120" w:type="dxa"/>
              <w:bottom w:w="90" w:type="dxa"/>
              <w:end w:w="120" w:type="dxa"/>
            </w:tcMar>
            <w:shd w:fill="F5F7F7"/>
          </w:tcPr>
          <w:p>
            <w:pPr>
              <w:spacing w:after="0" w:line="259" w:lineRule="auto"/>
              <w:jc w:val="left"/>
            </w:pPr>
            <w:r>
              <w:rPr>
                <w:rFonts w:ascii="Aptos" w:hAnsi="Aptos"/>
                <w:b/>
                <w:i w:val="0"/>
                <w:color w:val="244B5A"/>
                <w:sz w:val="17"/>
              </w:rPr>
              <w:t>Familiar AI</w:t>
            </w:r>
          </w:p>
        </w:tc>
        <w:tc>
          <w:tcPr>
            <w:tcW w:type="dxa" w:w="3800"/>
            <w:vAlign w:val="center"/>
            <w:tcMar>
              <w:top w:w="90" w:type="dxa"/>
              <w:start w:w="120" w:type="dxa"/>
              <w:bottom w:w="90" w:type="dxa"/>
              <w:end w:w="120" w:type="dxa"/>
            </w:tcMar>
            <w:shd w:fill="F5F7F7"/>
          </w:tcPr>
          <w:p>
            <w:pPr>
              <w:spacing w:after="0" w:line="259" w:lineRule="auto"/>
              <w:jc w:val="left"/>
            </w:pPr>
            <w:r>
              <w:rPr>
                <w:rFonts w:ascii="Aptos" w:hAnsi="Aptos"/>
                <w:b w:val="0"/>
                <w:i w:val="0"/>
                <w:color w:val="172A33"/>
                <w:sz w:val="17"/>
              </w:rPr>
              <w:t>Structuring, rule formalization, cross-module reasoning, interface language, and iteration</w:t>
            </w:r>
          </w:p>
        </w:tc>
        <w:tc>
          <w:tcPr>
            <w:tcW w:type="dxa" w:w="3860"/>
            <w:vAlign w:val="center"/>
            <w:tcMar>
              <w:top w:w="90" w:type="dxa"/>
              <w:start w:w="120" w:type="dxa"/>
              <w:bottom w:w="90" w:type="dxa"/>
              <w:end w:w="120" w:type="dxa"/>
            </w:tcMar>
            <w:shd w:fill="F5F7F7"/>
          </w:tcPr>
          <w:p>
            <w:pPr>
              <w:spacing w:after="0" w:line="259" w:lineRule="auto"/>
              <w:jc w:val="left"/>
            </w:pPr>
            <w:r>
              <w:rPr>
                <w:rFonts w:ascii="Aptos" w:hAnsi="Aptos"/>
                <w:b w:val="0"/>
                <w:i w:val="0"/>
                <w:color w:val="172A33"/>
                <w:sz w:val="17"/>
              </w:rPr>
              <w:t>Connects dispersed feedback into states, workflows, and system relationships</w:t>
            </w:r>
          </w:p>
        </w:tc>
      </w:tr>
      <w:tr>
        <w:tc>
          <w:tcPr>
            <w:tcW w:type="dxa" w:w="1700"/>
            <w:vAlign w:val="center"/>
            <w:tcMar>
              <w:top w:w="90" w:type="dxa"/>
              <w:start w:w="120" w:type="dxa"/>
              <w:bottom w:w="90" w:type="dxa"/>
              <w:end w:w="120" w:type="dxa"/>
            </w:tcMar>
            <w:shd w:fill="FFFFFF"/>
          </w:tcPr>
          <w:p>
            <w:pPr>
              <w:spacing w:after="0" w:line="259" w:lineRule="auto"/>
              <w:jc w:val="left"/>
            </w:pPr>
            <w:r>
              <w:rPr>
                <w:rFonts w:ascii="Aptos" w:hAnsi="Aptos"/>
                <w:b/>
                <w:i w:val="0"/>
                <w:color w:val="244B5A"/>
                <w:sz w:val="17"/>
              </w:rPr>
              <w:t>Real environment</w:t>
            </w:r>
          </w:p>
        </w:tc>
        <w:tc>
          <w:tcPr>
            <w:tcW w:type="dxa" w:w="3800"/>
            <w:vAlign w:val="center"/>
            <w:tcMar>
              <w:top w:w="90" w:type="dxa"/>
              <w:start w:w="120" w:type="dxa"/>
              <w:bottom w:w="90" w:type="dxa"/>
              <w:end w:w="120" w:type="dxa"/>
            </w:tcMar>
            <w:shd w:fill="FFFFFF"/>
          </w:tcPr>
          <w:p>
            <w:pPr>
              <w:spacing w:after="0" w:line="259" w:lineRule="auto"/>
              <w:jc w:val="left"/>
            </w:pPr>
            <w:r>
              <w:rPr>
                <w:rFonts w:ascii="Aptos" w:hAnsi="Aptos"/>
                <w:b w:val="0"/>
                <w:i w:val="0"/>
                <w:color w:val="172A33"/>
                <w:sz w:val="17"/>
              </w:rPr>
              <w:t>Orders, inventory, devices, mobile browser, and colleague use</w:t>
            </w:r>
          </w:p>
        </w:tc>
        <w:tc>
          <w:tcPr>
            <w:tcW w:type="dxa" w:w="3860"/>
            <w:vAlign w:val="center"/>
            <w:tcMar>
              <w:top w:w="90" w:type="dxa"/>
              <w:start w:w="120" w:type="dxa"/>
              <w:bottom w:w="90" w:type="dxa"/>
              <w:end w:w="120" w:type="dxa"/>
            </w:tcMar>
            <w:shd w:fill="FFFFFF"/>
          </w:tcPr>
          <w:p>
            <w:pPr>
              <w:spacing w:after="0" w:line="259" w:lineRule="auto"/>
              <w:jc w:val="left"/>
            </w:pPr>
            <w:r>
              <w:rPr>
                <w:rFonts w:ascii="Aptos" w:hAnsi="Aptos"/>
                <w:b w:val="0"/>
                <w:i w:val="0"/>
                <w:color w:val="172A33"/>
                <w:sz w:val="17"/>
              </w:rPr>
              <w:t>Creates stress tests and counter-evidence that language alone cannot simulate</w:t>
            </w:r>
          </w:p>
        </w:tc>
      </w:tr>
      <w:tr>
        <w:tc>
          <w:tcPr>
            <w:tcW w:type="dxa" w:w="1700"/>
            <w:vAlign w:val="center"/>
            <w:tcMar>
              <w:top w:w="90" w:type="dxa"/>
              <w:start w:w="120" w:type="dxa"/>
              <w:bottom w:w="90" w:type="dxa"/>
              <w:end w:w="120" w:type="dxa"/>
            </w:tcMar>
            <w:shd w:fill="F5F7F7"/>
          </w:tcPr>
          <w:p>
            <w:pPr>
              <w:spacing w:after="0" w:line="259" w:lineRule="auto"/>
              <w:jc w:val="left"/>
            </w:pPr>
            <w:r>
              <w:rPr>
                <w:rFonts w:ascii="Aptos" w:hAnsi="Aptos"/>
                <w:b/>
                <w:i w:val="0"/>
                <w:color w:val="244B5A"/>
                <w:sz w:val="17"/>
              </w:rPr>
              <w:t>Joint loop</w:t>
            </w:r>
          </w:p>
        </w:tc>
        <w:tc>
          <w:tcPr>
            <w:tcW w:type="dxa" w:w="3800"/>
            <w:vAlign w:val="center"/>
            <w:tcMar>
              <w:top w:w="90" w:type="dxa"/>
              <w:start w:w="120" w:type="dxa"/>
              <w:bottom w:w="90" w:type="dxa"/>
              <w:end w:w="120" w:type="dxa"/>
            </w:tcMar>
            <w:shd w:fill="F5F7F7"/>
          </w:tcPr>
          <w:p>
            <w:pPr>
              <w:spacing w:after="0" w:line="259" w:lineRule="auto"/>
              <w:jc w:val="left"/>
            </w:pPr>
            <w:r>
              <w:rPr>
                <w:rFonts w:ascii="Aptos" w:hAnsi="Aptos"/>
                <w:b w:val="0"/>
                <w:i w:val="0"/>
                <w:color w:val="172A33"/>
                <w:sz w:val="17"/>
              </w:rPr>
              <w:t>Propose → build → operate → detect → correct → retest</w:t>
            </w:r>
          </w:p>
        </w:tc>
        <w:tc>
          <w:tcPr>
            <w:tcW w:type="dxa" w:w="3860"/>
            <w:vAlign w:val="center"/>
            <w:tcMar>
              <w:top w:w="90" w:type="dxa"/>
              <w:start w:w="120" w:type="dxa"/>
              <w:bottom w:w="90" w:type="dxa"/>
              <w:end w:w="120" w:type="dxa"/>
            </w:tcMar>
            <w:shd w:fill="F5F7F7"/>
          </w:tcPr>
          <w:p>
            <w:pPr>
              <w:spacing w:after="0" w:line="259" w:lineRule="auto"/>
              <w:jc w:val="left"/>
            </w:pPr>
            <w:r>
              <w:rPr>
                <w:rFonts w:ascii="Aptos" w:hAnsi="Aptos"/>
                <w:b w:val="0"/>
                <w:i w:val="0"/>
                <w:color w:val="172A33"/>
                <w:sz w:val="17"/>
              </w:rPr>
              <w:t>Produces system knowledge neither side could easily produce alone</w:t>
            </w:r>
          </w:p>
        </w:tc>
      </w:tr>
    </w:tbl>
    <w:p>
      <w:pPr>
        <w:pStyle w:val="Heading2"/>
      </w:pPr>
      <w:r>
        <w:t>Representative Knowledge Produced</w:t>
      </w:r>
    </w:p>
    <w:p>
      <w:pPr>
        <w:pStyle w:val="ListBullet"/>
        <w:spacing w:after="60"/>
        <w:ind w:left="605" w:hanging="288"/>
      </w:pPr>
      <w:r>
        <w:rPr>
          <w:rFonts w:ascii="Aptos" w:hAnsi="Aptos"/>
          <w:b w:val="0"/>
          <w:i w:val="0"/>
          <w:color w:val="172A33"/>
          <w:sz w:val="21"/>
        </w:rPr>
        <w:t>Carpet states FULL / CAL / TM; stock carpet receives an extra three inches per CUT, non-stock does not.</w:t>
      </w:r>
    </w:p>
    <w:p>
      <w:pPr>
        <w:pStyle w:val="ListBullet"/>
        <w:spacing w:after="60"/>
        <w:ind w:left="605" w:hanging="288"/>
      </w:pPr>
      <w:r>
        <w:rPr>
          <w:rFonts w:ascii="Aptos" w:hAnsi="Aptos"/>
          <w:b w:val="0"/>
          <w:i w:val="0"/>
          <w:color w:val="172A33"/>
          <w:sz w:val="21"/>
        </w:rPr>
        <w:t>Line-level partial order management: Received, Backorder, Pending, Completed; received lines can enter inventory before the full order closes.</w:t>
      </w:r>
    </w:p>
    <w:p>
      <w:pPr>
        <w:pStyle w:val="ListBullet"/>
        <w:spacing w:after="60"/>
        <w:ind w:left="605" w:hanging="288"/>
      </w:pPr>
      <w:r>
        <w:rPr>
          <w:rFonts w:ascii="Aptos" w:hAnsi="Aptos"/>
          <w:b w:val="0"/>
          <w:i w:val="0"/>
          <w:color w:val="172A33"/>
          <w:sz w:val="21"/>
        </w:rPr>
        <w:t>Active means physically present and available in the warehouse; transfers to Store, Installer, Branch, or Customer leave active inventory but remain in history.</w:t>
      </w:r>
    </w:p>
    <w:p>
      <w:pPr>
        <w:pStyle w:val="ListBullet"/>
        <w:spacing w:after="60"/>
        <w:ind w:left="605" w:hanging="288"/>
      </w:pPr>
      <w:r>
        <w:rPr>
          <w:rFonts w:ascii="Aptos" w:hAnsi="Aptos"/>
          <w:b w:val="0"/>
          <w:i w:val="0"/>
          <w:color w:val="172A33"/>
          <w:sz w:val="21"/>
        </w:rPr>
        <w:t>Current inventory is separated from transfer/history records to avoid false availability.</w:t>
      </w:r>
    </w:p>
    <w:p>
      <w:pPr>
        <w:pStyle w:val="ListBullet"/>
        <w:spacing w:after="60"/>
        <w:ind w:left="605" w:hanging="288"/>
      </w:pPr>
      <w:r>
        <w:rPr>
          <w:rFonts w:ascii="Aptos" w:hAnsi="Aptos"/>
          <w:b w:val="0"/>
          <w:i w:val="0"/>
          <w:color w:val="172A33"/>
          <w:sz w:val="21"/>
        </w:rPr>
        <w:t>Rack mapping uses green, yellow, red, and gray for available, nearly full, full/unavailable, and empty/non-inventory areas.</w:t>
      </w:r>
    </w:p>
    <w:p>
      <w:pPr>
        <w:pStyle w:val="ListBullet"/>
        <w:spacing w:after="60"/>
        <w:ind w:left="605" w:hanging="288"/>
      </w:pPr>
      <w:r>
        <w:rPr>
          <w:rFonts w:ascii="Aptos" w:hAnsi="Aptos"/>
          <w:b w:val="0"/>
          <w:i w:val="0"/>
          <w:color w:val="172A33"/>
          <w:sz w:val="21"/>
        </w:rPr>
        <w:t>Underlayment and adhesive units—ROLL, PAIL, BUCKET, TUBE, GAL—must remain consistent across receiving, inventory, shipping, and history.</w:t>
      </w:r>
    </w:p>
    <w:p>
      <w:r>
        <w:br w:type="page"/>
      </w:r>
    </w:p>
    <w:p>
      <w:pPr>
        <w:pStyle w:val="Heading1"/>
      </w:pPr>
      <w:r>
        <w:t>2. Evidence of the Collaboration Loop</w:t>
      </w:r>
    </w:p>
    <w:tbl>
      <w:tblPr>
        <w:tblW w:type="auto" w:w="0"/>
        <w:jc w:val="left"/>
        <w:tblLayout w:type="fixed"/>
        <w:tblLook w:firstColumn="1" w:firstRow="1" w:lastColumn="0" w:lastRow="0" w:noHBand="0" w:noVBand="1" w:val="04A0"/>
        <w:tblW w:w="9360" w:type="dxa"/>
        <w:tblInd w:w="120" w:type="dxa"/>
      </w:tblPr>
      <w:tblGrid>
        <w:gridCol w:w="800"/>
        <w:gridCol w:w="2500"/>
        <w:gridCol w:w="3060"/>
        <w:gridCol w:w="3000"/>
      </w:tblGrid>
      <w:tr>
        <w:tc>
          <w:tcPr>
            <w:tcW w:type="dxa" w:w="800"/>
            <w:vAlign w:val="center"/>
            <w:tcMar>
              <w:top w:w="90" w:type="dxa"/>
              <w:start w:w="120" w:type="dxa"/>
              <w:bottom w:w="90" w:type="dxa"/>
              <w:end w:w="120" w:type="dxa"/>
            </w:tcMar>
            <w:shd w:fill="244B5A"/>
          </w:tcPr>
          <w:p>
            <w:pPr>
              <w:spacing w:after="0" w:line="259" w:lineRule="auto"/>
              <w:jc w:val="center"/>
            </w:pPr>
            <w:r>
              <w:rPr>
                <w:rFonts w:ascii="Aptos" w:hAnsi="Aptos"/>
                <w:b/>
                <w:i w:val="0"/>
                <w:color w:val="FFFFFF"/>
                <w:sz w:val="17"/>
              </w:rPr>
              <w:t>Event</w:t>
            </w:r>
          </w:p>
        </w:tc>
        <w:tc>
          <w:tcPr>
            <w:tcW w:type="dxa" w:w="2500"/>
            <w:vAlign w:val="center"/>
            <w:tcMar>
              <w:top w:w="90" w:type="dxa"/>
              <w:start w:w="120" w:type="dxa"/>
              <w:bottom w:w="90" w:type="dxa"/>
              <w:end w:w="120" w:type="dxa"/>
            </w:tcMar>
            <w:shd w:fill="244B5A"/>
          </w:tcPr>
          <w:p>
            <w:pPr>
              <w:spacing w:after="0" w:line="259" w:lineRule="auto"/>
              <w:jc w:val="center"/>
            </w:pPr>
            <w:r>
              <w:rPr>
                <w:rFonts w:ascii="Aptos" w:hAnsi="Aptos"/>
                <w:b/>
                <w:i w:val="0"/>
                <w:color w:val="FFFFFF"/>
                <w:sz w:val="17"/>
              </w:rPr>
              <w:t>Field observation</w:t>
            </w:r>
          </w:p>
        </w:tc>
        <w:tc>
          <w:tcPr>
            <w:tcW w:type="dxa" w:w="3060"/>
            <w:vAlign w:val="center"/>
            <w:tcMar>
              <w:top w:w="90" w:type="dxa"/>
              <w:start w:w="120" w:type="dxa"/>
              <w:bottom w:w="90" w:type="dxa"/>
              <w:end w:w="120" w:type="dxa"/>
            </w:tcMar>
            <w:shd w:fill="244B5A"/>
          </w:tcPr>
          <w:p>
            <w:pPr>
              <w:spacing w:after="0" w:line="259" w:lineRule="auto"/>
              <w:jc w:val="center"/>
            </w:pPr>
            <w:r>
              <w:rPr>
                <w:rFonts w:ascii="Aptos" w:hAnsi="Aptos"/>
                <w:b/>
                <w:i w:val="0"/>
                <w:color w:val="FFFFFF"/>
                <w:sz w:val="17"/>
              </w:rPr>
              <w:t>Joint correction</w:t>
            </w:r>
          </w:p>
        </w:tc>
        <w:tc>
          <w:tcPr>
            <w:tcW w:type="dxa" w:w="3000"/>
            <w:vAlign w:val="center"/>
            <w:tcMar>
              <w:top w:w="90" w:type="dxa"/>
              <w:start w:w="120" w:type="dxa"/>
              <w:bottom w:w="90" w:type="dxa"/>
              <w:end w:w="120" w:type="dxa"/>
            </w:tcMar>
            <w:shd w:fill="244B5A"/>
          </w:tcPr>
          <w:p>
            <w:pPr>
              <w:spacing w:after="0" w:line="259" w:lineRule="auto"/>
              <w:jc w:val="center"/>
            </w:pPr>
            <w:r>
              <w:rPr>
                <w:rFonts w:ascii="Aptos" w:hAnsi="Aptos"/>
                <w:b/>
                <w:i w:val="0"/>
                <w:color w:val="FFFFFF"/>
                <w:sz w:val="17"/>
              </w:rPr>
              <w:t>Cognitive meaning</w:t>
            </w:r>
          </w:p>
        </w:tc>
      </w:tr>
      <w:tr>
        <w:tc>
          <w:tcPr>
            <w:tcW w:type="dxa" w:w="800"/>
            <w:vAlign w:val="center"/>
            <w:tcMar>
              <w:top w:w="90" w:type="dxa"/>
              <w:start w:w="120" w:type="dxa"/>
              <w:bottom w:w="90" w:type="dxa"/>
              <w:end w:w="120" w:type="dxa"/>
            </w:tcMar>
            <w:shd w:fill="FFFFFF"/>
          </w:tcPr>
          <w:p>
            <w:pPr>
              <w:spacing w:after="0" w:line="259" w:lineRule="auto"/>
              <w:jc w:val="center"/>
            </w:pPr>
            <w:r>
              <w:rPr>
                <w:rFonts w:ascii="Aptos" w:hAnsi="Aptos"/>
                <w:b/>
                <w:i w:val="0"/>
                <w:color w:val="244B5A"/>
                <w:sz w:val="17"/>
              </w:rPr>
              <w:t>E01</w:t>
            </w:r>
          </w:p>
        </w:tc>
        <w:tc>
          <w:tcPr>
            <w:tcW w:type="dxa" w:w="2500"/>
            <w:vAlign w:val="center"/>
            <w:tcMar>
              <w:top w:w="90" w:type="dxa"/>
              <w:start w:w="120" w:type="dxa"/>
              <w:bottom w:w="90" w:type="dxa"/>
              <w:end w:w="120" w:type="dxa"/>
            </w:tcMar>
            <w:shd w:fill="FFFFFF"/>
          </w:tcPr>
          <w:p>
            <w:pPr>
              <w:spacing w:after="0" w:line="259" w:lineRule="auto"/>
              <w:jc w:val="left"/>
            </w:pPr>
            <w:r>
              <w:rPr>
                <w:rFonts w:ascii="Aptos" w:hAnsi="Aptos"/>
                <w:b w:val="0"/>
                <w:i w:val="0"/>
                <w:color w:val="172A33"/>
                <w:sz w:val="17"/>
              </w:rPr>
              <w:t>Receiving or shipping did not change inventory correctly.</w:t>
            </w:r>
          </w:p>
        </w:tc>
        <w:tc>
          <w:tcPr>
            <w:tcW w:type="dxa" w:w="3060"/>
            <w:vAlign w:val="center"/>
            <w:tcMar>
              <w:top w:w="90" w:type="dxa"/>
              <w:start w:w="120" w:type="dxa"/>
              <w:bottom w:w="90" w:type="dxa"/>
              <w:end w:w="120" w:type="dxa"/>
            </w:tcMar>
            <w:shd w:fill="FFFFFF"/>
          </w:tcPr>
          <w:p>
            <w:pPr>
              <w:spacing w:after="0" w:line="259" w:lineRule="auto"/>
              <w:jc w:val="left"/>
            </w:pPr>
            <w:r>
              <w:rPr>
                <w:rFonts w:ascii="Aptos" w:hAnsi="Aptos"/>
                <w:b w:val="0"/>
                <w:i w:val="0"/>
                <w:color w:val="172A33"/>
                <w:sz w:val="17"/>
              </w:rPr>
              <w:t>Reconnect the business action to inventory lifecycle state.</w:t>
            </w:r>
          </w:p>
        </w:tc>
        <w:tc>
          <w:tcPr>
            <w:tcW w:type="dxa" w:w="3000"/>
            <w:vAlign w:val="center"/>
            <w:tcMar>
              <w:top w:w="90" w:type="dxa"/>
              <w:start w:w="120" w:type="dxa"/>
              <w:bottom w:w="90" w:type="dxa"/>
              <w:end w:w="120" w:type="dxa"/>
            </w:tcMar>
            <w:shd w:fill="FFFFFF"/>
          </w:tcPr>
          <w:p>
            <w:pPr>
              <w:spacing w:after="0" w:line="259" w:lineRule="auto"/>
              <w:jc w:val="left"/>
            </w:pPr>
            <w:r>
              <w:rPr>
                <w:rFonts w:ascii="Aptos" w:hAnsi="Aptos"/>
                <w:b w:val="0"/>
                <w:i w:val="0"/>
                <w:color w:val="172A33"/>
                <w:sz w:val="17"/>
              </w:rPr>
              <w:t>A visible action must create a real state transition.</w:t>
            </w:r>
          </w:p>
        </w:tc>
      </w:tr>
      <w:tr>
        <w:tc>
          <w:tcPr>
            <w:tcW w:type="dxa" w:w="800"/>
            <w:vAlign w:val="center"/>
            <w:tcMar>
              <w:top w:w="90" w:type="dxa"/>
              <w:start w:w="120" w:type="dxa"/>
              <w:bottom w:w="90" w:type="dxa"/>
              <w:end w:w="120" w:type="dxa"/>
            </w:tcMar>
            <w:shd w:fill="F5F7F7"/>
          </w:tcPr>
          <w:p>
            <w:pPr>
              <w:spacing w:after="0" w:line="259" w:lineRule="auto"/>
              <w:jc w:val="center"/>
            </w:pPr>
            <w:r>
              <w:rPr>
                <w:rFonts w:ascii="Aptos" w:hAnsi="Aptos"/>
                <w:b/>
                <w:i w:val="0"/>
                <w:color w:val="244B5A"/>
                <w:sz w:val="17"/>
              </w:rPr>
              <w:t>E02</w:t>
            </w:r>
          </w:p>
        </w:tc>
        <w:tc>
          <w:tcPr>
            <w:tcW w:type="dxa" w:w="2500"/>
            <w:vAlign w:val="center"/>
            <w:tcMar>
              <w:top w:w="90" w:type="dxa"/>
              <w:start w:w="120" w:type="dxa"/>
              <w:bottom w:w="90" w:type="dxa"/>
              <w:end w:w="120" w:type="dxa"/>
            </w:tcMar>
            <w:shd w:fill="F5F7F7"/>
          </w:tcPr>
          <w:p>
            <w:pPr>
              <w:spacing w:after="0" w:line="259" w:lineRule="auto"/>
              <w:jc w:val="left"/>
            </w:pPr>
            <w:r>
              <w:rPr>
                <w:rFonts w:ascii="Aptos" w:hAnsi="Aptos"/>
                <w:b w:val="0"/>
                <w:i w:val="0"/>
                <w:color w:val="172A33"/>
                <w:sz w:val="17"/>
              </w:rPr>
              <w:t>Transferred records remained mixed with Active inventory.</w:t>
            </w:r>
          </w:p>
        </w:tc>
        <w:tc>
          <w:tcPr>
            <w:tcW w:type="dxa" w:w="3060"/>
            <w:vAlign w:val="center"/>
            <w:tcMar>
              <w:top w:w="90" w:type="dxa"/>
              <w:start w:w="120" w:type="dxa"/>
              <w:bottom w:w="90" w:type="dxa"/>
              <w:end w:w="120" w:type="dxa"/>
            </w:tcMar>
            <w:shd w:fill="F5F7F7"/>
          </w:tcPr>
          <w:p>
            <w:pPr>
              <w:spacing w:after="0" w:line="259" w:lineRule="auto"/>
              <w:jc w:val="left"/>
            </w:pPr>
            <w:r>
              <w:rPr>
                <w:rFonts w:ascii="Aptos" w:hAnsi="Aptos"/>
                <w:b w:val="0"/>
                <w:i w:val="0"/>
                <w:color w:val="172A33"/>
                <w:sz w:val="17"/>
              </w:rPr>
              <w:t>Separate current inventory from transfer history.</w:t>
            </w:r>
          </w:p>
        </w:tc>
        <w:tc>
          <w:tcPr>
            <w:tcW w:type="dxa" w:w="3000"/>
            <w:vAlign w:val="center"/>
            <w:tcMar>
              <w:top w:w="90" w:type="dxa"/>
              <w:start w:w="120" w:type="dxa"/>
              <w:bottom w:w="90" w:type="dxa"/>
              <w:end w:w="120" w:type="dxa"/>
            </w:tcMar>
            <w:shd w:fill="F5F7F7"/>
          </w:tcPr>
          <w:p>
            <w:pPr>
              <w:spacing w:after="0" w:line="259" w:lineRule="auto"/>
              <w:jc w:val="left"/>
            </w:pPr>
            <w:r>
              <w:rPr>
                <w:rFonts w:ascii="Aptos" w:hAnsi="Aptos"/>
                <w:b w:val="0"/>
                <w:i w:val="0"/>
                <w:color w:val="172A33"/>
                <w:sz w:val="17"/>
              </w:rPr>
              <w:t>Field semantics corrected generic data display.</w:t>
            </w:r>
          </w:p>
        </w:tc>
      </w:tr>
      <w:tr>
        <w:tc>
          <w:tcPr>
            <w:tcW w:type="dxa" w:w="800"/>
            <w:vAlign w:val="center"/>
            <w:tcMar>
              <w:top w:w="90" w:type="dxa"/>
              <w:start w:w="120" w:type="dxa"/>
              <w:bottom w:w="90" w:type="dxa"/>
              <w:end w:w="120" w:type="dxa"/>
            </w:tcMar>
            <w:shd w:fill="FFFFFF"/>
          </w:tcPr>
          <w:p>
            <w:pPr>
              <w:spacing w:after="0" w:line="259" w:lineRule="auto"/>
              <w:jc w:val="center"/>
            </w:pPr>
            <w:r>
              <w:rPr>
                <w:rFonts w:ascii="Aptos" w:hAnsi="Aptos"/>
                <w:b/>
                <w:i w:val="0"/>
                <w:color w:val="244B5A"/>
                <w:sz w:val="17"/>
              </w:rPr>
              <w:t>E03</w:t>
            </w:r>
          </w:p>
        </w:tc>
        <w:tc>
          <w:tcPr>
            <w:tcW w:type="dxa" w:w="2500"/>
            <w:vAlign w:val="center"/>
            <w:tcMar>
              <w:top w:w="90" w:type="dxa"/>
              <w:start w:w="120" w:type="dxa"/>
              <w:bottom w:w="90" w:type="dxa"/>
              <w:end w:w="120" w:type="dxa"/>
            </w:tcMar>
            <w:shd w:fill="FFFFFF"/>
          </w:tcPr>
          <w:p>
            <w:pPr>
              <w:spacing w:after="0" w:line="259" w:lineRule="auto"/>
              <w:jc w:val="left"/>
            </w:pPr>
            <w:r>
              <w:rPr>
                <w:rFonts w:ascii="Aptos" w:hAnsi="Aptos"/>
                <w:b w:val="0"/>
                <w:i w:val="0"/>
                <w:color w:val="172A33"/>
                <w:sz w:val="17"/>
              </w:rPr>
              <w:t>One order contained suppliers and lines in different states.</w:t>
            </w:r>
          </w:p>
        </w:tc>
        <w:tc>
          <w:tcPr>
            <w:tcW w:type="dxa" w:w="3060"/>
            <w:vAlign w:val="center"/>
            <w:tcMar>
              <w:top w:w="90" w:type="dxa"/>
              <w:start w:w="120" w:type="dxa"/>
              <w:bottom w:w="90" w:type="dxa"/>
              <w:end w:w="120" w:type="dxa"/>
            </w:tcMar>
            <w:shd w:fill="FFFFFF"/>
          </w:tcPr>
          <w:p>
            <w:pPr>
              <w:spacing w:after="0" w:line="259" w:lineRule="auto"/>
              <w:jc w:val="left"/>
            </w:pPr>
            <w:r>
              <w:rPr>
                <w:rFonts w:ascii="Aptos" w:hAnsi="Aptos"/>
                <w:b w:val="0"/>
                <w:i w:val="0"/>
                <w:color w:val="172A33"/>
                <w:sz w:val="17"/>
              </w:rPr>
              <w:t>Create line-level Partial states and aggregate order status.</w:t>
            </w:r>
          </w:p>
        </w:tc>
        <w:tc>
          <w:tcPr>
            <w:tcW w:type="dxa" w:w="3000"/>
            <w:vAlign w:val="center"/>
            <w:tcMar>
              <w:top w:w="90" w:type="dxa"/>
              <w:start w:w="120" w:type="dxa"/>
              <w:bottom w:w="90" w:type="dxa"/>
              <w:end w:w="120" w:type="dxa"/>
            </w:tcMar>
            <w:shd w:fill="FFFFFF"/>
          </w:tcPr>
          <w:p>
            <w:pPr>
              <w:spacing w:after="0" w:line="259" w:lineRule="auto"/>
              <w:jc w:val="left"/>
            </w:pPr>
            <w:r>
              <w:rPr>
                <w:rFonts w:ascii="Aptos" w:hAnsi="Aptos"/>
                <w:b w:val="0"/>
                <w:i w:val="0"/>
                <w:color w:val="172A33"/>
                <w:sz w:val="17"/>
              </w:rPr>
              <w:t>Tacit workflow became a data model.</w:t>
            </w:r>
          </w:p>
        </w:tc>
      </w:tr>
      <w:tr>
        <w:tc>
          <w:tcPr>
            <w:tcW w:type="dxa" w:w="800"/>
            <w:vAlign w:val="center"/>
            <w:tcMar>
              <w:top w:w="90" w:type="dxa"/>
              <w:start w:w="120" w:type="dxa"/>
              <w:bottom w:w="90" w:type="dxa"/>
              <w:end w:w="120" w:type="dxa"/>
            </w:tcMar>
            <w:shd w:fill="F5F7F7"/>
          </w:tcPr>
          <w:p>
            <w:pPr>
              <w:spacing w:after="0" w:line="259" w:lineRule="auto"/>
              <w:jc w:val="center"/>
            </w:pPr>
            <w:r>
              <w:rPr>
                <w:rFonts w:ascii="Aptos" w:hAnsi="Aptos"/>
                <w:b/>
                <w:i w:val="0"/>
                <w:color w:val="244B5A"/>
                <w:sz w:val="17"/>
              </w:rPr>
              <w:t>E04</w:t>
            </w:r>
          </w:p>
        </w:tc>
        <w:tc>
          <w:tcPr>
            <w:tcW w:type="dxa" w:w="2500"/>
            <w:vAlign w:val="center"/>
            <w:tcMar>
              <w:top w:w="90" w:type="dxa"/>
              <w:start w:w="120" w:type="dxa"/>
              <w:bottom w:w="90" w:type="dxa"/>
              <w:end w:w="120" w:type="dxa"/>
            </w:tcMar>
            <w:shd w:fill="F5F7F7"/>
          </w:tcPr>
          <w:p>
            <w:pPr>
              <w:spacing w:after="0" w:line="259" w:lineRule="auto"/>
              <w:jc w:val="left"/>
            </w:pPr>
            <w:r>
              <w:rPr>
                <w:rFonts w:ascii="Aptos" w:hAnsi="Aptos"/>
                <w:b w:val="0"/>
                <w:i w:val="0"/>
                <w:color w:val="172A33"/>
                <w:sz w:val="17"/>
              </w:rPr>
              <w:t>AI Scan placed all OCR text into a tiny box.</w:t>
            </w:r>
          </w:p>
        </w:tc>
        <w:tc>
          <w:tcPr>
            <w:tcW w:type="dxa" w:w="3060"/>
            <w:vAlign w:val="center"/>
            <w:tcMar>
              <w:top w:w="90" w:type="dxa"/>
              <w:start w:w="120" w:type="dxa"/>
              <w:bottom w:w="90" w:type="dxa"/>
              <w:end w:w="120" w:type="dxa"/>
            </w:tcMar>
            <w:shd w:fill="F5F7F7"/>
          </w:tcPr>
          <w:p>
            <w:pPr>
              <w:spacing w:after="0" w:line="259" w:lineRule="auto"/>
              <w:jc w:val="left"/>
            </w:pPr>
            <w:r>
              <w:rPr>
                <w:rFonts w:ascii="Aptos" w:hAnsi="Aptos"/>
                <w:b w:val="0"/>
                <w:i w:val="0"/>
                <w:color w:val="172A33"/>
                <w:sz w:val="17"/>
              </w:rPr>
              <w:t>Extract only required fields and show a readable list.</w:t>
            </w:r>
          </w:p>
        </w:tc>
        <w:tc>
          <w:tcPr>
            <w:tcW w:type="dxa" w:w="3000"/>
            <w:vAlign w:val="center"/>
            <w:tcMar>
              <w:top w:w="90" w:type="dxa"/>
              <w:start w:w="120" w:type="dxa"/>
              <w:bottom w:w="90" w:type="dxa"/>
              <w:end w:w="120" w:type="dxa"/>
            </w:tcMar>
            <w:shd w:fill="F5F7F7"/>
          </w:tcPr>
          <w:p>
            <w:pPr>
              <w:spacing w:after="0" w:line="259" w:lineRule="auto"/>
              <w:jc w:val="left"/>
            </w:pPr>
            <w:r>
              <w:rPr>
                <w:rFonts w:ascii="Aptos" w:hAnsi="Aptos"/>
                <w:b w:val="0"/>
                <w:i w:val="0"/>
                <w:color w:val="172A33"/>
                <w:sz w:val="17"/>
              </w:rPr>
              <w:t>Technical output is not operational usability.</w:t>
            </w:r>
          </w:p>
        </w:tc>
      </w:tr>
      <w:tr>
        <w:tc>
          <w:tcPr>
            <w:tcW w:type="dxa" w:w="800"/>
            <w:vAlign w:val="center"/>
            <w:tcMar>
              <w:top w:w="90" w:type="dxa"/>
              <w:start w:w="120" w:type="dxa"/>
              <w:bottom w:w="90" w:type="dxa"/>
              <w:end w:w="120" w:type="dxa"/>
            </w:tcMar>
            <w:shd w:fill="FFFFFF"/>
          </w:tcPr>
          <w:p>
            <w:pPr>
              <w:spacing w:after="0" w:line="259" w:lineRule="auto"/>
              <w:jc w:val="center"/>
            </w:pPr>
            <w:r>
              <w:rPr>
                <w:rFonts w:ascii="Aptos" w:hAnsi="Aptos"/>
                <w:b/>
                <w:i w:val="0"/>
                <w:color w:val="244B5A"/>
                <w:sz w:val="17"/>
              </w:rPr>
              <w:t>E05</w:t>
            </w:r>
          </w:p>
        </w:tc>
        <w:tc>
          <w:tcPr>
            <w:tcW w:type="dxa" w:w="2500"/>
            <w:vAlign w:val="center"/>
            <w:tcMar>
              <w:top w:w="90" w:type="dxa"/>
              <w:start w:w="120" w:type="dxa"/>
              <w:bottom w:w="90" w:type="dxa"/>
              <w:end w:w="120" w:type="dxa"/>
            </w:tcMar>
            <w:shd w:fill="FFFFFF"/>
          </w:tcPr>
          <w:p>
            <w:pPr>
              <w:spacing w:after="0" w:line="259" w:lineRule="auto"/>
              <w:jc w:val="left"/>
            </w:pPr>
            <w:r>
              <w:rPr>
                <w:rFonts w:ascii="Aptos" w:hAnsi="Aptos"/>
                <w:b w:val="0"/>
                <w:i w:val="0"/>
                <w:color w:val="172A33"/>
                <w:sz w:val="17"/>
              </w:rPr>
              <w:t>Recognized information differed from the original order.</w:t>
            </w:r>
          </w:p>
        </w:tc>
        <w:tc>
          <w:tcPr>
            <w:tcW w:type="dxa" w:w="3060"/>
            <w:vAlign w:val="center"/>
            <w:tcMar>
              <w:top w:w="90" w:type="dxa"/>
              <w:start w:w="120" w:type="dxa"/>
              <w:bottom w:w="90" w:type="dxa"/>
              <w:end w:w="120" w:type="dxa"/>
            </w:tcMar>
            <w:shd w:fill="FFFFFF"/>
          </w:tcPr>
          <w:p>
            <w:pPr>
              <w:spacing w:after="0" w:line="259" w:lineRule="auto"/>
              <w:jc w:val="left"/>
            </w:pPr>
            <w:r>
              <w:rPr>
                <w:rFonts w:ascii="Aptos" w:hAnsi="Aptos"/>
                <w:b w:val="0"/>
                <w:i w:val="0"/>
                <w:color w:val="172A33"/>
                <w:sz w:val="17"/>
              </w:rPr>
              <w:t>Add source–field–confidence–human confirmation loop.</w:t>
            </w:r>
          </w:p>
        </w:tc>
        <w:tc>
          <w:tcPr>
            <w:tcW w:type="dxa" w:w="3000"/>
            <w:vAlign w:val="center"/>
            <w:tcMar>
              <w:top w:w="90" w:type="dxa"/>
              <w:start w:w="120" w:type="dxa"/>
              <w:bottom w:w="90" w:type="dxa"/>
              <w:end w:w="120" w:type="dxa"/>
            </w:tcMar>
            <w:shd w:fill="FFFFFF"/>
          </w:tcPr>
          <w:p>
            <w:pPr>
              <w:spacing w:after="0" w:line="259" w:lineRule="auto"/>
              <w:jc w:val="left"/>
            </w:pPr>
            <w:r>
              <w:rPr>
                <w:rFonts w:ascii="Aptos" w:hAnsi="Aptos"/>
                <w:b w:val="0"/>
                <w:i w:val="0"/>
                <w:color w:val="172A33"/>
                <w:sz w:val="17"/>
              </w:rPr>
              <w:t>Real validation overturned apparent success.</w:t>
            </w:r>
          </w:p>
        </w:tc>
      </w:tr>
      <w:tr>
        <w:tc>
          <w:tcPr>
            <w:tcW w:type="dxa" w:w="800"/>
            <w:vAlign w:val="center"/>
            <w:tcMar>
              <w:top w:w="90" w:type="dxa"/>
              <w:start w:w="120" w:type="dxa"/>
              <w:bottom w:w="90" w:type="dxa"/>
              <w:end w:w="120" w:type="dxa"/>
            </w:tcMar>
            <w:shd w:fill="F5F7F7"/>
          </w:tcPr>
          <w:p>
            <w:pPr>
              <w:spacing w:after="0" w:line="259" w:lineRule="auto"/>
              <w:jc w:val="center"/>
            </w:pPr>
            <w:r>
              <w:rPr>
                <w:rFonts w:ascii="Aptos" w:hAnsi="Aptos"/>
                <w:b/>
                <w:i w:val="0"/>
                <w:color w:val="244B5A"/>
                <w:sz w:val="17"/>
              </w:rPr>
              <w:t>E06</w:t>
            </w:r>
          </w:p>
        </w:tc>
        <w:tc>
          <w:tcPr>
            <w:tcW w:type="dxa" w:w="2500"/>
            <w:vAlign w:val="center"/>
            <w:tcMar>
              <w:top w:w="90" w:type="dxa"/>
              <w:start w:w="120" w:type="dxa"/>
              <w:bottom w:w="90" w:type="dxa"/>
              <w:end w:w="120" w:type="dxa"/>
            </w:tcMar>
            <w:shd w:fill="F5F7F7"/>
          </w:tcPr>
          <w:p>
            <w:pPr>
              <w:spacing w:after="0" w:line="259" w:lineRule="auto"/>
              <w:jc w:val="left"/>
            </w:pPr>
            <w:r>
              <w:rPr>
                <w:rFonts w:ascii="Aptos" w:hAnsi="Aptos"/>
                <w:b w:val="0"/>
                <w:i w:val="0"/>
                <w:color w:val="172A33"/>
                <w:sz w:val="17"/>
              </w:rPr>
              <w:t>Current and destination products were ambiguous during a move.</w:t>
            </w:r>
          </w:p>
        </w:tc>
        <w:tc>
          <w:tcPr>
            <w:tcW w:type="dxa" w:w="3060"/>
            <w:vAlign w:val="center"/>
            <w:tcMar>
              <w:top w:w="90" w:type="dxa"/>
              <w:start w:w="120" w:type="dxa"/>
              <w:bottom w:w="90" w:type="dxa"/>
              <w:end w:w="120" w:type="dxa"/>
            </w:tcMar>
            <w:shd w:fill="F5F7F7"/>
          </w:tcPr>
          <w:p>
            <w:pPr>
              <w:spacing w:after="0" w:line="259" w:lineRule="auto"/>
              <w:jc w:val="left"/>
            </w:pPr>
            <w:r>
              <w:rPr>
                <w:rFonts w:ascii="Aptos" w:hAnsi="Aptos"/>
                <w:b w:val="0"/>
                <w:i w:val="0"/>
                <w:color w:val="172A33"/>
                <w:sz w:val="17"/>
              </w:rPr>
              <w:t>Show current product clearly and list only different destinations.</w:t>
            </w:r>
          </w:p>
        </w:tc>
        <w:tc>
          <w:tcPr>
            <w:tcW w:type="dxa" w:w="3000"/>
            <w:vAlign w:val="center"/>
            <w:tcMar>
              <w:top w:w="90" w:type="dxa"/>
              <w:start w:w="120" w:type="dxa"/>
              <w:bottom w:w="90" w:type="dxa"/>
              <w:end w:w="120" w:type="dxa"/>
            </w:tcMar>
            <w:shd w:fill="F5F7F7"/>
          </w:tcPr>
          <w:p>
            <w:pPr>
              <w:spacing w:after="0" w:line="259" w:lineRule="auto"/>
              <w:jc w:val="left"/>
            </w:pPr>
            <w:r>
              <w:rPr>
                <w:rFonts w:ascii="Aptos" w:hAnsi="Aptos"/>
                <w:b w:val="0"/>
                <w:i w:val="0"/>
                <w:color w:val="172A33"/>
                <w:sz w:val="17"/>
              </w:rPr>
              <w:t>Familiar context improved user guidance.</w:t>
            </w:r>
          </w:p>
        </w:tc>
      </w:tr>
      <w:tr>
        <w:tc>
          <w:tcPr>
            <w:tcW w:type="dxa" w:w="800"/>
            <w:vAlign w:val="center"/>
            <w:tcMar>
              <w:top w:w="90" w:type="dxa"/>
              <w:start w:w="120" w:type="dxa"/>
              <w:bottom w:w="90" w:type="dxa"/>
              <w:end w:w="120" w:type="dxa"/>
            </w:tcMar>
            <w:shd w:fill="FFFFFF"/>
          </w:tcPr>
          <w:p>
            <w:pPr>
              <w:spacing w:after="0" w:line="259" w:lineRule="auto"/>
              <w:jc w:val="center"/>
            </w:pPr>
            <w:r>
              <w:rPr>
                <w:rFonts w:ascii="Aptos" w:hAnsi="Aptos"/>
                <w:b/>
                <w:i w:val="0"/>
                <w:color w:val="244B5A"/>
                <w:sz w:val="17"/>
              </w:rPr>
              <w:t>E07</w:t>
            </w:r>
          </w:p>
        </w:tc>
        <w:tc>
          <w:tcPr>
            <w:tcW w:type="dxa" w:w="2500"/>
            <w:vAlign w:val="center"/>
            <w:tcMar>
              <w:top w:w="90" w:type="dxa"/>
              <w:start w:w="120" w:type="dxa"/>
              <w:bottom w:w="90" w:type="dxa"/>
              <w:end w:w="120" w:type="dxa"/>
            </w:tcMar>
            <w:shd w:fill="FFFFFF"/>
          </w:tcPr>
          <w:p>
            <w:pPr>
              <w:spacing w:after="0" w:line="259" w:lineRule="auto"/>
              <w:jc w:val="left"/>
            </w:pPr>
            <w:r>
              <w:rPr>
                <w:rFonts w:ascii="Aptos" w:hAnsi="Aptos"/>
                <w:b w:val="0"/>
                <w:i w:val="0"/>
                <w:color w:val="172A33"/>
                <w:sz w:val="17"/>
              </w:rPr>
              <w:t>A dark camera preview was treated as a defect.</w:t>
            </w:r>
          </w:p>
        </w:tc>
        <w:tc>
          <w:tcPr>
            <w:tcW w:type="dxa" w:w="3060"/>
            <w:vAlign w:val="center"/>
            <w:tcMar>
              <w:top w:w="90" w:type="dxa"/>
              <w:start w:w="120" w:type="dxa"/>
              <w:bottom w:w="90" w:type="dxa"/>
              <w:end w:w="120" w:type="dxa"/>
            </w:tcMar>
            <w:shd w:fill="FFFFFF"/>
          </w:tcPr>
          <w:p>
            <w:pPr>
              <w:spacing w:after="0" w:line="259" w:lineRule="auto"/>
              <w:jc w:val="left"/>
            </w:pPr>
            <w:r>
              <w:rPr>
                <w:rFonts w:ascii="Aptos" w:hAnsi="Aptos"/>
                <w:b w:val="0"/>
                <w:i w:val="0"/>
                <w:color w:val="172A33"/>
                <w:sz w:val="17"/>
              </w:rPr>
              <w:t>Field context revealed that it was nighttime.</w:t>
            </w:r>
          </w:p>
        </w:tc>
        <w:tc>
          <w:tcPr>
            <w:tcW w:type="dxa" w:w="3000"/>
            <w:vAlign w:val="center"/>
            <w:tcMar>
              <w:top w:w="90" w:type="dxa"/>
              <w:start w:w="120" w:type="dxa"/>
              <w:bottom w:w="90" w:type="dxa"/>
              <w:end w:w="120" w:type="dxa"/>
            </w:tcMar>
            <w:shd w:fill="FFFFFF"/>
          </w:tcPr>
          <w:p>
            <w:pPr>
              <w:spacing w:after="0" w:line="259" w:lineRule="auto"/>
              <w:jc w:val="left"/>
            </w:pPr>
            <w:r>
              <w:rPr>
                <w:rFonts w:ascii="Aptos" w:hAnsi="Aptos"/>
                <w:b w:val="0"/>
                <w:i w:val="0"/>
                <w:color w:val="172A33"/>
                <w:sz w:val="17"/>
              </w:rPr>
              <w:t>Human environmental knowledge prevented AI misdiagnosis.</w:t>
            </w:r>
          </w:p>
        </w:tc>
      </w:tr>
      <w:tr>
        <w:tc>
          <w:tcPr>
            <w:tcW w:type="dxa" w:w="800"/>
            <w:vAlign w:val="center"/>
            <w:tcMar>
              <w:top w:w="90" w:type="dxa"/>
              <w:start w:w="120" w:type="dxa"/>
              <w:bottom w:w="90" w:type="dxa"/>
              <w:end w:w="120" w:type="dxa"/>
            </w:tcMar>
            <w:shd w:fill="F5F7F7"/>
          </w:tcPr>
          <w:p>
            <w:pPr>
              <w:spacing w:after="0" w:line="259" w:lineRule="auto"/>
              <w:jc w:val="center"/>
            </w:pPr>
            <w:r>
              <w:rPr>
                <w:rFonts w:ascii="Aptos" w:hAnsi="Aptos"/>
                <w:b/>
                <w:i w:val="0"/>
                <w:color w:val="244B5A"/>
                <w:sz w:val="17"/>
              </w:rPr>
              <w:t>E08</w:t>
            </w:r>
          </w:p>
        </w:tc>
        <w:tc>
          <w:tcPr>
            <w:tcW w:type="dxa" w:w="2500"/>
            <w:vAlign w:val="center"/>
            <w:tcMar>
              <w:top w:w="90" w:type="dxa"/>
              <w:start w:w="120" w:type="dxa"/>
              <w:bottom w:w="90" w:type="dxa"/>
              <w:end w:w="120" w:type="dxa"/>
            </w:tcMar>
            <w:shd w:fill="F5F7F7"/>
          </w:tcPr>
          <w:p>
            <w:pPr>
              <w:spacing w:after="0" w:line="259" w:lineRule="auto"/>
              <w:jc w:val="left"/>
            </w:pPr>
            <w:r>
              <w:rPr>
                <w:rFonts w:ascii="Aptos" w:hAnsi="Aptos"/>
                <w:b w:val="0"/>
                <w:i w:val="0"/>
                <w:color w:val="172A33"/>
                <w:sz w:val="17"/>
              </w:rPr>
              <w:t>Version rollback, dead buttons, and device mismatch occurred.</w:t>
            </w:r>
          </w:p>
        </w:tc>
        <w:tc>
          <w:tcPr>
            <w:tcW w:type="dxa" w:w="3060"/>
            <w:vAlign w:val="center"/>
            <w:tcMar>
              <w:top w:w="90" w:type="dxa"/>
              <w:start w:w="120" w:type="dxa"/>
              <w:bottom w:w="90" w:type="dxa"/>
              <w:end w:w="120" w:type="dxa"/>
            </w:tcMar>
            <w:shd w:fill="F5F7F7"/>
          </w:tcPr>
          <w:p>
            <w:pPr>
              <w:spacing w:after="0" w:line="259" w:lineRule="auto"/>
              <w:jc w:val="left"/>
            </w:pPr>
            <w:r>
              <w:rPr>
                <w:rFonts w:ascii="Aptos" w:hAnsi="Aptos"/>
                <w:b w:val="0"/>
                <w:i w:val="0"/>
                <w:color w:val="172A33"/>
                <w:sz w:val="17"/>
              </w:rPr>
              <w:t>Add version, deployment, cache, and sync to acceptance checks.</w:t>
            </w:r>
          </w:p>
        </w:tc>
        <w:tc>
          <w:tcPr>
            <w:tcW w:type="dxa" w:w="3000"/>
            <w:vAlign w:val="center"/>
            <w:tcMar>
              <w:top w:w="90" w:type="dxa"/>
              <w:start w:w="120" w:type="dxa"/>
              <w:bottom w:w="90" w:type="dxa"/>
              <w:end w:w="120" w:type="dxa"/>
            </w:tcMar>
            <w:shd w:fill="F5F7F7"/>
          </w:tcPr>
          <w:p>
            <w:pPr>
              <w:spacing w:after="0" w:line="259" w:lineRule="auto"/>
              <w:jc w:val="left"/>
            </w:pPr>
            <w:r>
              <w:rPr>
                <w:rFonts w:ascii="Aptos" w:hAnsi="Aptos"/>
                <w:b w:val="0"/>
                <w:i w:val="0"/>
                <w:color w:val="172A33"/>
                <w:sz w:val="17"/>
              </w:rPr>
              <w:t>Long projects require system-level validation.</w:t>
            </w:r>
          </w:p>
        </w:tc>
      </w:tr>
    </w:tbl>
    <w:p>
      <w:pPr>
        <w:pStyle w:val="Heading2"/>
      </w:pPr>
      <w:r>
        <w:t>Observed Loop</w:t>
      </w:r>
    </w:p>
    <w:p>
      <w:pPr>
        <w:pStyle w:val="ListNumber"/>
        <w:ind w:left="605" w:hanging="288"/>
      </w:pPr>
      <w:r>
        <w:rPr>
          <w:rFonts w:ascii="Aptos" w:hAnsi="Aptos"/>
          <w:b w:val="0"/>
          <w:i w:val="0"/>
          <w:color w:val="172A33"/>
          <w:sz w:val="21"/>
        </w:rPr>
        <w:t>The user reports a real field problem or anomaly.</w:t>
      </w:r>
    </w:p>
    <w:p>
      <w:pPr>
        <w:pStyle w:val="ListNumber"/>
        <w:ind w:left="605" w:hanging="288"/>
      </w:pPr>
      <w:r>
        <w:rPr>
          <w:rFonts w:ascii="Aptos" w:hAnsi="Aptos"/>
          <w:b w:val="0"/>
          <w:i w:val="0"/>
          <w:color w:val="172A33"/>
          <w:sz w:val="21"/>
        </w:rPr>
        <w:t>The AI converts it into a rule, interface, or code proposal.</w:t>
      </w:r>
    </w:p>
    <w:p>
      <w:pPr>
        <w:pStyle w:val="ListNumber"/>
        <w:ind w:left="605" w:hanging="288"/>
      </w:pPr>
      <w:r>
        <w:rPr>
          <w:rFonts w:ascii="Aptos" w:hAnsi="Aptos"/>
          <w:b w:val="0"/>
          <w:i w:val="0"/>
          <w:color w:val="172A33"/>
          <w:sz w:val="21"/>
        </w:rPr>
        <w:t>The user operates it on mobile, computer, and real warehouse tasks.</w:t>
      </w:r>
    </w:p>
    <w:p>
      <w:pPr>
        <w:pStyle w:val="ListNumber"/>
        <w:ind w:left="605" w:hanging="288"/>
      </w:pPr>
      <w:r>
        <w:rPr>
          <w:rFonts w:ascii="Aptos" w:hAnsi="Aptos"/>
          <w:b w:val="0"/>
          <w:i w:val="0"/>
          <w:color w:val="172A33"/>
          <w:sz w:val="21"/>
        </w:rPr>
        <w:t>Reality supports or overturns the AI's assumption.</w:t>
      </w:r>
    </w:p>
    <w:p>
      <w:pPr>
        <w:pStyle w:val="ListNumber"/>
        <w:ind w:left="605" w:hanging="288"/>
      </w:pPr>
      <w:r>
        <w:rPr>
          <w:rFonts w:ascii="Aptos" w:hAnsi="Aptos"/>
          <w:b w:val="0"/>
          <w:i w:val="0"/>
          <w:color w:val="172A33"/>
          <w:sz w:val="21"/>
        </w:rPr>
        <w:t>The rule is corrected and propagated to related modules.</w:t>
      </w:r>
    </w:p>
    <w:tbl>
      <w:tblPr>
        <w:tblW w:type="auto" w:w="0"/>
        <w:jc w:val="left"/>
        <w:tblLayout w:type="fixed"/>
        <w:tblLook w:firstColumn="1" w:firstRow="1" w:lastColumn="0" w:lastRow="0" w:noHBand="0" w:noVBand="1" w:val="04A0"/>
        <w:tblW w:w="9360" w:type="dxa"/>
        <w:tblInd w:w="120" w:type="dxa"/>
      </w:tblPr>
      <w:tblGrid>
        <w:gridCol w:w="9360"/>
      </w:tblGrid>
      <w:tr>
        <w:tc>
          <w:tcPr>
            <w:tcW w:type="dxa" w:w="9360"/>
            <w:vAlign w:val="center"/>
            <w:tcMar>
              <w:top w:w="90" w:type="dxa"/>
              <w:start w:w="120" w:type="dxa"/>
              <w:bottom w:w="90" w:type="dxa"/>
              <w:end w:w="120" w:type="dxa"/>
            </w:tcMar>
            <w:shd w:fill="EAF2F1"/>
          </w:tcPr>
          <w:p>
            <w:pPr>
              <w:spacing w:after="0"/>
            </w:pPr>
            <w:r>
              <w:rPr>
                <w:rFonts w:ascii="Aptos" w:hAnsi="Aptos"/>
                <w:b/>
                <w:i w:val="0"/>
                <w:color w:val="244B5A"/>
                <w:sz w:val="21"/>
              </w:rPr>
              <w:t xml:space="preserve">Observation  </w:t>
            </w:r>
            <w:r>
              <w:rPr>
                <w:rFonts w:ascii="Aptos" w:hAnsi="Aptos"/>
                <w:b w:val="0"/>
                <w:i w:val="0"/>
                <w:color w:val="172A33"/>
                <w:sz w:val="21"/>
              </w:rPr>
              <w:t>The meaningful unit of progress was not an answer; it was a complete propose–implement–validate–correct cycle.</w:t>
            </w:r>
          </w:p>
        </w:tc>
      </w:tr>
    </w:tbl>
    <w:p>
      <w:pPr>
        <w:spacing w:after="0"/>
      </w:pPr>
    </w:p>
    <w:p>
      <w:r>
        <w:br w:type="page"/>
      </w:r>
    </w:p>
    <w:p>
      <w:pPr>
        <w:pStyle w:val="Heading1"/>
      </w:pPr>
      <w:r>
        <w:t>3. Preliminary Findings</w:t>
      </w:r>
    </w:p>
    <w:p>
      <w:pPr>
        <w:pStyle w:val="Heading2"/>
      </w:pPr>
      <w:r>
        <w:t>Observed Advantages</w:t>
      </w:r>
    </w:p>
    <w:p>
      <w:pPr>
        <w:pStyle w:val="ListBullet"/>
        <w:spacing w:after="60"/>
        <w:ind w:left="605" w:hanging="288"/>
      </w:pPr>
      <w:r>
        <w:rPr>
          <w:rFonts w:ascii="Aptos" w:hAnsi="Aptos"/>
          <w:b w:val="0"/>
          <w:i w:val="0"/>
          <w:color w:val="172A33"/>
          <w:sz w:val="21"/>
        </w:rPr>
        <w:t>Knowledge accumulation across later discussions.</w:t>
      </w:r>
    </w:p>
    <w:p>
      <w:pPr>
        <w:pStyle w:val="ListBullet"/>
        <w:spacing w:after="60"/>
        <w:ind w:left="605" w:hanging="288"/>
      </w:pPr>
      <w:r>
        <w:rPr>
          <w:rFonts w:ascii="Aptos" w:hAnsi="Aptos"/>
          <w:b w:val="0"/>
          <w:i w:val="0"/>
          <w:color w:val="172A33"/>
          <w:sz w:val="21"/>
        </w:rPr>
        <w:t>Cross-module consistency from one business definition.</w:t>
      </w:r>
    </w:p>
    <w:p>
      <w:pPr>
        <w:pStyle w:val="ListBullet"/>
        <w:spacing w:after="60"/>
        <w:ind w:left="605" w:hanging="288"/>
      </w:pPr>
      <w:r>
        <w:rPr>
          <w:rFonts w:ascii="Aptos" w:hAnsi="Aptos"/>
          <w:b w:val="0"/>
          <w:i w:val="0"/>
          <w:color w:val="172A33"/>
          <w:sz w:val="21"/>
        </w:rPr>
        <w:t>Conversion of tacit field habits into states, fields, validation, and guidance.</w:t>
      </w:r>
    </w:p>
    <w:p>
      <w:pPr>
        <w:pStyle w:val="ListBullet"/>
        <w:spacing w:after="60"/>
        <w:ind w:left="605" w:hanging="288"/>
      </w:pPr>
      <w:r>
        <w:rPr>
          <w:rFonts w:ascii="Aptos" w:hAnsi="Aptos"/>
          <w:b w:val="0"/>
          <w:i w:val="0"/>
          <w:color w:val="172A33"/>
          <w:sz w:val="21"/>
        </w:rPr>
        <w:t>Low-barrier co-development through natural language and images.</w:t>
      </w:r>
    </w:p>
    <w:p>
      <w:pPr>
        <w:pStyle w:val="ListBullet"/>
        <w:spacing w:after="60"/>
        <w:ind w:left="605" w:hanging="288"/>
      </w:pPr>
      <w:r>
        <w:rPr>
          <w:rFonts w:ascii="Aptos" w:hAnsi="Aptos"/>
          <w:b w:val="0"/>
          <w:i w:val="0"/>
          <w:color w:val="172A33"/>
          <w:sz w:val="21"/>
        </w:rPr>
        <w:t>Real defects becoming design principles for later versions.</w:t>
      </w:r>
    </w:p>
    <w:p>
      <w:pPr>
        <w:pStyle w:val="Heading2"/>
      </w:pPr>
      <w:r>
        <w:t>Observed Risks</w:t>
      </w:r>
    </w:p>
    <w:p>
      <w:pPr>
        <w:pStyle w:val="ListBullet"/>
        <w:spacing w:after="60"/>
        <w:ind w:left="605" w:hanging="288"/>
      </w:pPr>
      <w:r>
        <w:rPr>
          <w:rFonts w:ascii="Aptos" w:hAnsi="Aptos"/>
          <w:b w:val="0"/>
          <w:i w:val="0"/>
          <w:color w:val="172A33"/>
          <w:sz w:val="21"/>
        </w:rPr>
        <w:t>Premature completion: written or visible functionality was sometimes mistaken for working functionality.</w:t>
      </w:r>
    </w:p>
    <w:p>
      <w:pPr>
        <w:pStyle w:val="ListBullet"/>
        <w:spacing w:after="60"/>
        <w:ind w:left="605" w:hanging="288"/>
      </w:pPr>
      <w:r>
        <w:rPr>
          <w:rFonts w:ascii="Aptos" w:hAnsi="Aptos"/>
          <w:b w:val="0"/>
          <w:i w:val="0"/>
          <w:color w:val="172A33"/>
          <w:sz w:val="21"/>
        </w:rPr>
        <w:t>Familiarity bias: the AI could refine an existing direction without challenging the premise.</w:t>
      </w:r>
    </w:p>
    <w:p>
      <w:pPr>
        <w:pStyle w:val="ListBullet"/>
        <w:spacing w:after="60"/>
        <w:ind w:left="605" w:hanging="288"/>
      </w:pPr>
      <w:r>
        <w:rPr>
          <w:rFonts w:ascii="Aptos" w:hAnsi="Aptos"/>
          <w:b w:val="0"/>
          <w:i w:val="0"/>
          <w:color w:val="172A33"/>
          <w:sz w:val="21"/>
        </w:rPr>
        <w:t>Memory drift: without a single source of truth, older rules or versions could reappear.</w:t>
      </w:r>
    </w:p>
    <w:p>
      <w:pPr>
        <w:pStyle w:val="ListBullet"/>
        <w:spacing w:after="60"/>
        <w:ind w:left="605" w:hanging="288"/>
      </w:pPr>
      <w:r>
        <w:rPr>
          <w:rFonts w:ascii="Aptos" w:hAnsi="Aptos"/>
          <w:b w:val="0"/>
          <w:i w:val="0"/>
          <w:color w:val="172A33"/>
          <w:sz w:val="21"/>
        </w:rPr>
        <w:t>Weak validation: a button, OCR output, or opening page did not prove the workflow was correct.</w:t>
      </w:r>
    </w:p>
    <w:p>
      <w:pPr>
        <w:pStyle w:val="ListBullet"/>
        <w:spacing w:after="60"/>
        <w:ind w:left="605" w:hanging="288"/>
      </w:pPr>
      <w:r>
        <w:rPr>
          <w:rFonts w:ascii="Aptos" w:hAnsi="Aptos"/>
          <w:b w:val="0"/>
          <w:i w:val="0"/>
          <w:color w:val="172A33"/>
          <w:sz w:val="21"/>
        </w:rPr>
        <w:t>Causal ambiguity: no concurrent context-free or third-party AI control existed.</w:t>
      </w:r>
    </w:p>
    <w:p>
      <w:pPr>
        <w:pStyle w:val="Heading2"/>
      </w:pPr>
      <w:r>
        <w:t>Exploratory Coding</w:t>
      </w:r>
    </w:p>
    <w:tbl>
      <w:tblPr>
        <w:tblW w:type="auto" w:w="0"/>
        <w:jc w:val="left"/>
        <w:tblLayout w:type="fixed"/>
        <w:tblLook w:firstColumn="1" w:firstRow="1" w:lastColumn="0" w:lastRow="0" w:noHBand="0" w:noVBand="1" w:val="04A0"/>
        <w:tblW w:w="9360" w:type="dxa"/>
        <w:tblInd w:w="120" w:type="dxa"/>
      </w:tblPr>
      <w:tblGrid>
        <w:gridCol w:w="1800"/>
        <w:gridCol w:w="1300"/>
        <w:gridCol w:w="3200"/>
        <w:gridCol w:w="3060"/>
      </w:tblGrid>
      <w:tr>
        <w:tc>
          <w:tcPr>
            <w:tcW w:type="dxa" w:w="1800"/>
            <w:vAlign w:val="center"/>
            <w:tcMar>
              <w:top w:w="90" w:type="dxa"/>
              <w:start w:w="120" w:type="dxa"/>
              <w:bottom w:w="90" w:type="dxa"/>
              <w:end w:w="120" w:type="dxa"/>
            </w:tcMar>
            <w:shd w:fill="244B5A"/>
          </w:tcPr>
          <w:p>
            <w:pPr>
              <w:spacing w:after="0" w:line="259" w:lineRule="auto"/>
              <w:jc w:val="center"/>
            </w:pPr>
            <w:r>
              <w:rPr>
                <w:rFonts w:ascii="Aptos" w:hAnsi="Aptos"/>
                <w:b/>
                <w:i w:val="0"/>
                <w:color w:val="FFFFFF"/>
                <w:sz w:val="17"/>
              </w:rPr>
              <w:t>Dimension</w:t>
            </w:r>
          </w:p>
        </w:tc>
        <w:tc>
          <w:tcPr>
            <w:tcW w:type="dxa" w:w="1300"/>
            <w:vAlign w:val="center"/>
            <w:tcMar>
              <w:top w:w="90" w:type="dxa"/>
              <w:start w:w="120" w:type="dxa"/>
              <w:bottom w:w="90" w:type="dxa"/>
              <w:end w:w="120" w:type="dxa"/>
            </w:tcMar>
            <w:shd w:fill="244B5A"/>
          </w:tcPr>
          <w:p>
            <w:pPr>
              <w:spacing w:after="0" w:line="259" w:lineRule="auto"/>
              <w:jc w:val="center"/>
            </w:pPr>
            <w:r>
              <w:rPr>
                <w:rFonts w:ascii="Aptos" w:hAnsi="Aptos"/>
                <w:b/>
                <w:i w:val="0"/>
                <w:color w:val="FFFFFF"/>
                <w:sz w:val="17"/>
              </w:rPr>
              <w:t>Initial level</w:t>
            </w:r>
          </w:p>
        </w:tc>
        <w:tc>
          <w:tcPr>
            <w:tcW w:type="dxa" w:w="3200"/>
            <w:vAlign w:val="center"/>
            <w:tcMar>
              <w:top w:w="90" w:type="dxa"/>
              <w:start w:w="120" w:type="dxa"/>
              <w:bottom w:w="90" w:type="dxa"/>
              <w:end w:w="120" w:type="dxa"/>
            </w:tcMar>
            <w:shd w:fill="244B5A"/>
          </w:tcPr>
          <w:p>
            <w:pPr>
              <w:spacing w:after="0" w:line="259" w:lineRule="auto"/>
              <w:jc w:val="center"/>
            </w:pPr>
            <w:r>
              <w:rPr>
                <w:rFonts w:ascii="Aptos" w:hAnsi="Aptos"/>
                <w:b/>
                <w:i w:val="0"/>
                <w:color w:val="FFFFFF"/>
                <w:sz w:val="17"/>
              </w:rPr>
              <w:t>Supporting evidence</w:t>
            </w:r>
          </w:p>
        </w:tc>
        <w:tc>
          <w:tcPr>
            <w:tcW w:type="dxa" w:w="3060"/>
            <w:vAlign w:val="center"/>
            <w:tcMar>
              <w:top w:w="90" w:type="dxa"/>
              <w:start w:w="120" w:type="dxa"/>
              <w:bottom w:w="90" w:type="dxa"/>
              <w:end w:w="120" w:type="dxa"/>
            </w:tcMar>
            <w:shd w:fill="244B5A"/>
          </w:tcPr>
          <w:p>
            <w:pPr>
              <w:spacing w:after="0" w:line="259" w:lineRule="auto"/>
              <w:jc w:val="center"/>
            </w:pPr>
            <w:r>
              <w:rPr>
                <w:rFonts w:ascii="Aptos" w:hAnsi="Aptos"/>
                <w:b/>
                <w:i w:val="0"/>
                <w:color w:val="FFFFFF"/>
                <w:sz w:val="17"/>
              </w:rPr>
              <w:t>Limitation</w:t>
            </w:r>
          </w:p>
        </w:tc>
      </w:tr>
      <w:tr>
        <w:tc>
          <w:tcPr>
            <w:tcW w:type="dxa" w:w="1800"/>
            <w:vAlign w:val="center"/>
            <w:tcMar>
              <w:top w:w="90" w:type="dxa"/>
              <w:start w:w="120" w:type="dxa"/>
              <w:bottom w:w="90" w:type="dxa"/>
              <w:end w:w="120" w:type="dxa"/>
            </w:tcMar>
            <w:shd w:fill="FFFFFF"/>
          </w:tcPr>
          <w:p>
            <w:pPr>
              <w:spacing w:after="0" w:line="259" w:lineRule="auto"/>
              <w:jc w:val="left"/>
            </w:pPr>
            <w:r>
              <w:rPr>
                <w:rFonts w:ascii="Aptos" w:hAnsi="Aptos"/>
                <w:b/>
                <w:i w:val="0"/>
                <w:color w:val="244B5A"/>
                <w:sz w:val="17"/>
              </w:rPr>
              <w:t>Practical output</w:t>
            </w:r>
          </w:p>
        </w:tc>
        <w:tc>
          <w:tcPr>
            <w:tcW w:type="dxa" w:w="1300"/>
            <w:vAlign w:val="center"/>
            <w:tcMar>
              <w:top w:w="90" w:type="dxa"/>
              <w:start w:w="120" w:type="dxa"/>
              <w:bottom w:w="90" w:type="dxa"/>
              <w:end w:w="120" w:type="dxa"/>
            </w:tcMar>
            <w:shd w:fill="FFFFFF"/>
          </w:tcPr>
          <w:p>
            <w:pPr>
              <w:spacing w:after="0" w:line="259" w:lineRule="auto"/>
              <w:jc w:val="left"/>
            </w:pPr>
            <w:r>
              <w:rPr>
                <w:rFonts w:ascii="Aptos" w:hAnsi="Aptos"/>
                <w:b w:val="0"/>
                <w:i w:val="0"/>
                <w:color w:val="172A33"/>
                <w:sz w:val="17"/>
              </w:rPr>
              <w:t>High</w:t>
            </w:r>
          </w:p>
        </w:tc>
        <w:tc>
          <w:tcPr>
            <w:tcW w:type="dxa" w:w="3200"/>
            <w:vAlign w:val="center"/>
            <w:tcMar>
              <w:top w:w="90" w:type="dxa"/>
              <w:start w:w="120" w:type="dxa"/>
              <w:bottom w:w="90" w:type="dxa"/>
              <w:end w:w="120" w:type="dxa"/>
            </w:tcMar>
            <w:shd w:fill="FFFFFF"/>
          </w:tcPr>
          <w:p>
            <w:pPr>
              <w:spacing w:after="0" w:line="259" w:lineRule="auto"/>
              <w:jc w:val="left"/>
            </w:pPr>
            <w:r>
              <w:rPr>
                <w:rFonts w:ascii="Aptos" w:hAnsi="Aptos"/>
                <w:b w:val="0"/>
                <w:i w:val="0"/>
                <w:color w:val="172A33"/>
                <w:sz w:val="17"/>
              </w:rPr>
              <w:t>Multi-module OS and extensive business rules</w:t>
            </w:r>
          </w:p>
        </w:tc>
        <w:tc>
          <w:tcPr>
            <w:tcW w:type="dxa" w:w="3060"/>
            <w:vAlign w:val="center"/>
            <w:tcMar>
              <w:top w:w="90" w:type="dxa"/>
              <w:start w:w="120" w:type="dxa"/>
              <w:bottom w:w="90" w:type="dxa"/>
              <w:end w:w="120" w:type="dxa"/>
            </w:tcMar>
            <w:shd w:fill="FFFFFF"/>
          </w:tcPr>
          <w:p>
            <w:pPr>
              <w:spacing w:after="0" w:line="259" w:lineRule="auto"/>
              <w:jc w:val="left"/>
            </w:pPr>
            <w:r>
              <w:rPr>
                <w:rFonts w:ascii="Aptos" w:hAnsi="Aptos"/>
                <w:b w:val="0"/>
                <w:i w:val="0"/>
                <w:color w:val="172A33"/>
                <w:sz w:val="17"/>
              </w:rPr>
              <w:t>Version stability still needs continuing tests</w:t>
            </w:r>
          </w:p>
        </w:tc>
      </w:tr>
      <w:tr>
        <w:tc>
          <w:tcPr>
            <w:tcW w:type="dxa" w:w="1800"/>
            <w:vAlign w:val="center"/>
            <w:tcMar>
              <w:top w:w="90" w:type="dxa"/>
              <w:start w:w="120" w:type="dxa"/>
              <w:bottom w:w="90" w:type="dxa"/>
              <w:end w:w="120" w:type="dxa"/>
            </w:tcMar>
            <w:shd w:fill="F5F7F7"/>
          </w:tcPr>
          <w:p>
            <w:pPr>
              <w:spacing w:after="0" w:line="259" w:lineRule="auto"/>
              <w:jc w:val="left"/>
            </w:pPr>
            <w:r>
              <w:rPr>
                <w:rFonts w:ascii="Aptos" w:hAnsi="Aptos"/>
                <w:b/>
                <w:i w:val="0"/>
                <w:color w:val="244B5A"/>
                <w:sz w:val="17"/>
              </w:rPr>
              <w:t>Operational fit</w:t>
            </w:r>
          </w:p>
        </w:tc>
        <w:tc>
          <w:tcPr>
            <w:tcW w:type="dxa" w:w="1300"/>
            <w:vAlign w:val="center"/>
            <w:tcMar>
              <w:top w:w="90" w:type="dxa"/>
              <w:start w:w="120" w:type="dxa"/>
              <w:bottom w:w="90" w:type="dxa"/>
              <w:end w:w="120" w:type="dxa"/>
            </w:tcMar>
            <w:shd w:fill="F5F7F7"/>
          </w:tcPr>
          <w:p>
            <w:pPr>
              <w:spacing w:after="0" w:line="259" w:lineRule="auto"/>
              <w:jc w:val="left"/>
            </w:pPr>
            <w:r>
              <w:rPr>
                <w:rFonts w:ascii="Aptos" w:hAnsi="Aptos"/>
                <w:b w:val="0"/>
                <w:i w:val="0"/>
                <w:color w:val="172A33"/>
                <w:sz w:val="17"/>
              </w:rPr>
              <w:t>High</w:t>
            </w:r>
          </w:p>
        </w:tc>
        <w:tc>
          <w:tcPr>
            <w:tcW w:type="dxa" w:w="3200"/>
            <w:vAlign w:val="center"/>
            <w:tcMar>
              <w:top w:w="90" w:type="dxa"/>
              <w:start w:w="120" w:type="dxa"/>
              <w:bottom w:w="90" w:type="dxa"/>
              <w:end w:w="120" w:type="dxa"/>
            </w:tcMar>
            <w:shd w:fill="F5F7F7"/>
          </w:tcPr>
          <w:p>
            <w:pPr>
              <w:spacing w:after="0" w:line="259" w:lineRule="auto"/>
              <w:jc w:val="left"/>
            </w:pPr>
            <w:r>
              <w:rPr>
                <w:rFonts w:ascii="Aptos" w:hAnsi="Aptos"/>
                <w:b w:val="0"/>
                <w:i w:val="0"/>
                <w:color w:val="172A33"/>
                <w:sz w:val="17"/>
              </w:rPr>
              <w:t>Rules originated in real warehouse operations</w:t>
            </w:r>
          </w:p>
        </w:tc>
        <w:tc>
          <w:tcPr>
            <w:tcW w:type="dxa" w:w="3060"/>
            <w:vAlign w:val="center"/>
            <w:tcMar>
              <w:top w:w="90" w:type="dxa"/>
              <w:start w:w="120" w:type="dxa"/>
              <w:bottom w:w="90" w:type="dxa"/>
              <w:end w:w="120" w:type="dxa"/>
            </w:tcMar>
            <w:shd w:fill="F5F7F7"/>
          </w:tcPr>
          <w:p>
            <w:pPr>
              <w:spacing w:after="0" w:line="259" w:lineRule="auto"/>
              <w:jc w:val="left"/>
            </w:pPr>
            <w:r>
              <w:rPr>
                <w:rFonts w:ascii="Aptos" w:hAnsi="Aptos"/>
                <w:b w:val="0"/>
                <w:i w:val="0"/>
                <w:color w:val="172A33"/>
                <w:sz w:val="17"/>
              </w:rPr>
              <w:t>One primary work environment</w:t>
            </w:r>
          </w:p>
        </w:tc>
      </w:tr>
      <w:tr>
        <w:tc>
          <w:tcPr>
            <w:tcW w:type="dxa" w:w="1800"/>
            <w:vAlign w:val="center"/>
            <w:tcMar>
              <w:top w:w="90" w:type="dxa"/>
              <w:start w:w="120" w:type="dxa"/>
              <w:bottom w:w="90" w:type="dxa"/>
              <w:end w:w="120" w:type="dxa"/>
            </w:tcMar>
            <w:shd w:fill="FFFFFF"/>
          </w:tcPr>
          <w:p>
            <w:pPr>
              <w:spacing w:after="0" w:line="259" w:lineRule="auto"/>
              <w:jc w:val="left"/>
            </w:pPr>
            <w:r>
              <w:rPr>
                <w:rFonts w:ascii="Aptos" w:hAnsi="Aptos"/>
                <w:b/>
                <w:i w:val="0"/>
                <w:color w:val="244B5A"/>
                <w:sz w:val="17"/>
              </w:rPr>
              <w:t>Joint correction</w:t>
            </w:r>
          </w:p>
        </w:tc>
        <w:tc>
          <w:tcPr>
            <w:tcW w:type="dxa" w:w="1300"/>
            <w:vAlign w:val="center"/>
            <w:tcMar>
              <w:top w:w="90" w:type="dxa"/>
              <w:start w:w="120" w:type="dxa"/>
              <w:bottom w:w="90" w:type="dxa"/>
              <w:end w:w="120" w:type="dxa"/>
            </w:tcMar>
            <w:shd w:fill="FFFFFF"/>
          </w:tcPr>
          <w:p>
            <w:pPr>
              <w:spacing w:after="0" w:line="259" w:lineRule="auto"/>
              <w:jc w:val="left"/>
            </w:pPr>
            <w:r>
              <w:rPr>
                <w:rFonts w:ascii="Aptos" w:hAnsi="Aptos"/>
                <w:b w:val="0"/>
                <w:i w:val="0"/>
                <w:color w:val="172A33"/>
                <w:sz w:val="17"/>
              </w:rPr>
              <w:t>Medium–high</w:t>
            </w:r>
          </w:p>
        </w:tc>
        <w:tc>
          <w:tcPr>
            <w:tcW w:type="dxa" w:w="3200"/>
            <w:vAlign w:val="center"/>
            <w:tcMar>
              <w:top w:w="90" w:type="dxa"/>
              <w:start w:w="120" w:type="dxa"/>
              <w:bottom w:w="90" w:type="dxa"/>
              <w:end w:w="120" w:type="dxa"/>
            </w:tcMar>
            <w:shd w:fill="FFFFFF"/>
          </w:tcPr>
          <w:p>
            <w:pPr>
              <w:spacing w:after="0" w:line="259" w:lineRule="auto"/>
              <w:jc w:val="left"/>
            </w:pPr>
            <w:r>
              <w:rPr>
                <w:rFonts w:ascii="Aptos" w:hAnsi="Aptos"/>
                <w:b w:val="0"/>
                <w:i w:val="0"/>
                <w:color w:val="172A33"/>
                <w:sz w:val="17"/>
              </w:rPr>
              <w:t>Field tests repeatedly overturned and corrected AI judgments</w:t>
            </w:r>
          </w:p>
        </w:tc>
        <w:tc>
          <w:tcPr>
            <w:tcW w:type="dxa" w:w="3060"/>
            <w:vAlign w:val="center"/>
            <w:tcMar>
              <w:top w:w="90" w:type="dxa"/>
              <w:start w:w="120" w:type="dxa"/>
              <w:bottom w:w="90" w:type="dxa"/>
              <w:end w:w="120" w:type="dxa"/>
            </w:tcMar>
            <w:shd w:fill="FFFFFF"/>
          </w:tcPr>
          <w:p>
            <w:pPr>
              <w:spacing w:after="0" w:line="259" w:lineRule="auto"/>
              <w:jc w:val="left"/>
            </w:pPr>
            <w:r>
              <w:rPr>
                <w:rFonts w:ascii="Aptos" w:hAnsi="Aptos"/>
                <w:b w:val="0"/>
                <w:i w:val="0"/>
                <w:color w:val="172A33"/>
                <w:sz w:val="17"/>
              </w:rPr>
              <w:t>No standardized error-rate log</w:t>
            </w:r>
          </w:p>
        </w:tc>
      </w:tr>
      <w:tr>
        <w:tc>
          <w:tcPr>
            <w:tcW w:type="dxa" w:w="1800"/>
            <w:vAlign w:val="center"/>
            <w:tcMar>
              <w:top w:w="90" w:type="dxa"/>
              <w:start w:w="120" w:type="dxa"/>
              <w:bottom w:w="90" w:type="dxa"/>
              <w:end w:w="120" w:type="dxa"/>
            </w:tcMar>
            <w:shd w:fill="F5F7F7"/>
          </w:tcPr>
          <w:p>
            <w:pPr>
              <w:spacing w:after="0" w:line="259" w:lineRule="auto"/>
              <w:jc w:val="left"/>
            </w:pPr>
            <w:r>
              <w:rPr>
                <w:rFonts w:ascii="Aptos" w:hAnsi="Aptos"/>
                <w:b/>
                <w:i w:val="0"/>
                <w:color w:val="244B5A"/>
                <w:sz w:val="17"/>
              </w:rPr>
              <w:t>Innovation gain</w:t>
            </w:r>
          </w:p>
        </w:tc>
        <w:tc>
          <w:tcPr>
            <w:tcW w:type="dxa" w:w="1300"/>
            <w:vAlign w:val="center"/>
            <w:tcMar>
              <w:top w:w="90" w:type="dxa"/>
              <w:start w:w="120" w:type="dxa"/>
              <w:bottom w:w="90" w:type="dxa"/>
              <w:end w:w="120" w:type="dxa"/>
            </w:tcMar>
            <w:shd w:fill="F5F7F7"/>
          </w:tcPr>
          <w:p>
            <w:pPr>
              <w:spacing w:after="0" w:line="259" w:lineRule="auto"/>
              <w:jc w:val="left"/>
            </w:pPr>
            <w:r>
              <w:rPr>
                <w:rFonts w:ascii="Aptos" w:hAnsi="Aptos"/>
                <w:b w:val="0"/>
                <w:i w:val="0"/>
                <w:color w:val="172A33"/>
                <w:sz w:val="17"/>
              </w:rPr>
              <w:t>Medium–high</w:t>
            </w:r>
          </w:p>
        </w:tc>
        <w:tc>
          <w:tcPr>
            <w:tcW w:type="dxa" w:w="3200"/>
            <w:vAlign w:val="center"/>
            <w:tcMar>
              <w:top w:w="90" w:type="dxa"/>
              <w:start w:w="120" w:type="dxa"/>
              <w:bottom w:w="90" w:type="dxa"/>
              <w:end w:w="120" w:type="dxa"/>
            </w:tcMar>
            <w:shd w:fill="F5F7F7"/>
          </w:tcPr>
          <w:p>
            <w:pPr>
              <w:spacing w:after="0" w:line="259" w:lineRule="auto"/>
              <w:jc w:val="left"/>
            </w:pPr>
            <w:r>
              <w:rPr>
                <w:rFonts w:ascii="Aptos" w:hAnsi="Aptos"/>
                <w:b w:val="0"/>
                <w:i w:val="0"/>
                <w:color w:val="172A33"/>
                <w:sz w:val="17"/>
              </w:rPr>
              <w:t>Local defects produced lifecycle, Partial, and AI Scan principles</w:t>
            </w:r>
          </w:p>
        </w:tc>
        <w:tc>
          <w:tcPr>
            <w:tcW w:type="dxa" w:w="3060"/>
            <w:vAlign w:val="center"/>
            <w:tcMar>
              <w:top w:w="90" w:type="dxa"/>
              <w:start w:w="120" w:type="dxa"/>
              <w:bottom w:w="90" w:type="dxa"/>
              <w:end w:w="120" w:type="dxa"/>
            </w:tcMar>
            <w:shd w:fill="F5F7F7"/>
          </w:tcPr>
          <w:p>
            <w:pPr>
              <w:spacing w:after="0" w:line="259" w:lineRule="auto"/>
              <w:jc w:val="left"/>
            </w:pPr>
            <w:r>
              <w:rPr>
                <w:rFonts w:ascii="Aptos" w:hAnsi="Aptos"/>
                <w:b w:val="0"/>
                <w:i w:val="0"/>
                <w:color w:val="172A33"/>
                <w:sz w:val="17"/>
              </w:rPr>
              <w:t>No concurrent independent-development comparison</w:t>
            </w:r>
          </w:p>
        </w:tc>
      </w:tr>
      <w:tr>
        <w:tc>
          <w:tcPr>
            <w:tcW w:type="dxa" w:w="1800"/>
            <w:vAlign w:val="center"/>
            <w:tcMar>
              <w:top w:w="90" w:type="dxa"/>
              <w:start w:w="120" w:type="dxa"/>
              <w:bottom w:w="90" w:type="dxa"/>
              <w:end w:w="120" w:type="dxa"/>
            </w:tcMar>
            <w:shd w:fill="FFFFFF"/>
          </w:tcPr>
          <w:p>
            <w:pPr>
              <w:spacing w:after="0" w:line="259" w:lineRule="auto"/>
              <w:jc w:val="left"/>
            </w:pPr>
            <w:r>
              <w:rPr>
                <w:rFonts w:ascii="Aptos" w:hAnsi="Aptos"/>
                <w:b/>
                <w:i w:val="0"/>
                <w:color w:val="244B5A"/>
                <w:sz w:val="17"/>
              </w:rPr>
              <w:t>Independent challenge</w:t>
            </w:r>
          </w:p>
        </w:tc>
        <w:tc>
          <w:tcPr>
            <w:tcW w:type="dxa" w:w="1300"/>
            <w:vAlign w:val="center"/>
            <w:tcMar>
              <w:top w:w="90" w:type="dxa"/>
              <w:start w:w="120" w:type="dxa"/>
              <w:bottom w:w="90" w:type="dxa"/>
              <w:end w:w="120" w:type="dxa"/>
            </w:tcMar>
            <w:shd w:fill="FFFFFF"/>
          </w:tcPr>
          <w:p>
            <w:pPr>
              <w:spacing w:after="0" w:line="259" w:lineRule="auto"/>
              <w:jc w:val="left"/>
            </w:pPr>
            <w:r>
              <w:rPr>
                <w:rFonts w:ascii="Aptos" w:hAnsi="Aptos"/>
                <w:b w:val="0"/>
                <w:i w:val="0"/>
                <w:color w:val="172A33"/>
                <w:sz w:val="17"/>
              </w:rPr>
              <w:t>Low</w:t>
            </w:r>
          </w:p>
        </w:tc>
        <w:tc>
          <w:tcPr>
            <w:tcW w:type="dxa" w:w="3200"/>
            <w:vAlign w:val="center"/>
            <w:tcMar>
              <w:top w:w="90" w:type="dxa"/>
              <w:start w:w="120" w:type="dxa"/>
              <w:bottom w:w="90" w:type="dxa"/>
              <w:end w:w="120" w:type="dxa"/>
            </w:tcMar>
            <w:shd w:fill="FFFFFF"/>
          </w:tcPr>
          <w:p>
            <w:pPr>
              <w:spacing w:after="0" w:line="259" w:lineRule="auto"/>
              <w:jc w:val="left"/>
            </w:pPr>
            <w:r>
              <w:rPr>
                <w:rFonts w:ascii="Aptos" w:hAnsi="Aptos"/>
                <w:b w:val="0"/>
                <w:i w:val="0"/>
                <w:color w:val="172A33"/>
                <w:sz w:val="17"/>
              </w:rPr>
              <w:t>Risk warnings occurred, but no fixed third-party critic</w:t>
            </w:r>
          </w:p>
        </w:tc>
        <w:tc>
          <w:tcPr>
            <w:tcW w:type="dxa" w:w="3060"/>
            <w:vAlign w:val="center"/>
            <w:tcMar>
              <w:top w:w="90" w:type="dxa"/>
              <w:start w:w="120" w:type="dxa"/>
              <w:bottom w:w="90" w:type="dxa"/>
              <w:end w:w="120" w:type="dxa"/>
            </w:tcMar>
            <w:shd w:fill="FFFFFF"/>
          </w:tcPr>
          <w:p>
            <w:pPr>
              <w:spacing w:after="0" w:line="259" w:lineRule="auto"/>
              <w:jc w:val="left"/>
            </w:pPr>
            <w:r>
              <w:rPr>
                <w:rFonts w:ascii="Aptos" w:hAnsi="Aptos"/>
                <w:b w:val="0"/>
                <w:i w:val="0"/>
                <w:color w:val="172A33"/>
                <w:sz w:val="17"/>
              </w:rPr>
              <w:t>Familiarity may increase agreement bias</w:t>
            </w:r>
          </w:p>
        </w:tc>
      </w:tr>
      <w:tr>
        <w:tc>
          <w:tcPr>
            <w:tcW w:type="dxa" w:w="1800"/>
            <w:vAlign w:val="center"/>
            <w:tcMar>
              <w:top w:w="90" w:type="dxa"/>
              <w:start w:w="120" w:type="dxa"/>
              <w:bottom w:w="90" w:type="dxa"/>
              <w:end w:w="120" w:type="dxa"/>
            </w:tcMar>
            <w:shd w:fill="F5F7F7"/>
          </w:tcPr>
          <w:p>
            <w:pPr>
              <w:spacing w:after="0" w:line="259" w:lineRule="auto"/>
              <w:jc w:val="left"/>
            </w:pPr>
            <w:r>
              <w:rPr>
                <w:rFonts w:ascii="Aptos" w:hAnsi="Aptos"/>
                <w:b/>
                <w:i w:val="0"/>
                <w:color w:val="244B5A"/>
                <w:sz w:val="17"/>
              </w:rPr>
              <w:t>Quantum-mechanism evidence</w:t>
            </w:r>
          </w:p>
        </w:tc>
        <w:tc>
          <w:tcPr>
            <w:tcW w:type="dxa" w:w="1300"/>
            <w:vAlign w:val="center"/>
            <w:tcMar>
              <w:top w:w="90" w:type="dxa"/>
              <w:start w:w="120" w:type="dxa"/>
              <w:bottom w:w="90" w:type="dxa"/>
              <w:end w:w="120" w:type="dxa"/>
            </w:tcMar>
            <w:shd w:fill="F5F7F7"/>
          </w:tcPr>
          <w:p>
            <w:pPr>
              <w:spacing w:after="0" w:line="259" w:lineRule="auto"/>
              <w:jc w:val="left"/>
            </w:pPr>
            <w:r>
              <w:rPr>
                <w:rFonts w:ascii="Aptos" w:hAnsi="Aptos"/>
                <w:b w:val="0"/>
                <w:i w:val="0"/>
                <w:color w:val="172A33"/>
                <w:sz w:val="17"/>
              </w:rPr>
              <w:t>None</w:t>
            </w:r>
          </w:p>
        </w:tc>
        <w:tc>
          <w:tcPr>
            <w:tcW w:type="dxa" w:w="3200"/>
            <w:vAlign w:val="center"/>
            <w:tcMar>
              <w:top w:w="90" w:type="dxa"/>
              <w:start w:w="120" w:type="dxa"/>
              <w:bottom w:w="90" w:type="dxa"/>
              <w:end w:w="120" w:type="dxa"/>
            </w:tcMar>
            <w:shd w:fill="F5F7F7"/>
          </w:tcPr>
          <w:p>
            <w:pPr>
              <w:spacing w:after="0" w:line="259" w:lineRule="auto"/>
              <w:jc w:val="left"/>
            </w:pPr>
            <w:r>
              <w:rPr>
                <w:rFonts w:ascii="Aptos" w:hAnsi="Aptos"/>
                <w:b w:val="0"/>
                <w:i w:val="0"/>
                <w:color w:val="172A33"/>
                <w:sz w:val="17"/>
              </w:rPr>
              <w:t>No physical quantum experiment</w:t>
            </w:r>
          </w:p>
        </w:tc>
        <w:tc>
          <w:tcPr>
            <w:tcW w:type="dxa" w:w="3060"/>
            <w:vAlign w:val="center"/>
            <w:tcMar>
              <w:top w:w="90" w:type="dxa"/>
              <w:start w:w="120" w:type="dxa"/>
              <w:bottom w:w="90" w:type="dxa"/>
              <w:end w:w="120" w:type="dxa"/>
            </w:tcMar>
            <w:shd w:fill="F5F7F7"/>
          </w:tcPr>
          <w:p>
            <w:pPr>
              <w:spacing w:after="0" w:line="259" w:lineRule="auto"/>
              <w:jc w:val="left"/>
            </w:pPr>
            <w:r>
              <w:rPr>
                <w:rFonts w:ascii="Aptos" w:hAnsi="Aptos"/>
                <w:b w:val="0"/>
                <w:i w:val="0"/>
                <w:color w:val="172A33"/>
                <w:sz w:val="17"/>
              </w:rPr>
              <w:t>Only cognitive coupling may be discussed</w:t>
            </w:r>
          </w:p>
        </w:tc>
      </w:tr>
    </w:tbl>
    <w:p>
      <w:r>
        <w:br w:type="page"/>
      </w:r>
    </w:p>
    <w:p>
      <w:pPr>
        <w:pStyle w:val="Heading1"/>
      </w:pPr>
      <w:r>
        <w:t>4. Conclusion, Limits, and Next Sample</w:t>
      </w:r>
    </w:p>
    <w:tbl>
      <w:tblPr>
        <w:tblW w:type="auto" w:w="0"/>
        <w:jc w:val="left"/>
        <w:tblLayout w:type="fixed"/>
        <w:tblLook w:firstColumn="1" w:firstRow="1" w:lastColumn="0" w:lastRow="0" w:noHBand="0" w:noVBand="1" w:val="04A0"/>
        <w:tblW w:w="9360" w:type="dxa"/>
        <w:tblInd w:w="120" w:type="dxa"/>
      </w:tblPr>
      <w:tblGrid>
        <w:gridCol w:w="9360"/>
      </w:tblGrid>
      <w:tr>
        <w:tc>
          <w:tcPr>
            <w:tcW w:type="dxa" w:w="9360"/>
            <w:vAlign w:val="center"/>
            <w:tcMar>
              <w:top w:w="90" w:type="dxa"/>
              <w:start w:w="120" w:type="dxa"/>
              <w:bottom w:w="90" w:type="dxa"/>
              <w:end w:w="120" w:type="dxa"/>
            </w:tcMar>
            <w:shd w:fill="F7F1E5"/>
          </w:tcPr>
          <w:p>
            <w:pPr>
              <w:spacing w:after="0"/>
            </w:pPr>
            <w:r>
              <w:rPr>
                <w:rFonts w:ascii="Aptos" w:hAnsi="Aptos"/>
                <w:b/>
                <w:i w:val="0"/>
                <w:color w:val="244B5A"/>
                <w:sz w:val="21"/>
              </w:rPr>
              <w:t xml:space="preserve">Preliminary conclusion  </w:t>
            </w:r>
            <w:r>
              <w:rPr>
                <w:rFonts w:ascii="Aptos" w:hAnsi="Aptos"/>
                <w:b w:val="0"/>
                <w:i w:val="0"/>
                <w:color w:val="172A33"/>
                <w:sz w:val="21"/>
              </w:rPr>
              <w:t>Warehouse OS supports a working hypothesis: when a human continuously contributes real-environment knowledge and retains final validation authority, a familiar AI can convert dispersed experience into connected system rules, producing a practically useful joint-cognition process.</w:t>
            </w:r>
          </w:p>
        </w:tc>
      </w:tr>
    </w:tbl>
    <w:p>
      <w:pPr>
        <w:spacing w:after="0"/>
      </w:pPr>
    </w:p>
    <w:p>
      <w:r>
        <w:rPr>
          <w:rFonts w:ascii="Aptos" w:hAnsi="Aptos"/>
          <w:b w:val="0"/>
          <w:i w:val="0"/>
          <w:color w:val="172A33"/>
          <w:sz w:val="21"/>
        </w:rPr>
        <w:t>This is exploratory project-level support, not universal causal proof. Its strongest evidence is sustained real output and repeated correction; its weakest elements are the absence of pre-registration, concurrent controls, blind scoring, standardized time records, and a third-party AI.</w:t>
      </w:r>
    </w:p>
    <w:p>
      <w:pPr>
        <w:pStyle w:val="Heading2"/>
      </w:pPr>
      <w:r>
        <w:t>Claims Not Supported</w:t>
      </w:r>
    </w:p>
    <w:p>
      <w:pPr>
        <w:pStyle w:val="ListBullet"/>
        <w:spacing w:after="60"/>
        <w:ind w:left="605" w:hanging="288"/>
      </w:pPr>
      <w:r>
        <w:rPr>
          <w:rFonts w:ascii="Aptos" w:hAnsi="Aptos"/>
          <w:b w:val="0"/>
          <w:i w:val="0"/>
          <w:color w:val="172A33"/>
          <w:sz w:val="21"/>
        </w:rPr>
        <w:t>That all long-term human–AI partnerships will produce the same result.</w:t>
      </w:r>
    </w:p>
    <w:p>
      <w:pPr>
        <w:pStyle w:val="ListBullet"/>
        <w:spacing w:after="60"/>
        <w:ind w:left="605" w:hanging="288"/>
      </w:pPr>
      <w:r>
        <w:rPr>
          <w:rFonts w:ascii="Aptos" w:hAnsi="Aptos"/>
          <w:b w:val="0"/>
          <w:i w:val="0"/>
          <w:color w:val="172A33"/>
          <w:sz w:val="21"/>
        </w:rPr>
        <w:t>That a familiar AI necessarily outperforms a context-free AI.</w:t>
      </w:r>
    </w:p>
    <w:p>
      <w:pPr>
        <w:pStyle w:val="ListBullet"/>
        <w:spacing w:after="60"/>
        <w:ind w:left="605" w:hanging="288"/>
      </w:pPr>
      <w:r>
        <w:rPr>
          <w:rFonts w:ascii="Aptos" w:hAnsi="Aptos"/>
          <w:b w:val="0"/>
          <w:i w:val="0"/>
          <w:color w:val="172A33"/>
          <w:sz w:val="21"/>
        </w:rPr>
        <w:t>That more information, time, and participant motivation cannot explain the difference.</w:t>
      </w:r>
    </w:p>
    <w:p>
      <w:pPr>
        <w:pStyle w:val="ListBullet"/>
        <w:spacing w:after="60"/>
        <w:ind w:left="605" w:hanging="288"/>
      </w:pPr>
      <w:r>
        <w:rPr>
          <w:rFonts w:ascii="Aptos" w:hAnsi="Aptos"/>
          <w:b w:val="0"/>
          <w:i w:val="0"/>
          <w:color w:val="172A33"/>
          <w:sz w:val="21"/>
        </w:rPr>
        <w:t>That the human mind and AI entered physical quantum entanglement.</w:t>
      </w:r>
    </w:p>
    <w:p>
      <w:pPr>
        <w:pStyle w:val="Heading2"/>
      </w:pPr>
      <w:r>
        <w:t>Testable Hypotheses for Sample 002</w:t>
      </w:r>
    </w:p>
    <w:p>
      <w:pPr>
        <w:pStyle w:val="ListBullet"/>
        <w:spacing w:after="60"/>
        <w:ind w:left="605" w:hanging="288"/>
      </w:pPr>
      <w:r>
        <w:rPr>
          <w:rFonts w:ascii="Aptos" w:hAnsi="Aptos"/>
          <w:b w:val="0"/>
          <w:i w:val="0"/>
          <w:color w:val="172A33"/>
          <w:sz w:val="21"/>
        </w:rPr>
        <w:t>H1: Familiar AI will outperform context-free AI in constraint fit and cross-module consistency.</w:t>
      </w:r>
    </w:p>
    <w:p>
      <w:pPr>
        <w:pStyle w:val="ListBullet"/>
        <w:spacing w:after="60"/>
        <w:ind w:left="605" w:hanging="288"/>
      </w:pPr>
      <w:r>
        <w:rPr>
          <w:rFonts w:ascii="Aptos" w:hAnsi="Aptos"/>
          <w:b w:val="0"/>
          <w:i w:val="0"/>
          <w:color w:val="172A33"/>
          <w:sz w:val="21"/>
        </w:rPr>
        <w:t>H2: A fresh third-party AI will find agreement bias and blind spots in the familiar pair.</w:t>
      </w:r>
    </w:p>
    <w:p>
      <w:pPr>
        <w:pStyle w:val="ListBullet"/>
        <w:spacing w:after="60"/>
        <w:ind w:left="605" w:hanging="288"/>
      </w:pPr>
      <w:r>
        <w:rPr>
          <w:rFonts w:ascii="Aptos" w:hAnsi="Aptos"/>
          <w:b w:val="0"/>
          <w:i w:val="0"/>
          <w:color w:val="172A33"/>
          <w:sz w:val="21"/>
        </w:rPr>
        <w:t>H3: Third-party review will improve risk detection but may reduce field fit.</w:t>
      </w:r>
    </w:p>
    <w:p>
      <w:pPr>
        <w:pStyle w:val="ListBullet"/>
        <w:spacing w:after="60"/>
        <w:ind w:left="605" w:hanging="288"/>
      </w:pPr>
      <w:r>
        <w:rPr>
          <w:rFonts w:ascii="Aptos" w:hAnsi="Aptos"/>
          <w:b w:val="0"/>
          <w:i w:val="0"/>
          <w:color w:val="172A33"/>
          <w:sz w:val="21"/>
        </w:rPr>
        <w:t>H4: The strongest structure may be field expert + familiar AI for creation + third-party AI for independent review.</w:t>
      </w:r>
    </w:p>
    <w:p>
      <w:pPr>
        <w:pStyle w:val="Heading2"/>
      </w:pPr>
      <w:r>
        <w:t>Minimum Requirements for Sample 002</w:t>
      </w:r>
    </w:p>
    <w:tbl>
      <w:tblPr>
        <w:tblW w:type="auto" w:w="0"/>
        <w:jc w:val="left"/>
        <w:tblLayout w:type="fixed"/>
        <w:tblLook w:firstColumn="1" w:firstRow="1" w:lastColumn="0" w:lastRow="0" w:noHBand="0" w:noVBand="1" w:val="04A0"/>
        <w:tblW w:w="9360" w:type="dxa"/>
        <w:tblInd w:w="120" w:type="dxa"/>
      </w:tblPr>
      <w:tblGrid>
        <w:gridCol w:w="2200"/>
        <w:gridCol w:w="7160"/>
      </w:tblGrid>
      <w:tr>
        <w:tc>
          <w:tcPr>
            <w:tcW w:type="dxa" w:w="2200"/>
            <w:vAlign w:val="center"/>
            <w:tcMar>
              <w:top w:w="90" w:type="dxa"/>
              <w:start w:w="120" w:type="dxa"/>
              <w:bottom w:w="90" w:type="dxa"/>
              <w:end w:w="120" w:type="dxa"/>
            </w:tcMar>
            <w:shd w:fill="EAF2F1"/>
          </w:tcPr>
          <w:p>
            <w:pPr>
              <w:spacing w:after="0" w:line="259" w:lineRule="auto"/>
              <w:jc w:val="left"/>
            </w:pPr>
            <w:r>
              <w:rPr>
                <w:rFonts w:ascii="Aptos" w:hAnsi="Aptos"/>
                <w:b/>
                <w:i w:val="0"/>
                <w:color w:val="244B5A"/>
                <w:sz w:val="18"/>
              </w:rPr>
              <w:t>Pre-registration</w:t>
            </w:r>
          </w:p>
        </w:tc>
        <w:tc>
          <w:tcPr>
            <w:tcW w:type="dxa" w:w="7160"/>
            <w:vAlign w:val="center"/>
            <w:tcMar>
              <w:top w:w="90" w:type="dxa"/>
              <w:start w:w="120" w:type="dxa"/>
              <w:bottom w:w="90" w:type="dxa"/>
              <w:end w:w="120" w:type="dxa"/>
            </w:tcMar>
            <w:shd w:fill="FFFFFF"/>
          </w:tcPr>
          <w:p>
            <w:pPr>
              <w:spacing w:after="0" w:line="259" w:lineRule="auto"/>
              <w:jc w:val="left"/>
            </w:pPr>
            <w:r>
              <w:rPr>
                <w:rFonts w:ascii="Aptos" w:hAnsi="Aptos"/>
                <w:b w:val="0"/>
                <w:i w:val="0"/>
                <w:color w:val="172A33"/>
                <w:sz w:val="18"/>
              </w:rPr>
              <w:t>Lock the question, information, scoring, and validation before seeing answers.</w:t>
            </w:r>
          </w:p>
        </w:tc>
      </w:tr>
      <w:tr>
        <w:tc>
          <w:tcPr>
            <w:tcW w:type="dxa" w:w="2200"/>
            <w:vAlign w:val="center"/>
            <w:tcMar>
              <w:top w:w="90" w:type="dxa"/>
              <w:start w:w="120" w:type="dxa"/>
              <w:bottom w:w="90" w:type="dxa"/>
              <w:end w:w="120" w:type="dxa"/>
            </w:tcMar>
            <w:shd w:fill="EAF2F1"/>
          </w:tcPr>
          <w:p>
            <w:pPr>
              <w:spacing w:after="0" w:line="259" w:lineRule="auto"/>
              <w:jc w:val="left"/>
            </w:pPr>
            <w:r>
              <w:rPr>
                <w:rFonts w:ascii="Aptos" w:hAnsi="Aptos"/>
                <w:b/>
                <w:i w:val="0"/>
                <w:color w:val="244B5A"/>
                <w:sz w:val="18"/>
              </w:rPr>
              <w:t>Low-risk real task</w:t>
            </w:r>
          </w:p>
        </w:tc>
        <w:tc>
          <w:tcPr>
            <w:tcW w:type="dxa" w:w="7160"/>
            <w:vAlign w:val="center"/>
            <w:tcMar>
              <w:top w:w="90" w:type="dxa"/>
              <w:start w:w="120" w:type="dxa"/>
              <w:bottom w:w="90" w:type="dxa"/>
              <w:end w:w="120" w:type="dxa"/>
            </w:tcMar>
            <w:shd w:fill="F5F7F7"/>
          </w:tcPr>
          <w:p>
            <w:pPr>
              <w:spacing w:after="0" w:line="259" w:lineRule="auto"/>
              <w:jc w:val="left"/>
            </w:pPr>
            <w:r>
              <w:rPr>
                <w:rFonts w:ascii="Aptos" w:hAnsi="Aptos"/>
                <w:b w:val="0"/>
                <w:i w:val="0"/>
                <w:color w:val="172A33"/>
                <w:sz w:val="18"/>
              </w:rPr>
              <w:t>Use an unresolved question with an observable outcome.</w:t>
            </w:r>
          </w:p>
        </w:tc>
      </w:tr>
      <w:tr>
        <w:tc>
          <w:tcPr>
            <w:tcW w:type="dxa" w:w="2200"/>
            <w:vAlign w:val="center"/>
            <w:tcMar>
              <w:top w:w="90" w:type="dxa"/>
              <w:start w:w="120" w:type="dxa"/>
              <w:bottom w:w="90" w:type="dxa"/>
              <w:end w:w="120" w:type="dxa"/>
            </w:tcMar>
            <w:shd w:fill="EAF2F1"/>
          </w:tcPr>
          <w:p>
            <w:pPr>
              <w:spacing w:after="0" w:line="259" w:lineRule="auto"/>
              <w:jc w:val="left"/>
            </w:pPr>
            <w:r>
              <w:rPr>
                <w:rFonts w:ascii="Aptos" w:hAnsi="Aptos"/>
                <w:b/>
                <w:i w:val="0"/>
                <w:color w:val="244B5A"/>
                <w:sz w:val="18"/>
              </w:rPr>
              <w:t>Three-party design</w:t>
            </w:r>
          </w:p>
        </w:tc>
        <w:tc>
          <w:tcPr>
            <w:tcW w:type="dxa" w:w="7160"/>
            <w:vAlign w:val="center"/>
            <w:tcMar>
              <w:top w:w="90" w:type="dxa"/>
              <w:start w:w="120" w:type="dxa"/>
              <w:bottom w:w="90" w:type="dxa"/>
              <w:end w:w="120" w:type="dxa"/>
            </w:tcMar>
            <w:shd w:fill="FFFFFF"/>
          </w:tcPr>
          <w:p>
            <w:pPr>
              <w:spacing w:after="0" w:line="259" w:lineRule="auto"/>
              <w:jc w:val="left"/>
            </w:pPr>
            <w:r>
              <w:rPr>
                <w:rFonts w:ascii="Aptos" w:hAnsi="Aptos"/>
                <w:b w:val="0"/>
                <w:i w:val="0"/>
                <w:color w:val="172A33"/>
                <w:sz w:val="18"/>
              </w:rPr>
              <w:t>Human alone; familiar AI collaboration; third-party AI answer and critique.</w:t>
            </w:r>
          </w:p>
        </w:tc>
      </w:tr>
      <w:tr>
        <w:tc>
          <w:tcPr>
            <w:tcW w:type="dxa" w:w="2200"/>
            <w:vAlign w:val="center"/>
            <w:tcMar>
              <w:top w:w="90" w:type="dxa"/>
              <w:start w:w="120" w:type="dxa"/>
              <w:bottom w:w="90" w:type="dxa"/>
              <w:end w:w="120" w:type="dxa"/>
            </w:tcMar>
            <w:shd w:fill="EAF2F1"/>
          </w:tcPr>
          <w:p>
            <w:pPr>
              <w:spacing w:after="0" w:line="259" w:lineRule="auto"/>
              <w:jc w:val="left"/>
            </w:pPr>
            <w:r>
              <w:rPr>
                <w:rFonts w:ascii="Aptos" w:hAnsi="Aptos"/>
                <w:b/>
                <w:i w:val="0"/>
                <w:color w:val="244B5A"/>
                <w:sz w:val="18"/>
              </w:rPr>
              <w:t>Information separation</w:t>
            </w:r>
          </w:p>
        </w:tc>
        <w:tc>
          <w:tcPr>
            <w:tcW w:type="dxa" w:w="7160"/>
            <w:vAlign w:val="center"/>
            <w:tcMar>
              <w:top w:w="90" w:type="dxa"/>
              <w:start w:w="120" w:type="dxa"/>
              <w:bottom w:w="90" w:type="dxa"/>
              <w:end w:w="120" w:type="dxa"/>
            </w:tcMar>
            <w:shd w:fill="F5F7F7"/>
          </w:tcPr>
          <w:p>
            <w:pPr>
              <w:spacing w:after="0" w:line="259" w:lineRule="auto"/>
              <w:jc w:val="left"/>
            </w:pPr>
            <w:r>
              <w:rPr>
                <w:rFonts w:ascii="Aptos" w:hAnsi="Aptos"/>
                <w:b w:val="0"/>
                <w:i w:val="0"/>
                <w:color w:val="172A33"/>
                <w:sz w:val="18"/>
              </w:rPr>
              <w:t>The third-party AI first sees neither long-term context nor the pair's discussion.</w:t>
            </w:r>
          </w:p>
        </w:tc>
      </w:tr>
      <w:tr>
        <w:tc>
          <w:tcPr>
            <w:tcW w:type="dxa" w:w="2200"/>
            <w:vAlign w:val="center"/>
            <w:tcMar>
              <w:top w:w="90" w:type="dxa"/>
              <w:start w:w="120" w:type="dxa"/>
              <w:bottom w:w="90" w:type="dxa"/>
              <w:end w:w="120" w:type="dxa"/>
            </w:tcMar>
            <w:shd w:fill="EAF2F1"/>
          </w:tcPr>
          <w:p>
            <w:pPr>
              <w:spacing w:after="0" w:line="259" w:lineRule="auto"/>
              <w:jc w:val="left"/>
            </w:pPr>
            <w:r>
              <w:rPr>
                <w:rFonts w:ascii="Aptos" w:hAnsi="Aptos"/>
                <w:b/>
                <w:i w:val="0"/>
                <w:color w:val="244B5A"/>
                <w:sz w:val="18"/>
              </w:rPr>
              <w:t>Blind scoring</w:t>
            </w:r>
          </w:p>
        </w:tc>
        <w:tc>
          <w:tcPr>
            <w:tcW w:type="dxa" w:w="7160"/>
            <w:vAlign w:val="center"/>
            <w:tcMar>
              <w:top w:w="90" w:type="dxa"/>
              <w:start w:w="120" w:type="dxa"/>
              <w:bottom w:w="90" w:type="dxa"/>
              <w:end w:w="120" w:type="dxa"/>
            </w:tcMar>
            <w:shd w:fill="FFFFFF"/>
          </w:tcPr>
          <w:p>
            <w:pPr>
              <w:spacing w:after="0" w:line="259" w:lineRule="auto"/>
              <w:jc w:val="left"/>
            </w:pPr>
            <w:r>
              <w:rPr>
                <w:rFonts w:ascii="Aptos" w:hAnsi="Aptos"/>
                <w:b w:val="0"/>
                <w:i w:val="0"/>
                <w:color w:val="172A33"/>
                <w:sz w:val="18"/>
              </w:rPr>
              <w:t>Hide sources and randomize order where practical.</w:t>
            </w:r>
          </w:p>
        </w:tc>
      </w:tr>
      <w:tr>
        <w:tc>
          <w:tcPr>
            <w:tcW w:type="dxa" w:w="2200"/>
            <w:vAlign w:val="center"/>
            <w:tcMar>
              <w:top w:w="90" w:type="dxa"/>
              <w:start w:w="120" w:type="dxa"/>
              <w:bottom w:w="90" w:type="dxa"/>
              <w:end w:w="120" w:type="dxa"/>
            </w:tcMar>
            <w:shd w:fill="EAF2F1"/>
          </w:tcPr>
          <w:p>
            <w:pPr>
              <w:spacing w:after="0" w:line="259" w:lineRule="auto"/>
              <w:jc w:val="left"/>
            </w:pPr>
            <w:r>
              <w:rPr>
                <w:rFonts w:ascii="Aptos" w:hAnsi="Aptos"/>
                <w:b/>
                <w:i w:val="0"/>
                <w:color w:val="244B5A"/>
                <w:sz w:val="18"/>
              </w:rPr>
              <w:t>Process logging</w:t>
            </w:r>
          </w:p>
        </w:tc>
        <w:tc>
          <w:tcPr>
            <w:tcW w:type="dxa" w:w="7160"/>
            <w:vAlign w:val="center"/>
            <w:tcMar>
              <w:top w:w="90" w:type="dxa"/>
              <w:start w:w="120" w:type="dxa"/>
              <w:bottom w:w="90" w:type="dxa"/>
              <w:end w:w="120" w:type="dxa"/>
            </w:tcMar>
            <w:shd w:fill="F5F7F7"/>
          </w:tcPr>
          <w:p>
            <w:pPr>
              <w:spacing w:after="0" w:line="259" w:lineRule="auto"/>
              <w:jc w:val="left"/>
            </w:pPr>
            <w:r>
              <w:rPr>
                <w:rFonts w:ascii="Aptos" w:hAnsi="Aptos"/>
                <w:b w:val="0"/>
                <w:i w:val="0"/>
                <w:color w:val="172A33"/>
                <w:sz w:val="18"/>
              </w:rPr>
              <w:t>Record time, rounds, changes, and adopted components.</w:t>
            </w:r>
          </w:p>
        </w:tc>
      </w:tr>
      <w:tr>
        <w:tc>
          <w:tcPr>
            <w:tcW w:type="dxa" w:w="2200"/>
            <w:vAlign w:val="center"/>
            <w:tcMar>
              <w:top w:w="90" w:type="dxa"/>
              <w:start w:w="120" w:type="dxa"/>
              <w:bottom w:w="90" w:type="dxa"/>
              <w:end w:w="120" w:type="dxa"/>
            </w:tcMar>
            <w:shd w:fill="EAF2F1"/>
          </w:tcPr>
          <w:p>
            <w:pPr>
              <w:spacing w:after="0" w:line="259" w:lineRule="auto"/>
              <w:jc w:val="left"/>
            </w:pPr>
            <w:r>
              <w:rPr>
                <w:rFonts w:ascii="Aptos" w:hAnsi="Aptos"/>
                <w:b/>
                <w:i w:val="0"/>
                <w:color w:val="244B5A"/>
                <w:sz w:val="18"/>
              </w:rPr>
              <w:t>Honest retention</w:t>
            </w:r>
          </w:p>
        </w:tc>
        <w:tc>
          <w:tcPr>
            <w:tcW w:type="dxa" w:w="7160"/>
            <w:vAlign w:val="center"/>
            <w:tcMar>
              <w:top w:w="90" w:type="dxa"/>
              <w:start w:w="120" w:type="dxa"/>
              <w:bottom w:w="90" w:type="dxa"/>
              <w:end w:w="120" w:type="dxa"/>
            </w:tcMar>
            <w:shd w:fill="FFFFFF"/>
          </w:tcPr>
          <w:p>
            <w:pPr>
              <w:spacing w:after="0" w:line="259" w:lineRule="auto"/>
              <w:jc w:val="left"/>
            </w:pPr>
            <w:r>
              <w:rPr>
                <w:rFonts w:ascii="Aptos" w:hAnsi="Aptos"/>
                <w:b w:val="0"/>
                <w:i w:val="0"/>
                <w:color w:val="172A33"/>
                <w:sz w:val="18"/>
              </w:rPr>
              <w:t>Keep null, negative, and shared-error results.</w:t>
            </w:r>
          </w:p>
        </w:tc>
      </w:tr>
    </w:tbl>
    <w:p>
      <w:r>
        <w:br w:type="page"/>
      </w:r>
    </w:p>
    <w:p>
      <w:pPr>
        <w:pStyle w:val="Heading1"/>
      </w:pPr>
      <w:r>
        <w:t>5. Sample Registration</w:t>
      </w:r>
    </w:p>
    <w:tbl>
      <w:tblPr>
        <w:tblW w:type="auto" w:w="0"/>
        <w:jc w:val="left"/>
        <w:tblLayout w:type="fixed"/>
        <w:tblLook w:firstColumn="1" w:firstRow="1" w:lastColumn="0" w:lastRow="0" w:noHBand="0" w:noVBand="1" w:val="04A0"/>
        <w:tblW w:w="9360" w:type="dxa"/>
        <w:tblInd w:w="120" w:type="dxa"/>
      </w:tblPr>
      <w:tblGrid>
        <w:gridCol w:w="2200"/>
        <w:gridCol w:w="7160"/>
      </w:tblGrid>
      <w:tr>
        <w:tc>
          <w:tcPr>
            <w:tcW w:type="dxa" w:w="2200"/>
            <w:vAlign w:val="center"/>
            <w:tcMar>
              <w:top w:w="90" w:type="dxa"/>
              <w:start w:w="120" w:type="dxa"/>
              <w:bottom w:w="90" w:type="dxa"/>
              <w:end w:w="120" w:type="dxa"/>
            </w:tcMar>
            <w:shd w:fill="EAF2F1"/>
          </w:tcPr>
          <w:p>
            <w:pPr>
              <w:spacing w:after="0" w:line="259" w:lineRule="auto"/>
              <w:jc w:val="left"/>
            </w:pPr>
            <w:r>
              <w:rPr>
                <w:rFonts w:ascii="Aptos" w:hAnsi="Aptos"/>
                <w:b/>
                <w:i w:val="0"/>
                <w:color w:val="244B5A"/>
                <w:sz w:val="18"/>
              </w:rPr>
              <w:t>Formal ID</w:t>
            </w:r>
          </w:p>
        </w:tc>
        <w:tc>
          <w:tcPr>
            <w:tcW w:type="dxa" w:w="7160"/>
            <w:vAlign w:val="center"/>
            <w:tcMar>
              <w:top w:w="90" w:type="dxa"/>
              <w:start w:w="120" w:type="dxa"/>
              <w:bottom w:w="90" w:type="dxa"/>
              <w:end w:w="120" w:type="dxa"/>
            </w:tcMar>
            <w:shd w:fill="FFFFFF"/>
          </w:tcPr>
          <w:p>
            <w:pPr>
              <w:spacing w:after="0" w:line="259" w:lineRule="auto"/>
              <w:jc w:val="left"/>
            </w:pPr>
            <w:r>
              <w:rPr>
                <w:rFonts w:ascii="Aptos" w:hAnsi="Aptos"/>
                <w:b w:val="0"/>
                <w:i w:val="0"/>
                <w:color w:val="172A33"/>
                <w:sz w:val="18"/>
              </w:rPr>
              <w:t>RUNLU LAB Sample 001</w:t>
            </w:r>
          </w:p>
        </w:tc>
      </w:tr>
      <w:tr>
        <w:tc>
          <w:tcPr>
            <w:tcW w:type="dxa" w:w="2200"/>
            <w:vAlign w:val="center"/>
            <w:tcMar>
              <w:top w:w="90" w:type="dxa"/>
              <w:start w:w="120" w:type="dxa"/>
              <w:bottom w:w="90" w:type="dxa"/>
              <w:end w:w="120" w:type="dxa"/>
            </w:tcMar>
            <w:shd w:fill="EAF2F1"/>
          </w:tcPr>
          <w:p>
            <w:pPr>
              <w:spacing w:after="0" w:line="259" w:lineRule="auto"/>
              <w:jc w:val="left"/>
            </w:pPr>
            <w:r>
              <w:rPr>
                <w:rFonts w:ascii="Aptos" w:hAnsi="Aptos"/>
                <w:b/>
                <w:i w:val="0"/>
                <w:color w:val="244B5A"/>
                <w:sz w:val="18"/>
              </w:rPr>
              <w:t>Name</w:t>
            </w:r>
          </w:p>
        </w:tc>
        <w:tc>
          <w:tcPr>
            <w:tcW w:type="dxa" w:w="7160"/>
            <w:vAlign w:val="center"/>
            <w:tcMar>
              <w:top w:w="90" w:type="dxa"/>
              <w:start w:w="120" w:type="dxa"/>
              <w:bottom w:w="90" w:type="dxa"/>
              <w:end w:w="120" w:type="dxa"/>
            </w:tcMar>
            <w:shd w:fill="F5F7F7"/>
          </w:tcPr>
          <w:p>
            <w:pPr>
              <w:spacing w:after="0" w:line="259" w:lineRule="auto"/>
              <w:jc w:val="left"/>
            </w:pPr>
            <w:r>
              <w:rPr>
                <w:rFonts w:ascii="Aptos" w:hAnsi="Aptos"/>
                <w:b w:val="0"/>
                <w:i w:val="0"/>
                <w:color w:val="172A33"/>
                <w:sz w:val="18"/>
              </w:rPr>
              <w:t>Warehouse OS retrospective case of long-term human–AI collaboration</w:t>
            </w:r>
          </w:p>
        </w:tc>
      </w:tr>
      <w:tr>
        <w:tc>
          <w:tcPr>
            <w:tcW w:type="dxa" w:w="2200"/>
            <w:vAlign w:val="center"/>
            <w:tcMar>
              <w:top w:w="90" w:type="dxa"/>
              <w:start w:w="120" w:type="dxa"/>
              <w:bottom w:w="90" w:type="dxa"/>
              <w:end w:w="120" w:type="dxa"/>
            </w:tcMar>
            <w:shd w:fill="EAF2F1"/>
          </w:tcPr>
          <w:p>
            <w:pPr>
              <w:spacing w:after="0" w:line="259" w:lineRule="auto"/>
              <w:jc w:val="left"/>
            </w:pPr>
            <w:r>
              <w:rPr>
                <w:rFonts w:ascii="Aptos" w:hAnsi="Aptos"/>
                <w:b/>
                <w:i w:val="0"/>
                <w:color w:val="244B5A"/>
                <w:sz w:val="18"/>
              </w:rPr>
              <w:t>Inclusion decision</w:t>
            </w:r>
          </w:p>
        </w:tc>
        <w:tc>
          <w:tcPr>
            <w:tcW w:type="dxa" w:w="7160"/>
            <w:vAlign w:val="center"/>
            <w:tcMar>
              <w:top w:w="90" w:type="dxa"/>
              <w:start w:w="120" w:type="dxa"/>
              <w:bottom w:w="90" w:type="dxa"/>
              <w:end w:w="120" w:type="dxa"/>
            </w:tcMar>
            <w:shd w:fill="FFFFFF"/>
          </w:tcPr>
          <w:p>
            <w:pPr>
              <w:spacing w:after="0" w:line="259" w:lineRule="auto"/>
              <w:jc w:val="left"/>
            </w:pPr>
            <w:r>
              <w:rPr>
                <w:rFonts w:ascii="Aptos" w:hAnsi="Aptos"/>
                <w:b w:val="0"/>
                <w:i w:val="0"/>
                <w:color w:val="172A33"/>
                <w:sz w:val="18"/>
              </w:rPr>
              <w:t>Included in Study 001 as the first experimental sample</w:t>
            </w:r>
          </w:p>
        </w:tc>
      </w:tr>
      <w:tr>
        <w:tc>
          <w:tcPr>
            <w:tcW w:type="dxa" w:w="2200"/>
            <w:vAlign w:val="center"/>
            <w:tcMar>
              <w:top w:w="90" w:type="dxa"/>
              <w:start w:w="120" w:type="dxa"/>
              <w:bottom w:w="90" w:type="dxa"/>
              <w:end w:w="120" w:type="dxa"/>
            </w:tcMar>
            <w:shd w:fill="EAF2F1"/>
          </w:tcPr>
          <w:p>
            <w:pPr>
              <w:spacing w:after="0" w:line="259" w:lineRule="auto"/>
              <w:jc w:val="left"/>
            </w:pPr>
            <w:r>
              <w:rPr>
                <w:rFonts w:ascii="Aptos" w:hAnsi="Aptos"/>
                <w:b/>
                <w:i w:val="0"/>
                <w:color w:val="244B5A"/>
                <w:sz w:val="18"/>
              </w:rPr>
              <w:t>Nature</w:t>
            </w:r>
          </w:p>
        </w:tc>
        <w:tc>
          <w:tcPr>
            <w:tcW w:type="dxa" w:w="7160"/>
            <w:vAlign w:val="center"/>
            <w:tcMar>
              <w:top w:w="90" w:type="dxa"/>
              <w:start w:w="120" w:type="dxa"/>
              <w:bottom w:w="90" w:type="dxa"/>
              <w:end w:w="120" w:type="dxa"/>
            </w:tcMar>
            <w:shd w:fill="F5F7F7"/>
          </w:tcPr>
          <w:p>
            <w:pPr>
              <w:spacing w:after="0" w:line="259" w:lineRule="auto"/>
              <w:jc w:val="left"/>
            </w:pPr>
            <w:r>
              <w:rPr>
                <w:rFonts w:ascii="Aptos" w:hAnsi="Aptos"/>
                <w:b w:val="0"/>
                <w:i w:val="0"/>
                <w:color w:val="172A33"/>
                <w:sz w:val="18"/>
              </w:rPr>
              <w:t>Retrospective, exploratory, real project</w:t>
            </w:r>
          </w:p>
        </w:tc>
      </w:tr>
      <w:tr>
        <w:tc>
          <w:tcPr>
            <w:tcW w:type="dxa" w:w="2200"/>
            <w:vAlign w:val="center"/>
            <w:tcMar>
              <w:top w:w="90" w:type="dxa"/>
              <w:start w:w="120" w:type="dxa"/>
              <w:bottom w:w="90" w:type="dxa"/>
              <w:end w:w="120" w:type="dxa"/>
            </w:tcMar>
            <w:shd w:fill="EAF2F1"/>
          </w:tcPr>
          <w:p>
            <w:pPr>
              <w:spacing w:after="0" w:line="259" w:lineRule="auto"/>
              <w:jc w:val="left"/>
            </w:pPr>
            <w:r>
              <w:rPr>
                <w:rFonts w:ascii="Aptos" w:hAnsi="Aptos"/>
                <w:b/>
                <w:i w:val="0"/>
                <w:color w:val="244B5A"/>
                <w:sz w:val="18"/>
              </w:rPr>
              <w:t>Primary evidence</w:t>
            </w:r>
          </w:p>
        </w:tc>
        <w:tc>
          <w:tcPr>
            <w:tcW w:type="dxa" w:w="7160"/>
            <w:vAlign w:val="center"/>
            <w:tcMar>
              <w:top w:w="90" w:type="dxa"/>
              <w:start w:w="120" w:type="dxa"/>
              <w:bottom w:w="90" w:type="dxa"/>
              <w:end w:w="120" w:type="dxa"/>
            </w:tcMar>
            <w:shd w:fill="FFFFFF"/>
          </w:tcPr>
          <w:p>
            <w:pPr>
              <w:spacing w:after="0" w:line="259" w:lineRule="auto"/>
              <w:jc w:val="left"/>
            </w:pPr>
            <w:r>
              <w:rPr>
                <w:rFonts w:ascii="Aptos" w:hAnsi="Aptos"/>
                <w:b w:val="0"/>
                <w:i w:val="0"/>
                <w:color w:val="172A33"/>
                <w:sz w:val="18"/>
              </w:rPr>
              <w:t>Business rules, functional iteration, defect reports, field tests, and correction cycles</w:t>
            </w:r>
          </w:p>
        </w:tc>
      </w:tr>
      <w:tr>
        <w:tc>
          <w:tcPr>
            <w:tcW w:type="dxa" w:w="2200"/>
            <w:vAlign w:val="center"/>
            <w:tcMar>
              <w:top w:w="90" w:type="dxa"/>
              <w:start w:w="120" w:type="dxa"/>
              <w:bottom w:w="90" w:type="dxa"/>
              <w:end w:w="120" w:type="dxa"/>
            </w:tcMar>
            <w:shd w:fill="EAF2F1"/>
          </w:tcPr>
          <w:p>
            <w:pPr>
              <w:spacing w:after="0" w:line="259" w:lineRule="auto"/>
              <w:jc w:val="left"/>
            </w:pPr>
            <w:r>
              <w:rPr>
                <w:rFonts w:ascii="Aptos" w:hAnsi="Aptos"/>
                <w:b/>
                <w:i w:val="0"/>
                <w:color w:val="244B5A"/>
                <w:sz w:val="18"/>
              </w:rPr>
              <w:t>Main limitations</w:t>
            </w:r>
          </w:p>
        </w:tc>
        <w:tc>
          <w:tcPr>
            <w:tcW w:type="dxa" w:w="7160"/>
            <w:vAlign w:val="center"/>
            <w:tcMar>
              <w:top w:w="90" w:type="dxa"/>
              <w:start w:w="120" w:type="dxa"/>
              <w:bottom w:w="90" w:type="dxa"/>
              <w:end w:w="120" w:type="dxa"/>
            </w:tcMar>
            <w:shd w:fill="F5F7F7"/>
          </w:tcPr>
          <w:p>
            <w:pPr>
              <w:spacing w:after="0" w:line="259" w:lineRule="auto"/>
              <w:jc w:val="left"/>
            </w:pPr>
            <w:r>
              <w:rPr>
                <w:rFonts w:ascii="Aptos" w:hAnsi="Aptos"/>
                <w:b w:val="0"/>
                <w:i w:val="0"/>
                <w:color w:val="172A33"/>
                <w:sz w:val="18"/>
              </w:rPr>
              <w:t>No pre-registration, concurrent control, blind scoring, or multiple participants</w:t>
            </w:r>
          </w:p>
        </w:tc>
      </w:tr>
      <w:tr>
        <w:tc>
          <w:tcPr>
            <w:tcW w:type="dxa" w:w="2200"/>
            <w:vAlign w:val="center"/>
            <w:tcMar>
              <w:top w:w="90" w:type="dxa"/>
              <w:start w:w="120" w:type="dxa"/>
              <w:bottom w:w="90" w:type="dxa"/>
              <w:end w:w="120" w:type="dxa"/>
            </w:tcMar>
            <w:shd w:fill="EAF2F1"/>
          </w:tcPr>
          <w:p>
            <w:pPr>
              <w:spacing w:after="0" w:line="259" w:lineRule="auto"/>
              <w:jc w:val="left"/>
            </w:pPr>
            <w:r>
              <w:rPr>
                <w:rFonts w:ascii="Aptos" w:hAnsi="Aptos"/>
                <w:b/>
                <w:i w:val="0"/>
                <w:color w:val="244B5A"/>
                <w:sz w:val="18"/>
              </w:rPr>
              <w:t>Current use</w:t>
            </w:r>
          </w:p>
        </w:tc>
        <w:tc>
          <w:tcPr>
            <w:tcW w:type="dxa" w:w="7160"/>
            <w:vAlign w:val="center"/>
            <w:tcMar>
              <w:top w:w="90" w:type="dxa"/>
              <w:start w:w="120" w:type="dxa"/>
              <w:bottom w:w="90" w:type="dxa"/>
              <w:end w:w="120" w:type="dxa"/>
            </w:tcMar>
            <w:shd w:fill="FFFFFF"/>
          </w:tcPr>
          <w:p>
            <w:pPr>
              <w:spacing w:after="0" w:line="259" w:lineRule="auto"/>
              <w:jc w:val="left"/>
            </w:pPr>
            <w:r>
              <w:rPr>
                <w:rFonts w:ascii="Aptos" w:hAnsi="Aptos"/>
                <w:b w:val="0"/>
                <w:i w:val="0"/>
                <w:color w:val="172A33"/>
                <w:sz w:val="18"/>
              </w:rPr>
              <w:t>Generate Sample 002 hypotheses, measures, and third-party AI review design</w:t>
            </w:r>
          </w:p>
        </w:tc>
      </w:tr>
      <w:tr>
        <w:tc>
          <w:tcPr>
            <w:tcW w:type="dxa" w:w="2200"/>
            <w:vAlign w:val="center"/>
            <w:tcMar>
              <w:top w:w="90" w:type="dxa"/>
              <w:start w:w="120" w:type="dxa"/>
              <w:bottom w:w="90" w:type="dxa"/>
              <w:end w:w="120" w:type="dxa"/>
            </w:tcMar>
            <w:shd w:fill="EAF2F1"/>
          </w:tcPr>
          <w:p>
            <w:pPr>
              <w:spacing w:after="0" w:line="259" w:lineRule="auto"/>
              <w:jc w:val="left"/>
            </w:pPr>
            <w:r>
              <w:rPr>
                <w:rFonts w:ascii="Aptos" w:hAnsi="Aptos"/>
                <w:b/>
                <w:i w:val="0"/>
                <w:color w:val="244B5A"/>
                <w:sz w:val="18"/>
              </w:rPr>
              <w:t>Next status</w:t>
            </w:r>
          </w:p>
        </w:tc>
        <w:tc>
          <w:tcPr>
            <w:tcW w:type="dxa" w:w="7160"/>
            <w:vAlign w:val="center"/>
            <w:tcMar>
              <w:top w:w="90" w:type="dxa"/>
              <w:start w:w="120" w:type="dxa"/>
              <w:bottom w:w="90" w:type="dxa"/>
              <w:end w:w="120" w:type="dxa"/>
            </w:tcMar>
            <w:shd w:fill="F5F7F7"/>
          </w:tcPr>
          <w:p>
            <w:pPr>
              <w:spacing w:after="0" w:line="259" w:lineRule="auto"/>
              <w:jc w:val="left"/>
            </w:pPr>
            <w:r>
              <w:rPr>
                <w:rFonts w:ascii="Aptos" w:hAnsi="Aptos"/>
                <w:b w:val="0"/>
                <w:i w:val="0"/>
                <w:color w:val="172A33"/>
                <w:sz w:val="18"/>
              </w:rPr>
              <w:t>Sample 002 awaiting registration</w:t>
            </w:r>
          </w:p>
        </w:tc>
      </w:tr>
    </w:tbl>
    <w:p>
      <w:pPr>
        <w:pStyle w:val="Heading2"/>
      </w:pPr>
      <w:r>
        <w:t>Research Note</w:t>
      </w:r>
    </w:p>
    <w:p>
      <w:r>
        <w:rPr>
          <w:rFonts w:ascii="Aptos" w:hAnsi="Aptos"/>
          <w:b w:val="0"/>
          <w:i w:val="0"/>
          <w:color w:val="172A33"/>
          <w:sz w:val="21"/>
        </w:rPr>
        <w:t>The value of Sample 001 is not to repackage previous success as proof. It is to record honestly how long-term human–AI work produced knowledge, made mistakes, and used the real world to correct them.</w:t>
      </w:r>
    </w:p>
    <w:sectPr w:rsidR="00FC693F" w:rsidRPr="0006063C" w:rsidSect="00034616">
      <w:headerReference w:type="default" r:id="rId9"/>
      <w:footerReference w:type="default" r:id="rId10"/>
      <w:pgSz w:w="12240" w:h="15840"/>
      <w:pgMar w:top="1181" w:right="1224" w:bottom="1080" w:left="1224" w:header="547" w:footer="576"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b w:val="0"/>
        <w:i/>
        <w:color w:val="65747A"/>
        <w:sz w:val="16"/>
      </w:rPr>
      <w:t>Honest inquiry · Reproducible evidence · No exaggerated claims</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Aptos" w:hAnsi="Aptos"/>
        <w:b/>
        <w:i w:val="0"/>
        <w:color w:val="477E7A"/>
        <w:sz w:val="17"/>
      </w:rPr>
      <w:t>RUNLU LAB  ·  SAMPLE 001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8" w:lineRule="auto"/>
    </w:pPr>
    <w:rPr>
      <w:rFonts w:ascii="Aptos" w:hAnsi="Aptos"/>
      <w:color w:val="172A33"/>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40"/>
      <w:outlineLvl w:val="0"/>
    </w:pPr>
    <w:rPr>
      <w:rFonts w:asciiTheme="majorHAnsi" w:eastAsiaTheme="majorEastAsia" w:hAnsiTheme="majorHAnsi" w:cstheme="majorBidi" w:ascii="Aptos" w:hAnsi="Aptos"/>
      <w:b/>
      <w:bCs/>
      <w:color w:val="244B5A"/>
      <w:sz w:val="32"/>
      <w:szCs w:val="28"/>
    </w:rPr>
  </w:style>
  <w:style w:type="paragraph" w:styleId="Heading2">
    <w:name w:val="heading 2"/>
    <w:basedOn w:val="Normal"/>
    <w:next w:val="Normal"/>
    <w:link w:val="Heading2Char"/>
    <w:uiPriority w:val="9"/>
    <w:unhideWhenUsed/>
    <w:qFormat/>
    <w:rsid w:val="00FC693F"/>
    <w:pPr>
      <w:keepNext/>
      <w:keepLines/>
      <w:spacing w:before="220" w:after="100"/>
      <w:outlineLvl w:val="1"/>
    </w:pPr>
    <w:rPr>
      <w:rFonts w:asciiTheme="majorHAnsi" w:eastAsiaTheme="majorEastAsia" w:hAnsiTheme="majorHAnsi" w:cstheme="majorBidi" w:ascii="Aptos" w:hAnsi="Aptos"/>
      <w:b/>
      <w:bCs/>
      <w:color w:val="477E7A"/>
      <w:sz w:val="25"/>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Aptos" w:hAnsi="Aptos"/>
      <w:b/>
      <w:bCs/>
      <w:color w:val="244B5A"/>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20" w:line="240" w:lineRule="auto" w:before="0"/>
      <w:contextualSpacing/>
    </w:pPr>
    <w:rPr>
      <w:rFonts w:asciiTheme="majorHAnsi" w:eastAsiaTheme="majorEastAsia" w:hAnsiTheme="majorHAnsi" w:cstheme="majorBidi" w:ascii="Aptos" w:hAnsi="Aptos"/>
      <w:b/>
      <w:color w:val="244B5A"/>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280"/>
    </w:pPr>
    <w:rPr>
      <w:rFonts w:asciiTheme="majorHAnsi" w:eastAsiaTheme="majorEastAsia" w:hAnsiTheme="majorHAnsi" w:cstheme="majorBidi" w:ascii="Aptos" w:hAnsi="Aptos"/>
      <w:b w:val="0"/>
      <w:i/>
      <w:iCs/>
      <w:color w:val="65747A"/>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RUNLU LAB Sample 001 — Warehouse OS — English</dc:title>
  <dc:subject/>
  <dc:creator>RUNLU LAB</dc:creator>
  <cp:keywords/>
  <dc:description>generated by python-docx</dc:description>
  <cp:lastModifiedBy/>
  <cp:revision>1</cp:revision>
  <dcterms:created xsi:type="dcterms:W3CDTF">2013-12-23T23:15:00Z</dcterms:created>
  <dcterms:modified xsi:type="dcterms:W3CDTF">2013-12-23T23:15:00Z</dcterms:modified>
  <cp:category/>
</cp:coreProperties>
</file>