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</w:pPr>
      <w:r>
        <w:rPr>
          <w:rFonts w:ascii="Aptos" w:hAnsi="Aptos"/>
          <w:b/>
          <w:i w:val="0"/>
          <w:color w:val="477E7A"/>
          <w:sz w:val="22"/>
        </w:rPr>
        <w:t>RUNLU LAB</w:t>
      </w:r>
    </w:p>
    <w:p>
      <w:pPr>
        <w:pStyle w:val="Title"/>
      </w:pPr>
      <w:r>
        <w:rPr>
          <w:rFonts w:ascii="Aptos" w:hAnsi="Aptos"/>
          <w:b/>
          <w:i w:val="0"/>
          <w:color w:val="244B5A"/>
          <w:sz w:val="50"/>
        </w:rPr>
        <w:t>Study 001 Research Charter</w:t>
      </w:r>
    </w:p>
    <w:p>
      <w:pPr>
        <w:pStyle w:val="Subtitle"/>
      </w:pPr>
      <w:r>
        <w:rPr>
          <w:rFonts w:ascii="Aptos" w:hAnsi="Aptos"/>
          <w:b w:val="0"/>
          <w:i w:val="0"/>
          <w:color w:val="65747A"/>
          <w:sz w:val="24"/>
        </w:rPr>
        <w:t>Long-Term Human–AI Cognitive Coupling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Project ID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  <w:t>RUNLU LAB Study 001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Version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  <w:t>V0.1 — English Edition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Launch date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  <w:t>August 16, 2026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Current phase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  <w:t>Single-participant feasibility pilot; not a general scientific conclusion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Boundary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  <w:t>Studies cognitive collaboration and decision performance; does not claim physical human–AI quantum entanglement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4B5A"/>
                <w:sz w:val="21"/>
              </w:rPr>
              <w:t xml:space="preserve">Core question  </w:t>
            </w:r>
            <w:r>
              <w:rPr>
                <w:rFonts w:ascii="Aptos" w:hAnsi="Aptos"/>
                <w:b w:val="0"/>
                <w:i w:val="0"/>
                <w:color w:val="172A33"/>
                <w:sz w:val="21"/>
              </w:rPr>
              <w:t>Can a person working with an AI that knows their long-term goals, experience, and constraints produce results that are more accurate, useful, and risk-aware than the person alone, a context-free AI, or an unreviewed human–AI pair?</w:t>
            </w:r>
          </w:p>
        </w:tc>
      </w:tr>
    </w:tbl>
    <w:p>
      <w:pPr>
        <w:spacing w:after="0"/>
      </w:pPr>
    </w:p>
    <w:p>
      <w:pPr>
        <w:pStyle w:val="Heading1"/>
      </w:pPr>
      <w:r>
        <w:t>RUNLU Research Principles</w:t>
      </w:r>
    </w:p>
    <w:p>
      <w:pPr>
        <w:pStyle w:val="ListBullet"/>
        <w:spacing w:after="60"/>
        <w:ind w:left="605" w:hanging="288"/>
      </w:pPr>
      <w:r>
        <w:rPr>
          <w:rFonts w:ascii="Aptos" w:hAnsi="Aptos"/>
          <w:b w:val="0"/>
          <w:i w:val="0"/>
          <w:color w:val="172A33"/>
          <w:sz w:val="21"/>
        </w:rPr>
        <w:t>Truth: do not fabricate participants, data, success cases, or statistical significance.</w:t>
      </w:r>
    </w:p>
    <w:p>
      <w:pPr>
        <w:pStyle w:val="ListBullet"/>
        <w:spacing w:after="60"/>
        <w:ind w:left="605" w:hanging="288"/>
      </w:pPr>
      <w:r>
        <w:rPr>
          <w:rFonts w:ascii="Aptos" w:hAnsi="Aptos"/>
          <w:b w:val="0"/>
          <w:i w:val="0"/>
          <w:color w:val="172A33"/>
          <w:sz w:val="21"/>
        </w:rPr>
        <w:t>Falsifiability: state in advance what would support or weaken each hypothesis.</w:t>
      </w:r>
    </w:p>
    <w:p>
      <w:pPr>
        <w:pStyle w:val="ListBullet"/>
        <w:spacing w:after="60"/>
        <w:ind w:left="605" w:hanging="288"/>
      </w:pPr>
      <w:r>
        <w:rPr>
          <w:rFonts w:ascii="Aptos" w:hAnsi="Aptos"/>
          <w:b w:val="0"/>
          <w:i w:val="0"/>
          <w:color w:val="172A33"/>
          <w:sz w:val="21"/>
        </w:rPr>
        <w:t>Auditability: preserve the original task, outputs, scoring basis, real-world outcome, and revisions.</w:t>
      </w:r>
    </w:p>
    <w:p>
      <w:pPr>
        <w:pStyle w:val="ListBullet"/>
        <w:spacing w:after="60"/>
        <w:ind w:left="605" w:hanging="288"/>
      </w:pPr>
      <w:r>
        <w:rPr>
          <w:rFonts w:ascii="Aptos" w:hAnsi="Aptos"/>
          <w:b w:val="0"/>
          <w:i w:val="0"/>
          <w:color w:val="172A33"/>
          <w:sz w:val="21"/>
        </w:rPr>
        <w:t>Restraint: use cognitive coupling or joint cognition—not physical quantum entanglement.</w:t>
      </w:r>
    </w:p>
    <w:p>
      <w:pPr>
        <w:pStyle w:val="ListBullet"/>
        <w:spacing w:after="60"/>
        <w:ind w:left="605" w:hanging="288"/>
      </w:pPr>
      <w:r>
        <w:rPr>
          <w:rFonts w:ascii="Aptos" w:hAnsi="Aptos"/>
          <w:b w:val="0"/>
          <w:i w:val="0"/>
          <w:color w:val="172A33"/>
          <w:sz w:val="21"/>
        </w:rPr>
        <w:t>Safety: use low-risk tasks; this pilot does not replace professional medical, driving, or financial judgment.</w:t>
      </w:r>
    </w:p>
    <w:p>
      <w:r>
        <w:br w:type="page"/>
      </w:r>
    </w:p>
    <w:p>
      <w:pPr>
        <w:pStyle w:val="Heading1"/>
      </w:pPr>
      <w:r>
        <w:t>1. Study Design</w:t>
      </w:r>
    </w:p>
    <w:p>
      <w:pPr>
        <w:pStyle w:val="Heading2"/>
      </w:pPr>
      <w:r>
        <w:t>1.1 Hypotheses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4B5A"/>
                <w:sz w:val="21"/>
              </w:rPr>
              <w:t xml:space="preserve">H1 — Main hypothesis  </w:t>
            </w:r>
            <w:r>
              <w:rPr>
                <w:rFonts w:ascii="Aptos" w:hAnsi="Aptos"/>
                <w:b w:val="0"/>
                <w:i w:val="0"/>
                <w:color w:val="172A33"/>
                <w:sz w:val="21"/>
              </w:rPr>
              <w:t>The familiar human–AI condition will outperform the human-only and context-free AI conditions in practical usefulness, constraint fit, and hidden-risk detection.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4B5A"/>
                <w:sz w:val="21"/>
              </w:rPr>
              <w:t xml:space="preserve">H2 — Review hypothesis  </w:t>
            </w:r>
            <w:r>
              <w:rPr>
                <w:rFonts w:ascii="Aptos" w:hAnsi="Aptos"/>
                <w:b w:val="0"/>
                <w:i w:val="0"/>
                <w:color w:val="172A33"/>
                <w:sz w:val="21"/>
              </w:rPr>
              <w:t>Adding an independent AI critic after familiar human–AI collaboration will reduce shared bias and overlooked errors.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1E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4B5A"/>
                <w:sz w:val="21"/>
              </w:rPr>
              <w:t xml:space="preserve">H0 — Null hypothesis  </w:t>
            </w:r>
            <w:r>
              <w:rPr>
                <w:rFonts w:ascii="Aptos" w:hAnsi="Aptos"/>
                <w:b w:val="0"/>
                <w:i w:val="0"/>
                <w:color w:val="172A33"/>
                <w:sz w:val="21"/>
              </w:rPr>
              <w:t>Long-term familiarity creates no stable advantage; observed differences are explained by task selection, scoring preference, additional time, or additional information.</w:t>
            </w:r>
          </w:p>
        </w:tc>
      </w:tr>
    </w:tbl>
    <w:p>
      <w:pPr>
        <w:spacing w:after="0"/>
      </w:pPr>
    </w:p>
    <w:p>
      <w:pPr>
        <w:pStyle w:val="Heading2"/>
      </w:pPr>
      <w:r>
        <w:t>1.2 Four Conditions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800"/>
        <w:gridCol w:w="2200"/>
        <w:gridCol w:w="3760"/>
        <w:gridCol w:w="2600"/>
      </w:tblGrid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44B5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Code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44B5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Condition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44B5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Allowed process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44B5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44B5A"/>
                <w:sz w:val="17"/>
              </w:rPr>
              <w:t>A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Human alone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Participant answers before seeing any AI output.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Human baseline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44B5A"/>
                <w:sz w:val="17"/>
              </w:rPr>
              <w:t>B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Context-free AI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AI receives only the current task and essential facts.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General AI baseline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44B5A"/>
                <w:sz w:val="17"/>
              </w:rPr>
              <w:t>C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Familiar human + AI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Long-term project context allowed; up to three clarification/revision rounds.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Test coupling advantage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44B5A"/>
                <w:sz w:val="17"/>
              </w:rPr>
              <w:t>D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C + independent review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A fresh AI sees the completed C output and searches for errors, compliance, and omissions.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Test independent correction</w:t>
            </w:r>
          </w:p>
        </w:tc>
      </w:tr>
    </w:tbl>
    <w:p>
      <w:pPr>
        <w:pStyle w:val="Heading2"/>
      </w:pPr>
      <w:r>
        <w:t>1.3 Fairness Rules</w:t>
      </w:r>
    </w:p>
    <w:p>
      <w:pPr>
        <w:pStyle w:val="ListBullet"/>
        <w:spacing w:after="60"/>
        <w:ind w:left="605" w:hanging="288"/>
      </w:pPr>
      <w:r>
        <w:rPr>
          <w:rFonts w:ascii="Aptos" w:hAnsi="Aptos"/>
          <w:b w:val="0"/>
          <w:i w:val="0"/>
          <w:color w:val="172A33"/>
          <w:sz w:val="21"/>
        </w:rPr>
        <w:t>Give all conditions the same essential task facts.</w:t>
      </w:r>
    </w:p>
    <w:p>
      <w:pPr>
        <w:pStyle w:val="ListBullet"/>
        <w:spacing w:after="60"/>
        <w:ind w:left="605" w:hanging="288"/>
      </w:pPr>
      <w:r>
        <w:rPr>
          <w:rFonts w:ascii="Aptos" w:hAnsi="Aptos"/>
          <w:b w:val="0"/>
          <w:i w:val="0"/>
          <w:color w:val="172A33"/>
          <w:sz w:val="21"/>
        </w:rPr>
        <w:t>Lock the A answer before any AI output is viewed.</w:t>
      </w:r>
    </w:p>
    <w:p>
      <w:pPr>
        <w:pStyle w:val="ListBullet"/>
        <w:spacing w:after="60"/>
        <w:ind w:left="605" w:hanging="288"/>
      </w:pPr>
      <w:r>
        <w:rPr>
          <w:rFonts w:ascii="Aptos" w:hAnsi="Aptos"/>
          <w:b w:val="0"/>
          <w:i w:val="0"/>
          <w:color w:val="172A33"/>
          <w:sz w:val="21"/>
        </w:rPr>
        <w:t>Do not provide B with personal preferences, prior decisions, or project memory.</w:t>
      </w:r>
    </w:p>
    <w:p>
      <w:pPr>
        <w:pStyle w:val="ListBullet"/>
        <w:spacing w:after="60"/>
        <w:ind w:left="605" w:hanging="288"/>
      </w:pPr>
      <w:r>
        <w:rPr>
          <w:rFonts w:ascii="Aptos" w:hAnsi="Aptos"/>
          <w:b w:val="0"/>
          <w:i w:val="0"/>
          <w:color w:val="172A33"/>
          <w:sz w:val="21"/>
        </w:rPr>
        <w:t>Limit C to three collaboration rounds to control for effort.</w:t>
      </w:r>
    </w:p>
    <w:p>
      <w:pPr>
        <w:pStyle w:val="ListBullet"/>
        <w:spacing w:after="60"/>
        <w:ind w:left="605" w:hanging="288"/>
      </w:pPr>
      <w:r>
        <w:rPr>
          <w:rFonts w:ascii="Aptos" w:hAnsi="Aptos"/>
          <w:b w:val="0"/>
          <w:i w:val="0"/>
          <w:color w:val="172A33"/>
          <w:sz w:val="21"/>
        </w:rPr>
        <w:t>Keep D focused on criticism and correction; do not show it scores.</w:t>
      </w:r>
    </w:p>
    <w:p>
      <w:pPr>
        <w:pStyle w:val="ListBullet"/>
        <w:spacing w:after="60"/>
        <w:ind w:left="605" w:hanging="288"/>
      </w:pPr>
      <w:r>
        <w:rPr>
          <w:rFonts w:ascii="Aptos" w:hAnsi="Aptos"/>
          <w:b w:val="0"/>
          <w:i w:val="0"/>
          <w:color w:val="172A33"/>
          <w:sz w:val="21"/>
        </w:rPr>
        <w:t>Where possible, blind and randomize answers before scoring.</w:t>
      </w:r>
    </w:p>
    <w:p>
      <w:r>
        <w:br w:type="page"/>
      </w:r>
    </w:p>
    <w:p>
      <w:pPr>
        <w:pStyle w:val="Heading1"/>
      </w:pPr>
      <w:r>
        <w:t>2. Tasks, Measures, and Decision Rules</w:t>
      </w:r>
    </w:p>
    <w:p>
      <w:pPr>
        <w:pStyle w:val="Heading2"/>
      </w:pPr>
      <w:r>
        <w:t>2.1 First-Round Scope</w:t>
      </w:r>
    </w:p>
    <w:p>
      <w:r>
        <w:rPr>
          <w:rFonts w:ascii="Aptos" w:hAnsi="Aptos"/>
          <w:b w:val="0"/>
          <w:i w:val="0"/>
          <w:color w:val="172A33"/>
          <w:sz w:val="21"/>
        </w:rPr>
        <w:t>Collect 12 naturally occurring, unresolved, low-risk tasks—three each from workflow design, information judgment, interface/copy decisions, and risk review. Do not retrospectively select only favorable examples.</w:t>
      </w:r>
    </w:p>
    <w:p>
      <w:pPr>
        <w:pStyle w:val="Heading2"/>
      </w:pPr>
      <w:r>
        <w:t>2.2 Scoring Framework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5360"/>
        <w:gridCol w:w="220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44B5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Measure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44B5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Question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44B5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Scale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44B5A"/>
                <w:sz w:val="17"/>
              </w:rPr>
              <w:t>Accuracy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Are facts, calculations, and logic correct?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1–5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7"/>
              </w:rPr>
              <w:t>Usefulness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Can the result be used in a real project?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1–5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7"/>
              </w:rPr>
              <w:t>Constraint fit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Does it respect known rules, preferences, and safety limits?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1–5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7"/>
              </w:rPr>
              <w:t>Risk detection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Does it identify hidden errors, conflicts, or side effects?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1–5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7"/>
              </w:rPr>
              <w:t>Originality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Does it add useful and executable insight?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1–5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7"/>
              </w:rPr>
              <w:t>Efficiency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Time and interaction needed to reach a usable result.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Minutes + rounds</w:t>
            </w:r>
          </w:p>
        </w:tc>
      </w:tr>
    </w:tbl>
    <w:p>
      <w:pPr>
        <w:pStyle w:val="Heading2"/>
      </w:pPr>
      <w:r>
        <w:t>2.3 Precommitted Interpretation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4B5A"/>
                <w:sz w:val="21"/>
              </w:rPr>
              <w:t xml:space="preserve">Preliminary support for H1  </w:t>
            </w:r>
            <w:r>
              <w:rPr>
                <w:rFonts w:ascii="Aptos" w:hAnsi="Aptos"/>
                <w:b w:val="0"/>
                <w:i w:val="0"/>
                <w:color w:val="172A33"/>
                <w:sz w:val="21"/>
              </w:rPr>
              <w:t>After 12 tasks, C exceeds A and B on usefulness, constraint fit, and risk detection, and the difference is not explained solely by extra time.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4B5A"/>
                <w:sz w:val="21"/>
              </w:rPr>
              <w:t xml:space="preserve">Preliminary support for H2  </w:t>
            </w:r>
            <w:r>
              <w:rPr>
                <w:rFonts w:ascii="Aptos" w:hAnsi="Aptos"/>
                <w:b w:val="0"/>
                <w:i w:val="0"/>
                <w:color w:val="172A33"/>
                <w:sz w:val="21"/>
              </w:rPr>
              <w:t>D reduces real-world errors or omissions relative to C without materially damaging usefulness.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1E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4B5A"/>
                <w:sz w:val="21"/>
              </w:rPr>
              <w:t xml:space="preserve">Weakens or revises the hypotheses  </w:t>
            </w:r>
            <w:r>
              <w:rPr>
                <w:rFonts w:ascii="Aptos" w:hAnsi="Aptos"/>
                <w:b w:val="0"/>
                <w:i w:val="0"/>
                <w:color w:val="172A33"/>
                <w:sz w:val="21"/>
              </w:rPr>
              <w:t>C shows no stable advantage, wins only on subjective ratings, or becomes more agreeable while missing counter-evidence.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i/>
          <w:color w:val="65747A"/>
          <w:sz w:val="21"/>
        </w:rPr>
        <w:t>Twelve tasks establish feasibility and refine hypotheses; they cannot establish a universal human law or a physical quantum mechanism.</w:t>
      </w:r>
    </w:p>
    <w:p>
      <w:r>
        <w:br w:type="page"/>
      </w:r>
    </w:p>
    <w:p>
      <w:pPr>
        <w:pStyle w:val="Heading1"/>
      </w:pPr>
      <w:r>
        <w:t>3. Per-Task Experiment Record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Task ID / date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  <w:t>T___ / ____________________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Original task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Essential facts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Real-world validation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  <w:t>Use test / external fact / user test / other: __________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Risk screen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  <w:t>□ Low risk, eligible   □ High risk, analysis only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Lock times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  <w:t>A: ____  B: ____  C: ____  D: ____</w:t>
            </w:r>
          </w:p>
        </w:tc>
      </w:tr>
    </w:tbl>
    <w:p>
      <w:pPr>
        <w:pStyle w:val="Heading2"/>
      </w:pPr>
      <w:r>
        <w:t>Answer 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00"/>
        <w:gridCol w:w="2400"/>
        <w:gridCol w:w="6060"/>
      </w:tblGrid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44B5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Group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44B5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Time / rounds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44B5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Core answer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44B5A"/>
                <w:sz w:val="17"/>
              </w:rPr>
              <w:t>A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44B5A"/>
                <w:sz w:val="17"/>
              </w:rPr>
              <w:t>B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44B5A"/>
                <w:sz w:val="17"/>
              </w:rPr>
              <w:t>C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44B5A"/>
                <w:sz w:val="17"/>
              </w:rPr>
              <w:t>D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</w:r>
          </w:p>
        </w:tc>
      </w:tr>
    </w:tbl>
    <w:p>
      <w:pPr>
        <w:pStyle w:val="Heading2"/>
      </w:pPr>
      <w:r>
        <w:t>Blind Score and Outcome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700"/>
        <w:gridCol w:w="1100"/>
        <w:gridCol w:w="1100"/>
        <w:gridCol w:w="1000"/>
        <w:gridCol w:w="1000"/>
        <w:gridCol w:w="1100"/>
        <w:gridCol w:w="3360"/>
      </w:tblGrid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44B5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Code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44B5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Accuracy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44B5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Useful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44B5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Fit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44B5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Risk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44B5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Original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44B5A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Verified outcome / notes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44B5A"/>
                <w:sz w:val="17"/>
              </w:rPr>
              <w:t>___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44B5A"/>
                <w:sz w:val="17"/>
              </w:rPr>
              <w:t>___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44B5A"/>
                <w:sz w:val="17"/>
              </w:rPr>
              <w:t>___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44B5A"/>
                <w:sz w:val="17"/>
              </w:rPr>
              <w:t>___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  <w:t>__/5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7"/>
              </w:rPr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4B5A"/>
                <w:sz w:val="21"/>
              </w:rPr>
              <w:t xml:space="preserve">Post-task reflection  </w:t>
            </w:r>
            <w:r>
              <w:rPr>
                <w:rFonts w:ascii="Aptos" w:hAnsi="Aptos"/>
                <w:b w:val="0"/>
                <w:i w:val="0"/>
                <w:color w:val="172A33"/>
                <w:sz w:val="21"/>
              </w:rPr>
              <w:t>Which condition actually helped? Did we observe deference, over-trust, error amplification, or unexpected insight? What should change next time?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Launch Card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4B5A"/>
                <w:sz w:val="21"/>
              </w:rPr>
              <w:t xml:space="preserve">Start rule  </w:t>
            </w:r>
            <w:r>
              <w:rPr>
                <w:rFonts w:ascii="Aptos" w:hAnsi="Aptos"/>
                <w:b w:val="0"/>
                <w:i w:val="0"/>
                <w:color w:val="172A33"/>
                <w:sz w:val="21"/>
              </w:rPr>
              <w:t>Register the next naturally occurring, unresolved, low-risk question as T001. Complete and lock A first, then run B, C, and D. Do not choose a task because it is likely to confirm the hypothesis.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Status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  <w:t>□ Waiting for first natural task   □ Registered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Date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  <w:t>____________________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Category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  <w:t>□ Workflow  □ Information  □ Interface  □ Risk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Original question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A — independent judgment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Validation date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  <w:t>____________________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Main observation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Retain as formal sample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7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  <w:t>□ Yes  □ No; reason: __________________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1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244B5A"/>
                <w:sz w:val="18"/>
              </w:rPr>
              <w:t>Next task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72A33"/>
                <w:sz w:val="18"/>
              </w:rPr>
              <w:t>T002</w:t>
            </w:r>
          </w:p>
        </w:tc>
      </w:tr>
    </w:tbl>
    <w:p>
      <w:pPr>
        <w:pStyle w:val="Heading1"/>
      </w:pPr>
      <w:r>
        <w:t>5. Claims Boundary</w:t>
      </w:r>
    </w:p>
    <w:p>
      <w:pPr>
        <w:pStyle w:val="Heading2"/>
      </w:pPr>
      <w:r>
        <w:t>Permitted language</w:t>
      </w:r>
    </w:p>
    <w:p>
      <w:pPr>
        <w:pStyle w:val="ListBullet"/>
        <w:spacing w:after="60"/>
        <w:ind w:left="605" w:hanging="288"/>
      </w:pPr>
      <w:r>
        <w:rPr>
          <w:rFonts w:ascii="Aptos" w:hAnsi="Aptos"/>
          <w:b w:val="0"/>
          <w:i w:val="0"/>
          <w:color w:val="172A33"/>
          <w:sz w:val="21"/>
        </w:rPr>
        <w:t>In RUNLU's single-participant pilot, a human–AI process showed a preliminary advantage or disadvantage.</w:t>
      </w:r>
    </w:p>
    <w:p>
      <w:pPr>
        <w:pStyle w:val="ListBullet"/>
        <w:spacing w:after="60"/>
        <w:ind w:left="605" w:hanging="288"/>
      </w:pPr>
      <w:r>
        <w:rPr>
          <w:rFonts w:ascii="Aptos" w:hAnsi="Aptos"/>
          <w:b w:val="0"/>
          <w:i w:val="0"/>
          <w:color w:val="172A33"/>
          <w:sz w:val="21"/>
        </w:rPr>
        <w:t>Results justify a larger sample with more participants and AI models.</w:t>
      </w:r>
    </w:p>
    <w:p>
      <w:pPr>
        <w:pStyle w:val="ListBullet"/>
        <w:spacing w:after="60"/>
        <w:ind w:left="605" w:hanging="288"/>
      </w:pPr>
      <w:r>
        <w:rPr>
          <w:rFonts w:ascii="Aptos" w:hAnsi="Aptos"/>
          <w:b w:val="0"/>
          <w:i w:val="0"/>
          <w:color w:val="172A33"/>
          <w:sz w:val="21"/>
        </w:rPr>
        <w:t>Quantum-probability models may later be tested for context and order effects.</w:t>
      </w:r>
    </w:p>
    <w:p>
      <w:pPr>
        <w:pStyle w:val="Heading2"/>
      </w:pPr>
      <w:r>
        <w:t>Not permitted yet</w:t>
      </w:r>
    </w:p>
    <w:p>
      <w:pPr>
        <w:pStyle w:val="ListBullet"/>
        <w:spacing w:after="60"/>
        <w:ind w:left="605" w:hanging="288"/>
      </w:pPr>
      <w:r>
        <w:rPr>
          <w:rFonts w:ascii="Aptos" w:hAnsi="Aptos"/>
          <w:b w:val="0"/>
          <w:i w:val="0"/>
          <w:color w:val="172A33"/>
          <w:sz w:val="21"/>
        </w:rPr>
        <w:t>A human and AI have entered physical quantum entanglement.</w:t>
      </w:r>
    </w:p>
    <w:p>
      <w:pPr>
        <w:pStyle w:val="ListBullet"/>
        <w:spacing w:after="60"/>
        <w:ind w:left="605" w:hanging="288"/>
      </w:pPr>
      <w:r>
        <w:rPr>
          <w:rFonts w:ascii="Aptos" w:hAnsi="Aptos"/>
          <w:b w:val="0"/>
          <w:i w:val="0"/>
          <w:color w:val="172A33"/>
          <w:sz w:val="21"/>
        </w:rPr>
        <w:t>Twelve tasks from one participant establish a universal law.</w:t>
      </w:r>
    </w:p>
    <w:p>
      <w:pPr>
        <w:pStyle w:val="ListBullet"/>
        <w:spacing w:after="60"/>
        <w:ind w:left="605" w:hanging="288"/>
      </w:pPr>
      <w:r>
        <w:rPr>
          <w:rFonts w:ascii="Aptos" w:hAnsi="Aptos"/>
          <w:b w:val="0"/>
          <w:i w:val="0"/>
          <w:color w:val="172A33"/>
          <w:sz w:val="21"/>
        </w:rPr>
        <w:t>Any difference must come from memory, consciousness, or a quantum mechanism.</w:t>
      </w:r>
    </w:p>
    <w:p>
      <w:pPr>
        <w:pStyle w:val="ListBullet"/>
        <w:spacing w:after="60"/>
        <w:ind w:left="605" w:hanging="288"/>
      </w:pPr>
      <w:r>
        <w:rPr>
          <w:rFonts w:ascii="Aptos" w:hAnsi="Aptos"/>
          <w:b w:val="0"/>
          <w:i w:val="0"/>
          <w:color w:val="172A33"/>
          <w:sz w:val="21"/>
        </w:rPr>
        <w:t>The pilot can directly determine medical, financial, or driving decisions.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80" w:left="1224" w:header="547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/>
        <w:color w:val="65747A"/>
        <w:sz w:val="16"/>
      </w:rPr>
      <w:t>Honest inquiry · Reproducible evidence · No exaggerated claims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477E7A"/>
        <w:sz w:val="17"/>
      </w:rPr>
      <w:t>RUNLU LAB  ·  STUDY 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/>
      <w:color w:val="17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244B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477E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44B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244B5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6574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RUNLU LAB Study 001 Research Charter — English</dc:title>
  <dc:subject/>
  <dc:creator>RUNLU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