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81E" w:rsidRPr="000A481E" w:rsidRDefault="000A481E" w:rsidP="000A481E">
      <w:pPr>
        <w:shd w:val="clear" w:color="auto" w:fill="FFFFFF"/>
        <w:spacing w:before="100" w:beforeAutospacing="1" w:after="100" w:afterAutospacing="1" w:line="240" w:lineRule="auto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A481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Гипотезы:</w:t>
      </w:r>
    </w:p>
    <w:p w:rsidR="000A481E" w:rsidRPr="000A481E" w:rsidRDefault="000A481E" w:rsidP="000A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•</w:t>
      </w: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ab/>
        <w:t xml:space="preserve">Если на главное странице уберем блок Магазины, а заменить на блок Популярные товары </w:t>
      </w:r>
      <w:proofErr w:type="gramStart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  Акции</w:t>
      </w:r>
      <w:proofErr w:type="gramEnd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, то мы увеличим конверсию в заказ на 2 % , потому что уберем ненужные блоки с главной страницы, а направим внимание клиента на товар</w:t>
      </w:r>
    </w:p>
    <w:p w:rsidR="000A481E" w:rsidRPr="000A481E" w:rsidRDefault="000A481E" w:rsidP="000A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•</w:t>
      </w: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ab/>
        <w:t xml:space="preserve">Если в </w:t>
      </w:r>
      <w:proofErr w:type="gramStart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блоках  Подбирайте</w:t>
      </w:r>
      <w:proofErr w:type="gramEnd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себе и близким! и Интересное для вас!  сокращаем количество </w:t>
      </w:r>
      <w:proofErr w:type="gramStart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баннеров,  то</w:t>
      </w:r>
      <w:proofErr w:type="gramEnd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 увеличиваем конверсию на 2 % , потому что мы ускоряем доступ к самому разделу товаров, пользователю требуется меньше листать страницу</w:t>
      </w:r>
    </w:p>
    <w:p w:rsidR="000A481E" w:rsidRPr="000A481E" w:rsidRDefault="000A481E" w:rsidP="000A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•</w:t>
      </w: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ab/>
        <w:t xml:space="preserve">Если добавляем кнопку перелистывания фото на фото товара, то увеличиваем время глубины просмотра на 10 </w:t>
      </w:r>
      <w:proofErr w:type="gramStart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% ,</w:t>
      </w:r>
      <w:proofErr w:type="gramEnd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потому что пользователю будет приятнее и удобнее смотреть галерею товара , нажимая на кнопку на самом фото</w:t>
      </w:r>
    </w:p>
    <w:p w:rsidR="000A481E" w:rsidRPr="000A481E" w:rsidRDefault="000A481E" w:rsidP="000A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•</w:t>
      </w: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ab/>
        <w:t xml:space="preserve">Если </w:t>
      </w:r>
      <w:proofErr w:type="gramStart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блоки Покупают</w:t>
      </w:r>
      <w:proofErr w:type="gramEnd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вместе и Рекомендуем также переносим после описания на странице товара, то увеличиваем глубину просмотра на 5 %, потому что пользователю важнее просмотреть описание товара сначала, а не рекомендуемые товары.</w:t>
      </w:r>
    </w:p>
    <w:p w:rsidR="000A481E" w:rsidRPr="000A481E" w:rsidRDefault="000A481E" w:rsidP="000A48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•</w:t>
      </w: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ab/>
        <w:t xml:space="preserve">Если мы сделаем часть отзывов товара в прокрутку по горизонтали   и кнопку Смотреть все отзывы, то увеличим глубину просмотра на 3 % и увеличат средний чек на 1 %, потому что уменьшим объем блока Отзывы, так как не все пользователи хотят прокручивать большое количество отзывов, и быстрее увидят блоки Похожие товара и блок перенесенный из верхней части Покупают вместе. </w:t>
      </w:r>
    </w:p>
    <w:p w:rsidR="000A481E" w:rsidRPr="00854309" w:rsidRDefault="000A481E">
      <w:pPr>
        <w:rPr>
          <w:rFonts w:ascii="Times New Roman" w:hAnsi="Times New Roman" w:cs="Times New Roman"/>
          <w:sz w:val="28"/>
          <w:szCs w:val="28"/>
        </w:rPr>
      </w:pPr>
    </w:p>
    <w:p w:rsidR="000A481E" w:rsidRPr="00854309" w:rsidRDefault="000A481E">
      <w:pPr>
        <w:rPr>
          <w:rFonts w:ascii="Times New Roman" w:hAnsi="Times New Roman" w:cs="Times New Roman"/>
          <w:sz w:val="28"/>
          <w:szCs w:val="28"/>
        </w:rPr>
      </w:pPr>
    </w:p>
    <w:p w:rsidR="000A481E" w:rsidRPr="00854309" w:rsidRDefault="000A481E" w:rsidP="000A481E">
      <w:pPr>
        <w:jc w:val="center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  <w:r w:rsidRPr="00854309"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  <w:t>Задание 1</w:t>
      </w:r>
    </w:p>
    <w:p w:rsidR="000A481E" w:rsidRPr="00854309" w:rsidRDefault="000A481E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85430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Сделайте приоритезацию гипотез из предыдущего урока с помощью ICE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941"/>
        <w:gridCol w:w="1852"/>
        <w:gridCol w:w="1861"/>
        <w:gridCol w:w="1846"/>
        <w:gridCol w:w="1845"/>
      </w:tblGrid>
      <w:tr w:rsidR="00B73AF3" w:rsidRPr="00854309" w:rsidTr="00B73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73AF3" w:rsidRPr="00854309" w:rsidRDefault="00B73AF3">
            <w:pPr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  <w:t>Idea</w:t>
            </w:r>
          </w:p>
        </w:tc>
        <w:tc>
          <w:tcPr>
            <w:tcW w:w="1852" w:type="dxa"/>
          </w:tcPr>
          <w:p w:rsidR="00B73AF3" w:rsidRPr="00854309" w:rsidRDefault="00B7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  <w:t>Impact(</w:t>
            </w:r>
            <w:proofErr w:type="gramEnd"/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  <w:t>0-10)</w:t>
            </w:r>
          </w:p>
        </w:tc>
        <w:tc>
          <w:tcPr>
            <w:tcW w:w="1861" w:type="dxa"/>
          </w:tcPr>
          <w:p w:rsidR="00B73AF3" w:rsidRPr="00854309" w:rsidRDefault="00B7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  <w:t>Confidence(</w:t>
            </w:r>
            <w:proofErr w:type="gramEnd"/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  <w:t>0-10)</w:t>
            </w:r>
          </w:p>
        </w:tc>
        <w:tc>
          <w:tcPr>
            <w:tcW w:w="1846" w:type="dxa"/>
          </w:tcPr>
          <w:p w:rsidR="00B73AF3" w:rsidRPr="00854309" w:rsidRDefault="00B7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</w:pPr>
            <w:proofErr w:type="gramStart"/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  <w:t>Ease(</w:t>
            </w:r>
            <w:proofErr w:type="gramEnd"/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  <w:t>0-10)</w:t>
            </w:r>
          </w:p>
        </w:tc>
        <w:tc>
          <w:tcPr>
            <w:tcW w:w="1845" w:type="dxa"/>
          </w:tcPr>
          <w:p w:rsidR="00B73AF3" w:rsidRPr="00854309" w:rsidRDefault="00B73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  <w:t>ICE Score (</w:t>
            </w:r>
            <w:proofErr w:type="spellStart"/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  <w:t>IxCxE</w:t>
            </w:r>
            <w:proofErr w:type="spellEnd"/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</w:tr>
      <w:tr w:rsidR="00B73AF3" w:rsidRPr="00854309" w:rsidTr="00B7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73AF3" w:rsidRPr="00854309" w:rsidRDefault="00B73AF3" w:rsidP="00B73AF3">
            <w:pPr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Изменить вид главной страницы</w:t>
            </w:r>
          </w:p>
        </w:tc>
        <w:tc>
          <w:tcPr>
            <w:tcW w:w="1852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7</w:t>
            </w:r>
          </w:p>
        </w:tc>
        <w:tc>
          <w:tcPr>
            <w:tcW w:w="1861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846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1845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35</w:t>
            </w:r>
          </w:p>
        </w:tc>
      </w:tr>
      <w:tr w:rsidR="00B73AF3" w:rsidRPr="00854309" w:rsidTr="00B7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73AF3" w:rsidRPr="00854309" w:rsidRDefault="00B73AF3" w:rsidP="00B73AF3">
            <w:pPr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Сократить количество баннеров в блоках</w:t>
            </w:r>
          </w:p>
        </w:tc>
        <w:tc>
          <w:tcPr>
            <w:tcW w:w="1852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861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0.5</w:t>
            </w:r>
          </w:p>
        </w:tc>
        <w:tc>
          <w:tcPr>
            <w:tcW w:w="1846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8</w:t>
            </w:r>
          </w:p>
        </w:tc>
        <w:tc>
          <w:tcPr>
            <w:tcW w:w="1845" w:type="dxa"/>
          </w:tcPr>
          <w:p w:rsidR="009D5F0A" w:rsidRPr="00854309" w:rsidRDefault="009D5F0A" w:rsidP="009D5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30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B73AF3" w:rsidRPr="00854309" w:rsidTr="00B7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73AF3" w:rsidRPr="00854309" w:rsidRDefault="00B73AF3" w:rsidP="00B73AF3">
            <w:pPr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Добавить кнопку перелистывания на фото</w:t>
            </w:r>
          </w:p>
        </w:tc>
        <w:tc>
          <w:tcPr>
            <w:tcW w:w="1852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1861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0.1</w:t>
            </w:r>
          </w:p>
        </w:tc>
        <w:tc>
          <w:tcPr>
            <w:tcW w:w="1846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9</w:t>
            </w:r>
          </w:p>
        </w:tc>
        <w:tc>
          <w:tcPr>
            <w:tcW w:w="1845" w:type="dxa"/>
          </w:tcPr>
          <w:p w:rsidR="00B73AF3" w:rsidRPr="00854309" w:rsidRDefault="009D5F0A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2,7</w:t>
            </w:r>
          </w:p>
        </w:tc>
      </w:tr>
      <w:tr w:rsidR="00B73AF3" w:rsidRPr="00854309" w:rsidTr="00B7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73AF3" w:rsidRPr="00854309" w:rsidRDefault="00B73AF3" w:rsidP="00B73AF3">
            <w:pPr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 xml:space="preserve">Блоки дополнительные </w:t>
            </w: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lastRenderedPageBreak/>
              <w:t>переносим после описания товара</w:t>
            </w:r>
          </w:p>
        </w:tc>
        <w:tc>
          <w:tcPr>
            <w:tcW w:w="1852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lastRenderedPageBreak/>
              <w:t>4</w:t>
            </w:r>
          </w:p>
        </w:tc>
        <w:tc>
          <w:tcPr>
            <w:tcW w:w="1861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0.5</w:t>
            </w:r>
          </w:p>
        </w:tc>
        <w:tc>
          <w:tcPr>
            <w:tcW w:w="1846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30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845" w:type="dxa"/>
          </w:tcPr>
          <w:p w:rsidR="00B73AF3" w:rsidRPr="00854309" w:rsidRDefault="009D5F0A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16</w:t>
            </w:r>
          </w:p>
        </w:tc>
      </w:tr>
      <w:tr w:rsidR="00B73AF3" w:rsidRPr="00854309" w:rsidTr="00B73A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1" w:type="dxa"/>
          </w:tcPr>
          <w:p w:rsidR="00B73AF3" w:rsidRPr="00854309" w:rsidRDefault="00B73AF3" w:rsidP="00B73AF3">
            <w:pPr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Отзывы размещаем в горизонтальную прокрутку</w:t>
            </w:r>
          </w:p>
        </w:tc>
        <w:tc>
          <w:tcPr>
            <w:tcW w:w="1852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30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861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430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846" w:type="dxa"/>
          </w:tcPr>
          <w:p w:rsidR="00B73AF3" w:rsidRPr="00854309" w:rsidRDefault="00B73AF3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6</w:t>
            </w:r>
          </w:p>
        </w:tc>
        <w:tc>
          <w:tcPr>
            <w:tcW w:w="1845" w:type="dxa"/>
          </w:tcPr>
          <w:p w:rsidR="00B73AF3" w:rsidRPr="00854309" w:rsidRDefault="009D5F0A" w:rsidP="00B73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</w:pPr>
            <w:r w:rsidRPr="00854309">
              <w:rPr>
                <w:rFonts w:ascii="Times New Roman" w:hAnsi="Times New Roman" w:cs="Times New Roman"/>
                <w:color w:val="2C2D30"/>
                <w:sz w:val="20"/>
                <w:szCs w:val="20"/>
                <w:shd w:val="clear" w:color="auto" w:fill="FFFFFF"/>
              </w:rPr>
              <w:t>1,8</w:t>
            </w:r>
          </w:p>
        </w:tc>
      </w:tr>
    </w:tbl>
    <w:p w:rsidR="00B73AF3" w:rsidRPr="00854309" w:rsidRDefault="00B73AF3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</w:p>
    <w:p w:rsidR="00854309" w:rsidRDefault="00854309" w:rsidP="00854309">
      <w:pPr>
        <w:jc w:val="center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  <w:r w:rsidRPr="00854309"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  <w:t>Задание 2</w:t>
      </w:r>
    </w:p>
    <w:p w:rsidR="000A481E" w:rsidRDefault="00854309" w:rsidP="00854309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854309">
        <w:rPr>
          <w:rFonts w:ascii="Times New Roman" w:hAnsi="Times New Roman" w:cs="Times New Roman"/>
          <w:color w:val="2C2D30"/>
          <w:sz w:val="28"/>
          <w:szCs w:val="28"/>
        </w:rPr>
        <w:br/>
      </w:r>
      <w:r w:rsidRPr="0085430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Составьте шаблон дизайна эксперимента для гипотезы, которая набрала больше всего баллов в практическом задании предыдущего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 </w:t>
      </w:r>
      <w:r w:rsidRPr="00854309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урока</w:t>
      </w:r>
    </w:p>
    <w:p w:rsidR="00B600F2" w:rsidRDefault="00B600F2" w:rsidP="00854309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</w:p>
    <w:p w:rsidR="00B600F2" w:rsidRDefault="00B600F2" w:rsidP="00B600F2">
      <w:pPr>
        <w:jc w:val="center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  <w:r w:rsidRPr="00B600F2"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  <w:t>Шаблон дизайна эксперимента</w:t>
      </w:r>
    </w:p>
    <w:p w:rsidR="00B600F2" w:rsidRDefault="00B600F2" w:rsidP="00B600F2">
      <w:pPr>
        <w:jc w:val="center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</w:p>
    <w:p w:rsidR="00B600F2" w:rsidRPr="00B600F2" w:rsidRDefault="00B600F2" w:rsidP="00B600F2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 w:rsidRPr="00B600F2"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>Гипотеза:</w:t>
      </w:r>
    </w:p>
    <w:p w:rsidR="00EA1BE1" w:rsidRPr="000A481E" w:rsidRDefault="00EA1BE1" w:rsidP="00EA1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Если на главно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й</w:t>
      </w: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странице уберем блок Магазины, а заменить на блок Популярные товары </w:t>
      </w:r>
      <w:proofErr w:type="gramStart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и  Акции</w:t>
      </w:r>
      <w:proofErr w:type="gramEnd"/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, то мы увеличим конверсию в заказ на 2%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,</w:t>
      </w:r>
      <w:r w:rsidRPr="000A481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потому что уберем ненужные блоки с главной страницы, а направим внимание клиента на товар</w:t>
      </w:r>
    </w:p>
    <w:p w:rsidR="00B600F2" w:rsidRPr="00B600F2" w:rsidRDefault="00B600F2" w:rsidP="00B600F2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 w:rsidRPr="00B600F2"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>Что делаем:</w:t>
      </w:r>
    </w:p>
    <w:p w:rsidR="00B600F2" w:rsidRPr="00B600F2" w:rsidRDefault="00B600F2" w:rsidP="00B600F2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B600F2">
        <w:rPr>
          <w:rFonts w:ascii="Times New Roman" w:hAnsi="Times New Roman" w:cs="Times New Roman"/>
          <w:color w:val="2C2D30"/>
          <w:sz w:val="28"/>
          <w:szCs w:val="28"/>
          <w:u w:val="single"/>
          <w:shd w:val="clear" w:color="auto" w:fill="FFFFFF"/>
        </w:rPr>
        <w:t>Контрольная версия:</w:t>
      </w:r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оставляем текущий вид страницы.</w:t>
      </w:r>
    </w:p>
    <w:p w:rsidR="00EA1BE1" w:rsidRDefault="00B600F2" w:rsidP="00B600F2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B600F2">
        <w:rPr>
          <w:rFonts w:ascii="Times New Roman" w:hAnsi="Times New Roman" w:cs="Times New Roman"/>
          <w:color w:val="2C2D30"/>
          <w:sz w:val="28"/>
          <w:szCs w:val="28"/>
          <w:u w:val="single"/>
          <w:shd w:val="clear" w:color="auto" w:fill="FFFFFF"/>
        </w:rPr>
        <w:t>Тестовая версия:</w:t>
      </w:r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</w:t>
      </w:r>
      <w:r w:rsidR="00EA1BE1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убираем блок</w:t>
      </w:r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«</w:t>
      </w:r>
      <w:r w:rsidR="00EA1BE1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Магазины</w:t>
      </w:r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»</w:t>
      </w:r>
      <w:r w:rsidR="00EA1BE1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, заменяем на блоки Популярные товары и Акции</w:t>
      </w:r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</w:t>
      </w:r>
    </w:p>
    <w:p w:rsidR="00B600F2" w:rsidRPr="00B600F2" w:rsidRDefault="00B600F2" w:rsidP="00B600F2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 w:rsidRPr="00B600F2"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 xml:space="preserve">На каких пользователях тестируем: </w:t>
      </w:r>
    </w:p>
    <w:p w:rsidR="00B600F2" w:rsidRPr="00B600F2" w:rsidRDefault="00EA1BE1" w:rsidP="00B600F2">
      <w:p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На 20% всех</w:t>
      </w:r>
      <w:r w:rsidR="00B600F2"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пользовател</w:t>
      </w: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ей</w:t>
      </w:r>
    </w:p>
    <w:p w:rsidR="00B600F2" w:rsidRPr="00B600F2" w:rsidRDefault="00B600F2" w:rsidP="00B600F2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 w:rsidRPr="00B600F2"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>Метрики:</w:t>
      </w:r>
    </w:p>
    <w:p w:rsidR="00B600F2" w:rsidRPr="00B600F2" w:rsidRDefault="00B600F2" w:rsidP="00EA1BE1">
      <w:pPr>
        <w:numPr>
          <w:ilvl w:val="0"/>
          <w:numId w:val="7"/>
        </w:num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Процент конверсий в заявку (%CR) — </w:t>
      </w:r>
      <w:proofErr w:type="spellStart"/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primary</w:t>
      </w:r>
      <w:proofErr w:type="spellEnd"/>
    </w:p>
    <w:p w:rsidR="00B600F2" w:rsidRDefault="00B600F2" w:rsidP="00EA1BE1">
      <w:pPr>
        <w:numPr>
          <w:ilvl w:val="0"/>
          <w:numId w:val="7"/>
        </w:num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Процент показателя отказов — </w:t>
      </w:r>
      <w:proofErr w:type="spellStart"/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secondary</w:t>
      </w:r>
      <w:proofErr w:type="spellEnd"/>
    </w:p>
    <w:p w:rsidR="00C15897" w:rsidRDefault="00C15897" w:rsidP="00EA1BE1">
      <w:pPr>
        <w:numPr>
          <w:ilvl w:val="0"/>
          <w:numId w:val="7"/>
        </w:num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Среднее время на странице </w:t>
      </w:r>
      <w:r w:rsidR="00B600F2"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— </w:t>
      </w:r>
      <w:proofErr w:type="spellStart"/>
      <w:r w:rsidR="00B600F2"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secondary</w:t>
      </w:r>
      <w:proofErr w:type="spellEnd"/>
    </w:p>
    <w:p w:rsidR="0097352A" w:rsidRPr="0097352A" w:rsidRDefault="00C15897" w:rsidP="00686B6C">
      <w:pPr>
        <w:numPr>
          <w:ilvl w:val="0"/>
          <w:numId w:val="7"/>
        </w:num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Показатель </w:t>
      </w:r>
      <w:r w:rsidR="0097352A" w:rsidRPr="0097352A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глубины просмотра </w:t>
      </w:r>
      <w:r w:rsidR="00B600F2"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— </w:t>
      </w:r>
      <w:proofErr w:type="spellStart"/>
      <w:r w:rsidR="00B600F2"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secondary</w:t>
      </w:r>
      <w:proofErr w:type="spellEnd"/>
      <w:r w:rsidR="0097352A" w:rsidRPr="00B600F2"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 xml:space="preserve"> </w:t>
      </w:r>
    </w:p>
    <w:p w:rsidR="00B600F2" w:rsidRPr="00B600F2" w:rsidRDefault="00B600F2" w:rsidP="0097352A">
      <w:pPr>
        <w:rPr>
          <w:rFonts w:ascii="Times New Roman" w:hAnsi="Times New Roman" w:cs="Times New Roman"/>
          <w:b/>
          <w:color w:val="2C2D30"/>
          <w:sz w:val="28"/>
          <w:szCs w:val="28"/>
          <w:u w:val="single"/>
          <w:shd w:val="clear" w:color="auto" w:fill="FFFFFF"/>
        </w:rPr>
      </w:pPr>
      <w:r w:rsidRPr="00B600F2">
        <w:rPr>
          <w:rFonts w:ascii="Times New Roman" w:hAnsi="Times New Roman" w:cs="Times New Roman"/>
          <w:b/>
          <w:bCs/>
          <w:color w:val="2C2D30"/>
          <w:sz w:val="28"/>
          <w:szCs w:val="28"/>
          <w:u w:val="single"/>
          <w:shd w:val="clear" w:color="auto" w:fill="FFFFFF"/>
        </w:rPr>
        <w:t xml:space="preserve">План действий: </w:t>
      </w:r>
    </w:p>
    <w:p w:rsidR="00B600F2" w:rsidRPr="00B600F2" w:rsidRDefault="00B600F2" w:rsidP="00EA1BE1">
      <w:pPr>
        <w:numPr>
          <w:ilvl w:val="0"/>
          <w:numId w:val="8"/>
        </w:numPr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</w:pPr>
      <w:r w:rsidRPr="00B600F2">
        <w:rPr>
          <w:rFonts w:ascii="Times New Roman" w:hAnsi="Times New Roman" w:cs="Times New Roman"/>
          <w:bCs/>
          <w:color w:val="2C2D30"/>
          <w:sz w:val="28"/>
          <w:szCs w:val="28"/>
          <w:shd w:val="clear" w:color="auto" w:fill="FFFFFF"/>
        </w:rPr>
        <w:t>Если</w:t>
      </w:r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наш эксперимент будет </w:t>
      </w:r>
      <w:proofErr w:type="gramStart"/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положительным</w:t>
      </w:r>
      <w:proofErr w:type="gramEnd"/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и мы зафиксируем ожидаемое улучшение в ключевых метриках и не посадим добавочные, </w:t>
      </w:r>
      <w:bookmarkStart w:id="0" w:name="_GoBack"/>
      <w:bookmarkEnd w:id="0"/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>то масштабируем изменение и «выкатываем» его на всех пользователей</w:t>
      </w:r>
    </w:p>
    <w:p w:rsidR="00B600F2" w:rsidRPr="0097352A" w:rsidRDefault="00B600F2" w:rsidP="00B537CE">
      <w:pPr>
        <w:numPr>
          <w:ilvl w:val="0"/>
          <w:numId w:val="8"/>
        </w:numPr>
        <w:jc w:val="center"/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  <w:r w:rsidRPr="00B600F2">
        <w:rPr>
          <w:rFonts w:ascii="Times New Roman" w:hAnsi="Times New Roman" w:cs="Times New Roman"/>
          <w:bCs/>
          <w:color w:val="2C2D30"/>
          <w:sz w:val="28"/>
          <w:szCs w:val="28"/>
          <w:shd w:val="clear" w:color="auto" w:fill="FFFFFF"/>
        </w:rPr>
        <w:lastRenderedPageBreak/>
        <w:t>Если</w:t>
      </w:r>
      <w:r w:rsidRPr="00B600F2">
        <w:rPr>
          <w:rFonts w:ascii="Times New Roman" w:hAnsi="Times New Roman" w:cs="Times New Roman"/>
          <w:color w:val="2C2D30"/>
          <w:sz w:val="28"/>
          <w:szCs w:val="28"/>
          <w:shd w:val="clear" w:color="auto" w:fill="FFFFFF"/>
        </w:rPr>
        <w:t xml:space="preserve"> основные метрики падают или растут недостаточно, либо добавочные метрики падают, откатываем эксперимент</w:t>
      </w:r>
    </w:p>
    <w:p w:rsidR="00B600F2" w:rsidRPr="00B600F2" w:rsidRDefault="00B600F2" w:rsidP="00B600F2">
      <w:pPr>
        <w:rPr>
          <w:rFonts w:ascii="Times New Roman" w:hAnsi="Times New Roman" w:cs="Times New Roman"/>
          <w:b/>
          <w:color w:val="2C2D30"/>
          <w:sz w:val="28"/>
          <w:szCs w:val="28"/>
          <w:shd w:val="clear" w:color="auto" w:fill="FFFFFF"/>
        </w:rPr>
      </w:pPr>
    </w:p>
    <w:sectPr w:rsidR="00B600F2" w:rsidRPr="00B60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BM Plex 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08F9"/>
    <w:multiLevelType w:val="hybridMultilevel"/>
    <w:tmpl w:val="E6F61F04"/>
    <w:lvl w:ilvl="0" w:tplc="4D644B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" w:hAnsi="IBM Plex Sans" w:hint="default"/>
      </w:rPr>
    </w:lvl>
    <w:lvl w:ilvl="1" w:tplc="4292310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575A85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34F622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A7D28F2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21040D7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C9E027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90BE76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C87855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1" w15:restartNumberingAfterBreak="0">
    <w:nsid w:val="20162D2C"/>
    <w:multiLevelType w:val="hybridMultilevel"/>
    <w:tmpl w:val="44AE30A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6CBB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66DEC6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F52E71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4ED83C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3300D5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B5FE770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2564C24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EA4876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2" w15:restartNumberingAfterBreak="0">
    <w:nsid w:val="3F47357E"/>
    <w:multiLevelType w:val="hybridMultilevel"/>
    <w:tmpl w:val="C882AF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92310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575A85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34F6228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A7D28F2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21040D7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C9E027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90BE763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C87855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3" w15:restartNumberingAfterBreak="0">
    <w:nsid w:val="420A2BC8"/>
    <w:multiLevelType w:val="hybridMultilevel"/>
    <w:tmpl w:val="C21426E0"/>
    <w:lvl w:ilvl="0" w:tplc="DA0ED9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" w:hAnsi="IBM Plex Sans" w:hint="default"/>
      </w:rPr>
    </w:lvl>
    <w:lvl w:ilvl="1" w:tplc="85E2B4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0B24CB4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C164BD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A63480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A78E61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5C5226D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3168B3A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82DEF3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4" w15:restartNumberingAfterBreak="0">
    <w:nsid w:val="480364A0"/>
    <w:multiLevelType w:val="hybridMultilevel"/>
    <w:tmpl w:val="45288D6E"/>
    <w:lvl w:ilvl="0" w:tplc="54489F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" w:hAnsi="IBM Plex Sans" w:hint="default"/>
      </w:rPr>
    </w:lvl>
    <w:lvl w:ilvl="1" w:tplc="26B08A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9964267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D0781D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C3286C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F72AC91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295865F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B4047E3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70ECA6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5" w15:restartNumberingAfterBreak="0">
    <w:nsid w:val="58A162CA"/>
    <w:multiLevelType w:val="hybridMultilevel"/>
    <w:tmpl w:val="3D764E72"/>
    <w:lvl w:ilvl="0" w:tplc="BB821E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" w:hAnsi="IBM Plex Sans" w:hint="default"/>
      </w:rPr>
    </w:lvl>
    <w:lvl w:ilvl="1" w:tplc="FD6CBB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66DEC6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F52E71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4ED83C1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3300D5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B5FE770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2564C24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EA4876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6" w15:restartNumberingAfterBreak="0">
    <w:nsid w:val="74A1240B"/>
    <w:multiLevelType w:val="hybridMultilevel"/>
    <w:tmpl w:val="E07C8046"/>
    <w:lvl w:ilvl="0" w:tplc="98ACA90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" w:hAnsi="IBM Plex Sans" w:hint="default"/>
      </w:rPr>
    </w:lvl>
    <w:lvl w:ilvl="1" w:tplc="EE4A262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D4F69C3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1CE00A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F4A4C14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94EC9F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79427FC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6062FA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3C749D2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abstractNum w:abstractNumId="7" w15:restartNumberingAfterBreak="0">
    <w:nsid w:val="7E776AC7"/>
    <w:multiLevelType w:val="hybridMultilevel"/>
    <w:tmpl w:val="5378ABEE"/>
    <w:lvl w:ilvl="0" w:tplc="3DE87F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IBM Plex Sans" w:hAnsi="IBM Plex Sans" w:hint="default"/>
      </w:rPr>
    </w:lvl>
    <w:lvl w:ilvl="1" w:tplc="DA64A95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IBM Plex Sans" w:hAnsi="IBM Plex Sans" w:hint="default"/>
      </w:rPr>
    </w:lvl>
    <w:lvl w:ilvl="2" w:tplc="728608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IBM Plex Sans" w:hAnsi="IBM Plex Sans" w:hint="default"/>
      </w:rPr>
    </w:lvl>
    <w:lvl w:ilvl="3" w:tplc="0C128A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IBM Plex Sans" w:hAnsi="IBM Plex Sans" w:hint="default"/>
      </w:rPr>
    </w:lvl>
    <w:lvl w:ilvl="4" w:tplc="10E6B1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IBM Plex Sans" w:hAnsi="IBM Plex Sans" w:hint="default"/>
      </w:rPr>
    </w:lvl>
    <w:lvl w:ilvl="5" w:tplc="0E6C814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IBM Plex Sans" w:hAnsi="IBM Plex Sans" w:hint="default"/>
      </w:rPr>
    </w:lvl>
    <w:lvl w:ilvl="6" w:tplc="4F12E4D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IBM Plex Sans" w:hAnsi="IBM Plex Sans" w:hint="default"/>
      </w:rPr>
    </w:lvl>
    <w:lvl w:ilvl="7" w:tplc="C22A53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IBM Plex Sans" w:hAnsi="IBM Plex Sans" w:hint="default"/>
      </w:rPr>
    </w:lvl>
    <w:lvl w:ilvl="8" w:tplc="C61A53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IBM Plex Sans" w:hAnsi="IBM Plex San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1E"/>
    <w:rsid w:val="000A481E"/>
    <w:rsid w:val="00854309"/>
    <w:rsid w:val="0097352A"/>
    <w:rsid w:val="009D5F0A"/>
    <w:rsid w:val="00B600F2"/>
    <w:rsid w:val="00B73AF3"/>
    <w:rsid w:val="00C15897"/>
    <w:rsid w:val="00EA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63D7D"/>
  <w15:chartTrackingRefBased/>
  <w15:docId w15:val="{23ADCF4E-8B34-4CE0-B671-2CBDFBE7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0A48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0A481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A4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81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A481E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B73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B73AF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B600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0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883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371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3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7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71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28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4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79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1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</dc:creator>
  <cp:keywords/>
  <dc:description/>
  <cp:lastModifiedBy>Роман С</cp:lastModifiedBy>
  <cp:revision>4</cp:revision>
  <dcterms:created xsi:type="dcterms:W3CDTF">2023-08-03T20:53:00Z</dcterms:created>
  <dcterms:modified xsi:type="dcterms:W3CDTF">2023-08-03T21:44:00Z</dcterms:modified>
</cp:coreProperties>
</file>