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F70448" w14:textId="77777777" w:rsidR="00A1675F" w:rsidRDefault="00000000">
      <w:pPr>
        <w:spacing w:after="60"/>
      </w:pPr>
      <w:r>
        <w:rPr>
          <w:b/>
          <w:bCs/>
          <w:color w:val="1F4E5F"/>
          <w:sz w:val="30"/>
          <w:szCs w:val="30"/>
        </w:rPr>
        <w:t>AMPHORA — INTERNAL MEMORANDUM</w:t>
      </w:r>
    </w:p>
    <w:p w14:paraId="056C03FE" w14:textId="77777777" w:rsidR="00A1675F" w:rsidRDefault="00A1675F">
      <w:pPr>
        <w:pBdr>
          <w:bottom w:val="single" w:sz="8" w:space="1" w:color="1F4E5F"/>
        </w:pBdr>
        <w:spacing w:after="160"/>
      </w:pPr>
    </w:p>
    <w:p w14:paraId="1BE1E5D7" w14:textId="77777777" w:rsidR="00A1675F" w:rsidRDefault="00000000">
      <w:r>
        <w:rPr>
          <w:b/>
          <w:bCs/>
        </w:rPr>
        <w:t xml:space="preserve">TO: </w:t>
      </w:r>
      <w:r>
        <w:t>All hands / strategic file</w:t>
      </w:r>
    </w:p>
    <w:p w14:paraId="443B3648" w14:textId="77777777" w:rsidR="00A1675F" w:rsidRDefault="00000000">
      <w:r>
        <w:rPr>
          <w:b/>
          <w:bCs/>
        </w:rPr>
        <w:t xml:space="preserve">FROM: </w:t>
      </w:r>
      <w:r>
        <w:t>Jeff, CEO</w:t>
      </w:r>
    </w:p>
    <w:p w14:paraId="2E9E4572" w14:textId="77777777" w:rsidR="00A1675F" w:rsidRDefault="00000000">
      <w:r>
        <w:rPr>
          <w:b/>
          <w:bCs/>
        </w:rPr>
        <w:t xml:space="preserve">DATE: </w:t>
      </w:r>
      <w:r>
        <w:t>July 8, 2026</w:t>
      </w:r>
    </w:p>
    <w:p w14:paraId="08DADF5D" w14:textId="77777777" w:rsidR="00A1675F" w:rsidRDefault="00000000">
      <w:pPr>
        <w:spacing w:after="200"/>
      </w:pPr>
      <w:r>
        <w:rPr>
          <w:b/>
          <w:bCs/>
        </w:rPr>
        <w:t xml:space="preserve">RE: </w:t>
      </w:r>
      <w:r>
        <w:t>State of the MVP20 formulation engine, honest capability boundaries, and the roadmap to lab-in-the-loop feedback</w:t>
      </w:r>
    </w:p>
    <w:p w14:paraId="4FB7A80F" w14:textId="77777777" w:rsidR="00A1675F" w:rsidRDefault="00000000">
      <w:pPr>
        <w:pStyle w:val="Heading1"/>
      </w:pPr>
      <w:r>
        <w:t>1. Purpose</w:t>
      </w:r>
    </w:p>
    <w:p w14:paraId="53B726E8" w14:textId="77777777" w:rsidR="00A1675F" w:rsidRDefault="00000000">
      <w:r>
        <w:t>This memo consolidates the current MVP20/v5 document set (founder, customer, technical appendix, molecule engine, split report, progress assessment) and the AMP-EP-0001 white paper into a single shared understanding: what the engine actually does, what it does not do, and the sequence of work that turns it into a closed lab-in-the-loop optimization system. Use it to align internal language with our own claim-discipline standards.</w:t>
      </w:r>
    </w:p>
    <w:p w14:paraId="345C7BDB" w14:textId="77777777" w:rsidR="00A1675F" w:rsidRDefault="00000000">
      <w:pPr>
        <w:pStyle w:val="Heading1"/>
      </w:pPr>
      <w:r>
        <w:t>2. Where We Are — Honest State</w:t>
      </w:r>
    </w:p>
    <w:p w14:paraId="5B0857C6" w14:textId="77777777" w:rsidR="00A1675F" w:rsidRDefault="00000000">
      <w:r>
        <w:rPr>
          <w:b/>
          <w:bCs/>
        </w:rPr>
        <w:t xml:space="preserve">The software works; the product is unproven. </w:t>
      </w:r>
      <w:r>
        <w:t>Current honest score: 46.1/100 (artifact readiness). Code-only ceiling: ~48.7. First accepted external evidence package: ~75.9. The gap between those numbers cannot be closed by more internal iteration — only by external evidence.</w:t>
      </w:r>
    </w:p>
    <w:p w14:paraId="6A1C3140" w14:textId="77777777" w:rsidR="00A1675F" w:rsidRDefault="00000000">
      <w:pPr>
        <w:pStyle w:val="Heading2"/>
      </w:pPr>
      <w:r>
        <w:t>What is real</w:t>
      </w:r>
    </w:p>
    <w:p w14:paraId="569A5AC9" w14:textId="77777777" w:rsidR="00A1675F" w:rsidRDefault="00000000">
      <w:pPr>
        <w:pStyle w:val="ListParagraph"/>
        <w:numPr>
          <w:ilvl w:val="0"/>
          <w:numId w:val="2"/>
        </w:numPr>
        <w:spacing w:after="60"/>
      </w:pPr>
      <w:r>
        <w:rPr>
          <w:b/>
          <w:bCs/>
        </w:rPr>
        <w:t xml:space="preserve">Deterministic core. </w:t>
      </w:r>
      <w:r>
        <w:t>Formulation arithmetic (solids, VOC, density, PVC/CPVC, stoichiometry) recomputes exactly; the enumeration funnel (4,320 → 2,444 hard-gate survivors) is reproducible and hash-traced.</w:t>
      </w:r>
    </w:p>
    <w:p w14:paraId="7A99B87E" w14:textId="77777777" w:rsidR="00A1675F" w:rsidRDefault="00000000">
      <w:pPr>
        <w:pStyle w:val="ListParagraph"/>
        <w:numPr>
          <w:ilvl w:val="0"/>
          <w:numId w:val="2"/>
        </w:numPr>
        <w:spacing w:after="60"/>
      </w:pPr>
      <w:r>
        <w:rPr>
          <w:b/>
          <w:bCs/>
        </w:rPr>
        <w:t xml:space="preserve">Exact molecular arithmetic. </w:t>
      </w:r>
      <w:r>
        <w:t>EEW/AHEW-from-structure is validated out-of-sample on monodisperse molecules; oligomeric commercial products are correctly treated as measured-only.</w:t>
      </w:r>
    </w:p>
    <w:p w14:paraId="7647B40E" w14:textId="77777777" w:rsidR="00A1675F" w:rsidRDefault="00000000">
      <w:pPr>
        <w:pStyle w:val="ListParagraph"/>
        <w:numPr>
          <w:ilvl w:val="0"/>
          <w:numId w:val="2"/>
        </w:numPr>
        <w:spacing w:after="60"/>
      </w:pPr>
      <w:r>
        <w:rPr>
          <w:b/>
          <w:bCs/>
        </w:rPr>
        <w:t xml:space="preserve">Convergent design. </w:t>
      </w:r>
      <w:r>
        <w:t>The engine (Envelope-65) and the AMP-EP-0001 white paper independently derive the same DGEBA + reactive-polyamide chemistry with near-identical arithmetic — mutual corroboration of the math.</w:t>
      </w:r>
    </w:p>
    <w:p w14:paraId="37D367B6" w14:textId="77777777" w:rsidR="00A1675F" w:rsidRDefault="00000000">
      <w:pPr>
        <w:pStyle w:val="ListParagraph"/>
        <w:numPr>
          <w:ilvl w:val="0"/>
          <w:numId w:val="2"/>
        </w:numPr>
        <w:spacing w:after="60"/>
      </w:pPr>
      <w:r>
        <w:rPr>
          <w:b/>
          <w:bCs/>
        </w:rPr>
        <w:t xml:space="preserve">Governance architecture (v5 split). </w:t>
      </w:r>
      <w:r>
        <w:t>27 contract-first repos; every score carries an authority tier and optimizer semantics; failed models cannot rank; evidence-only rows cannot pose as objectives; the optimizer fails closed. This solves our historical failure mode: artifact volume masquerading as progress.</w:t>
      </w:r>
    </w:p>
    <w:p w14:paraId="443E76E0" w14:textId="77777777" w:rsidR="00A1675F" w:rsidRDefault="00000000">
      <w:pPr>
        <w:pStyle w:val="Heading2"/>
      </w:pPr>
      <w:r>
        <w:t>What is not</w:t>
      </w:r>
    </w:p>
    <w:p w14:paraId="2B634D56" w14:textId="77777777" w:rsidR="00A1675F" w:rsidRDefault="00000000">
      <w:pPr>
        <w:pStyle w:val="ListParagraph"/>
        <w:numPr>
          <w:ilvl w:val="0"/>
          <w:numId w:val="2"/>
        </w:numPr>
        <w:spacing w:after="60"/>
      </w:pPr>
      <w:r>
        <w:rPr>
          <w:b/>
          <w:bCs/>
        </w:rPr>
        <w:t xml:space="preserve">Zero external evidence. </w:t>
      </w:r>
      <w:r>
        <w:t>No wet-lab data, no supplier declarations/</w:t>
      </w:r>
      <w:proofErr w:type="spellStart"/>
      <w:r>
        <w:t>CoAs</w:t>
      </w:r>
      <w:proofErr w:type="spellEnd"/>
      <w:r>
        <w:t>, no counsel FTO, no QPL/procurement path. All six external lanes are flat at zero.</w:t>
      </w:r>
    </w:p>
    <w:p w14:paraId="1B9AAD8B" w14:textId="77777777" w:rsidR="00A1675F" w:rsidRDefault="00000000">
      <w:pPr>
        <w:pStyle w:val="ListParagraph"/>
        <w:numPr>
          <w:ilvl w:val="0"/>
          <w:numId w:val="2"/>
        </w:numPr>
        <w:spacing w:after="60"/>
      </w:pPr>
      <w:r>
        <w:rPr>
          <w:b/>
          <w:bCs/>
        </w:rPr>
        <w:t xml:space="preserve">The decisive properties are unpredicted. </w:t>
      </w:r>
      <w:r>
        <w:t>Corrosion, pot life, adhesion, shelf life — the models are failed or no-authority; they are bench-gated by physics, in both the engine and the white paper.</w:t>
      </w:r>
    </w:p>
    <w:p w14:paraId="1800640C" w14:textId="77777777" w:rsidR="00A1675F" w:rsidRDefault="00000000">
      <w:pPr>
        <w:pStyle w:val="ListParagraph"/>
        <w:numPr>
          <w:ilvl w:val="0"/>
          <w:numId w:val="2"/>
        </w:numPr>
        <w:spacing w:after="60"/>
      </w:pPr>
      <w:r>
        <w:rPr>
          <w:b/>
          <w:bCs/>
        </w:rPr>
        <w:t xml:space="preserve">Discovery is thinner than the language suggests. </w:t>
      </w:r>
      <w:r>
        <w:t xml:space="preserve">The “de novo” generator is rule-based </w:t>
      </w:r>
      <w:proofErr w:type="spellStart"/>
      <w:r>
        <w:t>glycidylation</w:t>
      </w:r>
      <w:proofErr w:type="spellEnd"/>
      <w:r>
        <w:t xml:space="preserve"> over a curated backbone list scored on EEW alone; the rediscovery of the qualified chemistry is near-circular (the spec defines the answer). Our own documents disclose this — keep it that way.</w:t>
      </w:r>
    </w:p>
    <w:p w14:paraId="620ADCD3" w14:textId="77777777" w:rsidR="00A1675F" w:rsidRDefault="00000000">
      <w:pPr>
        <w:pStyle w:val="Heading1"/>
      </w:pPr>
      <w:r>
        <w:lastRenderedPageBreak/>
        <w:t>3. Corrections to Circulating Assumptions</w:t>
      </w:r>
    </w:p>
    <w:p w14:paraId="55C67AE5" w14:textId="77777777" w:rsidR="00A1675F" w:rsidRDefault="00000000">
      <w:pPr>
        <w:pStyle w:val="ListParagraph"/>
        <w:numPr>
          <w:ilvl w:val="0"/>
          <w:numId w:val="2"/>
        </w:numPr>
        <w:spacing w:after="60"/>
      </w:pPr>
      <w:r>
        <w:rPr>
          <w:b/>
          <w:bCs/>
        </w:rPr>
        <w:t xml:space="preserve">No patent validates the recipe. </w:t>
      </w:r>
      <w:r>
        <w:t>AMP-EP-0001 contains no patent citation of any kind. Its anchors are MIL-DTL-24441 (a military specification, not a patent) and long-off-patent commercial product classes. Even if a process patent existed, patents are legal disclosures, not performance evidence; FTO has not been performed. Validation status is unchanged: zero wet-lab data.</w:t>
      </w:r>
    </w:p>
    <w:p w14:paraId="3A6580C7" w14:textId="77777777" w:rsidR="00A1675F" w:rsidRDefault="00000000">
      <w:pPr>
        <w:pStyle w:val="ListParagraph"/>
        <w:numPr>
          <w:ilvl w:val="0"/>
          <w:numId w:val="2"/>
        </w:numPr>
        <w:spacing w:after="60"/>
      </w:pPr>
      <w:r>
        <w:rPr>
          <w:b/>
          <w:bCs/>
        </w:rPr>
        <w:t xml:space="preserve">The engine is not yet generative AI. </w:t>
      </w:r>
      <w:r>
        <w:t xml:space="preserve">Under the hood: closed-form coating physics, </w:t>
      </w:r>
      <w:proofErr w:type="spellStart"/>
      <w:r>
        <w:t>RDKit</w:t>
      </w:r>
      <w:proofErr w:type="spellEnd"/>
      <w:r>
        <w:t xml:space="preserve"> structural arithmetic, rule-based enumeration, and a dormant Gaussian-process (Bayesian) optimizer awaiting ≥5 measured points. The only GNN present is an untrained strawman in a model tournament. The symbolic spine (source ledger, provenance, model cards) exists; the neural half does not. Calling the current system “AI-driven discovery” externally would overclaim.</w:t>
      </w:r>
    </w:p>
    <w:p w14:paraId="630A271C" w14:textId="77777777" w:rsidR="00A1675F" w:rsidRDefault="00000000">
      <w:pPr>
        <w:pStyle w:val="ListParagraph"/>
        <w:numPr>
          <w:ilvl w:val="0"/>
          <w:numId w:val="2"/>
        </w:numPr>
        <w:spacing w:after="60"/>
      </w:pPr>
      <w:r>
        <w:rPr>
          <w:b/>
          <w:bCs/>
        </w:rPr>
        <w:t xml:space="preserve">An NSKG raises hypothesis quality, not the evidence ceiling. </w:t>
      </w:r>
      <w:r>
        <w:t>A neuro-symbolic knowledge graph would warm-start priors from literature, improve candidate ranking, and reduce the number of CRO cycles to convergence. It would not convert any prediction into evidence — its outputs would still enter at MODELED_DIRECTIONAL / LIMITED_SANITY tiers. Value = fewer bench cycles, not better theoretical truth.</w:t>
      </w:r>
    </w:p>
    <w:p w14:paraId="178B4EB1" w14:textId="77777777" w:rsidR="00A1675F" w:rsidRDefault="00000000">
      <w:pPr>
        <w:pStyle w:val="ListParagraph"/>
        <w:numPr>
          <w:ilvl w:val="0"/>
          <w:numId w:val="2"/>
        </w:numPr>
        <w:spacing w:after="60"/>
      </w:pPr>
      <w:r>
        <w:rPr>
          <w:b/>
          <w:bCs/>
        </w:rPr>
        <w:t xml:space="preserve">Domain generalization is a chassis claim, not a science claim. </w:t>
      </w:r>
      <w:r>
        <w:t>Roughly half the repos (contracts, ledger, evidence intake, red-team, provenance, optimizer orchestration) are domain-agnostic governance. The science half (paint arithmetic, SMILES representation, coatings rules) does not transfer to batteries, alloys, or 2D materials — each needs a new domain pack (representation, simulators, materials library, validation pipeline). Honest pitch: “we built the operating system and proved it on coatings.”</w:t>
      </w:r>
    </w:p>
    <w:p w14:paraId="565696E5" w14:textId="77777777" w:rsidR="00A1675F" w:rsidRDefault="00000000">
      <w:pPr>
        <w:pStyle w:val="Heading1"/>
      </w:pPr>
      <w:r>
        <w:t>4. Strategic Thesis</w:t>
      </w:r>
    </w:p>
    <w:p w14:paraId="52E7AAAE" w14:textId="77777777" w:rsidR="00A1675F" w:rsidRDefault="00000000">
      <w:r>
        <w:rPr>
          <w:b/>
          <w:bCs/>
        </w:rPr>
        <w:t xml:space="preserve">The product is the governed lab-in-the-loop, not the prediction. </w:t>
      </w:r>
      <w:r>
        <w:t>The scarce, expensive resource in materials R&amp;D is well-designed, falsifiable experiments — not candidate ideas. What the engine already does well is exactly that: bracket dominant uncertainties (the V0–V5 ladder), lock falsification criteria in advance, package CRO-executable protocols, and define machine-checkable evidence acceptance. That capability transfers across domains far better than property prediction does, and it is what the auto-created domain-pack concept should industrialize: query → drafted domain pack → governed first experiment campaign → data returns through evidence intake → optimizer learns. Every auto-generated rule or constant enters at low authority and passes the source ledger and expert review before money is spent.</w:t>
      </w:r>
    </w:p>
    <w:p w14:paraId="1C8BA6BC" w14:textId="77777777" w:rsidR="00A1675F" w:rsidRDefault="00000000">
      <w:r>
        <w:rPr>
          <w:b/>
          <w:bCs/>
        </w:rPr>
        <w:t xml:space="preserve">Corollary: </w:t>
      </w:r>
      <w:r>
        <w:t>every dollar spent on more internal epochs before the first CRO batch buys traceability, not truth. The progress assessment says this in our own words; the roadmap below acts on it.</w:t>
      </w:r>
    </w:p>
    <w:p w14:paraId="348845C0" w14:textId="77777777" w:rsidR="00A1675F" w:rsidRDefault="00000000">
      <w:pPr>
        <w:pStyle w:val="Heading1"/>
      </w:pPr>
      <w:r>
        <w:t>5. Roadmap — From Static Engine to Lab-in-the-Loop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60"/>
        <w:gridCol w:w="3000"/>
        <w:gridCol w:w="1800"/>
      </w:tblGrid>
      <w:tr w:rsidR="00A1675F" w14:paraId="51BCA92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1F4E5F"/>
            <w:tcMar>
              <w:top w:w="80" w:type="dxa"/>
              <w:left w:w="120" w:type="dxa"/>
              <w:bottom w:w="80" w:type="dxa"/>
              <w:right w:w="120" w:type="dxa"/>
            </w:tcMar>
          </w:tcPr>
          <w:p w14:paraId="6AE8AD37" w14:textId="77777777" w:rsidR="00A1675F" w:rsidRDefault="00000000">
            <w:r>
              <w:rPr>
                <w:b/>
                <w:bCs/>
                <w:color w:val="FFFFFF"/>
                <w:sz w:val="20"/>
                <w:szCs w:val="20"/>
              </w:rPr>
              <w:t>Phase</w:t>
            </w:r>
          </w:p>
        </w:tc>
        <w:tc>
          <w:tcPr>
            <w:tcW w:w="3060" w:type="dxa"/>
            <w:tcBorders>
              <w:top w:val="single" w:sz="1" w:space="0" w:color="BBBBBB"/>
              <w:left w:val="single" w:sz="1" w:space="0" w:color="BBBBBB"/>
              <w:bottom w:val="single" w:sz="1" w:space="0" w:color="BBBBBB"/>
              <w:right w:val="single" w:sz="1" w:space="0" w:color="BBBBBB"/>
            </w:tcBorders>
            <w:shd w:val="clear" w:color="auto" w:fill="1F4E5F"/>
            <w:tcMar>
              <w:top w:w="80" w:type="dxa"/>
              <w:left w:w="120" w:type="dxa"/>
              <w:bottom w:w="80" w:type="dxa"/>
              <w:right w:w="120" w:type="dxa"/>
            </w:tcMar>
          </w:tcPr>
          <w:p w14:paraId="7B4A0858" w14:textId="77777777" w:rsidR="00A1675F" w:rsidRDefault="00000000">
            <w:r>
              <w:rPr>
                <w:b/>
                <w:bCs/>
                <w:color w:val="FFFFFF"/>
                <w:sz w:val="20"/>
                <w:szCs w:val="20"/>
              </w:rPr>
              <w:t>Key actions</w:t>
            </w:r>
          </w:p>
        </w:tc>
        <w:tc>
          <w:tcPr>
            <w:tcW w:w="3000" w:type="dxa"/>
            <w:tcBorders>
              <w:top w:val="single" w:sz="1" w:space="0" w:color="BBBBBB"/>
              <w:left w:val="single" w:sz="1" w:space="0" w:color="BBBBBB"/>
              <w:bottom w:val="single" w:sz="1" w:space="0" w:color="BBBBBB"/>
              <w:right w:val="single" w:sz="1" w:space="0" w:color="BBBBBB"/>
            </w:tcBorders>
            <w:shd w:val="clear" w:color="auto" w:fill="1F4E5F"/>
            <w:tcMar>
              <w:top w:w="80" w:type="dxa"/>
              <w:left w:w="120" w:type="dxa"/>
              <w:bottom w:w="80" w:type="dxa"/>
              <w:right w:w="120" w:type="dxa"/>
            </w:tcMar>
          </w:tcPr>
          <w:p w14:paraId="622F116D" w14:textId="77777777" w:rsidR="00A1675F" w:rsidRDefault="00000000">
            <w:r>
              <w:rPr>
                <w:b/>
                <w:bCs/>
                <w:color w:val="FFFFFF"/>
                <w:sz w:val="20"/>
                <w:szCs w:val="20"/>
              </w:rPr>
              <w:t>Output</w:t>
            </w:r>
          </w:p>
        </w:tc>
        <w:tc>
          <w:tcPr>
            <w:tcW w:w="1800" w:type="dxa"/>
            <w:tcBorders>
              <w:top w:val="single" w:sz="1" w:space="0" w:color="BBBBBB"/>
              <w:left w:val="single" w:sz="1" w:space="0" w:color="BBBBBB"/>
              <w:bottom w:val="single" w:sz="1" w:space="0" w:color="BBBBBB"/>
              <w:right w:val="single" w:sz="1" w:space="0" w:color="BBBBBB"/>
            </w:tcBorders>
            <w:shd w:val="clear" w:color="auto" w:fill="1F4E5F"/>
            <w:tcMar>
              <w:top w:w="80" w:type="dxa"/>
              <w:left w:w="120" w:type="dxa"/>
              <w:bottom w:w="80" w:type="dxa"/>
              <w:right w:w="120" w:type="dxa"/>
            </w:tcMar>
          </w:tcPr>
          <w:p w14:paraId="42BC6D5F" w14:textId="77777777" w:rsidR="00A1675F" w:rsidRDefault="00000000">
            <w:r>
              <w:rPr>
                <w:b/>
                <w:bCs/>
                <w:color w:val="FFFFFF"/>
                <w:sz w:val="20"/>
                <w:szCs w:val="20"/>
              </w:rPr>
              <w:t>Decision gate</w:t>
            </w:r>
          </w:p>
        </w:tc>
      </w:tr>
      <w:tr w:rsidR="00A1675F" w14:paraId="29D4B21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B14C1A" w14:textId="77777777" w:rsidR="00A1675F" w:rsidRDefault="00000000">
            <w:r>
              <w:rPr>
                <w:sz w:val="20"/>
                <w:szCs w:val="20"/>
              </w:rPr>
              <w:t>0. Ignite (0–30 days)</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C1579D" w14:textId="77777777" w:rsidR="00A1675F" w:rsidRDefault="00000000">
            <w:r>
              <w:rPr>
                <w:sz w:val="20"/>
                <w:szCs w:val="20"/>
              </w:rPr>
              <w:t xml:space="preserve">Fund and place the first CRO falsification batch: V0/V3/V4 (stoichiometry first), plus Envelope-65 / Enhanced-65 / Lineage-60 with side-by-side controls (B117, D5894, D870/immersion, EIS, week-1 </w:t>
            </w:r>
            <w:r>
              <w:rPr>
                <w:sz w:val="20"/>
                <w:szCs w:val="20"/>
              </w:rPr>
              <w:lastRenderedPageBreak/>
              <w:t xml:space="preserve">KU/pot-life). Close supplier declarations (PFAS/TSCA/TAA, SDS/TDS, lot </w:t>
            </w:r>
            <w:proofErr w:type="spellStart"/>
            <w:r>
              <w:rPr>
                <w:sz w:val="20"/>
                <w:szCs w:val="20"/>
              </w:rPr>
              <w:t>CoAs</w:t>
            </w:r>
            <w:proofErr w:type="spellEnd"/>
            <w:r>
              <w:rPr>
                <w:sz w:val="20"/>
                <w:szCs w:val="20"/>
              </w:rPr>
              <w:t xml:space="preserve">) for the exact BOM. Freeze evidence-intake schemas; recompute stoichiometry from </w:t>
            </w:r>
            <w:proofErr w:type="spellStart"/>
            <w:r>
              <w:rPr>
                <w:sz w:val="20"/>
                <w:szCs w:val="20"/>
              </w:rPr>
              <w:t>CoAs</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4AF788" w14:textId="77777777" w:rsidR="00A1675F" w:rsidRDefault="00000000">
            <w:r>
              <w:rPr>
                <w:sz w:val="20"/>
                <w:szCs w:val="20"/>
              </w:rPr>
              <w:lastRenderedPageBreak/>
              <w:t>Executed CRO protocol; signed supplier packet; locked pre-registered pass/kill criteria.</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06D98D" w14:textId="77777777" w:rsidR="00A1675F" w:rsidRDefault="00000000">
            <w:r>
              <w:rPr>
                <w:sz w:val="20"/>
                <w:szCs w:val="20"/>
              </w:rPr>
              <w:t>CRO accepts packet; panels in chamber.</w:t>
            </w:r>
          </w:p>
        </w:tc>
      </w:tr>
      <w:tr w:rsidR="00A1675F" w14:paraId="3B43C95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C0FB37" w14:textId="77777777" w:rsidR="00A1675F" w:rsidRDefault="00000000">
            <w:r>
              <w:rPr>
                <w:sz w:val="20"/>
                <w:szCs w:val="20"/>
              </w:rPr>
              <w:t>1. First loop (30–120 days)</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72452D" w14:textId="77777777" w:rsidR="00A1675F" w:rsidRDefault="00000000">
            <w:r>
              <w:rPr>
                <w:sz w:val="20"/>
                <w:szCs w:val="20"/>
              </w:rPr>
              <w:t xml:space="preserve">Ingest raw CRO data exclusively through evidence-intake-validator. Activate the Gaussian-process optimizer at ≥5 measured points per objective. Run the locked test: barrier index vs. simple heuristics — promote or kill. Train first estimated-tier models (pot-life/KU, </w:t>
            </w:r>
            <w:proofErr w:type="spellStart"/>
            <w:r>
              <w:rPr>
                <w:sz w:val="20"/>
                <w:szCs w:val="20"/>
              </w:rPr>
              <w:t>Tg</w:t>
            </w:r>
            <w:proofErr w:type="spellEnd"/>
            <w:r>
              <w:rPr>
                <w:sz w:val="20"/>
                <w:szCs w:val="20"/>
              </w:rPr>
              <w:t>/viscosity) on measured data; issue model cards; retire failed cards.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D47ACD" w14:textId="77777777" w:rsidR="00A1675F" w:rsidRDefault="00000000">
            <w:r>
              <w:rPr>
                <w:sz w:val="20"/>
                <w:szCs w:val="20"/>
              </w:rPr>
              <w:t>First evidence-backed score (~76 target); first models with earned authority; round-2 candidate slate chosen by the optimizer, not by hand.</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78182A" w14:textId="77777777" w:rsidR="00A1675F" w:rsidRDefault="00000000">
            <w:r>
              <w:rPr>
                <w:sz w:val="20"/>
                <w:szCs w:val="20"/>
              </w:rPr>
              <w:t>Barrier hypothesis promoted or killed; evidence rows move off zero.</w:t>
            </w:r>
          </w:p>
        </w:tc>
      </w:tr>
      <w:tr w:rsidR="00A1675F" w14:paraId="081701D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8EFBE6" w14:textId="77777777" w:rsidR="00A1675F" w:rsidRDefault="00000000">
            <w:r>
              <w:rPr>
                <w:sz w:val="20"/>
                <w:szCs w:val="20"/>
              </w:rPr>
              <w:t>2. Harden the loop (120–210 days)</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62675E" w14:textId="77777777" w:rsidR="00A1675F" w:rsidRDefault="00000000">
            <w:r>
              <w:rPr>
                <w:sz w:val="20"/>
                <w:szCs w:val="20"/>
              </w:rPr>
              <w:t>Red-team v2: attack substance, not language — hostile nulls, adversarial candidates that game single-metric scoring, circularity checks on spec-derived fitness, and an invariant that artifact score cannot rise while evidence score is flat. Run loop rounds 2–3. Open counsel-scoped FTO and map the QPL-24441/NAVSEA qualification path. Begin the NSKG literature spine (coatings + antifouling corpus) in parallel — priors only, low authority.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245F90" w14:textId="77777777" w:rsidR="00A1675F" w:rsidRDefault="00000000">
            <w:r>
              <w:rPr>
                <w:sz w:val="20"/>
                <w:szCs w:val="20"/>
              </w:rPr>
              <w:t>A loop that converges measurably faster each round; legal and procurement lanes opened; red-team guarding results, not just wording.</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72C5B2" w14:textId="77777777" w:rsidR="00A1675F" w:rsidRDefault="00000000">
            <w:r>
              <w:rPr>
                <w:sz w:val="20"/>
                <w:szCs w:val="20"/>
              </w:rPr>
              <w:t>Round-over-round cycle count drops; FTO scoped in writing.</w:t>
            </w:r>
          </w:p>
        </w:tc>
      </w:tr>
      <w:tr w:rsidR="00A1675F" w14:paraId="384291E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AEC6E9" w14:textId="77777777" w:rsidR="00A1675F" w:rsidRDefault="00000000">
            <w:r>
              <w:rPr>
                <w:sz w:val="20"/>
                <w:szCs w:val="20"/>
              </w:rPr>
              <w:t>3. Generalize (6–12 months)</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11CAC0" w14:textId="77777777" w:rsidR="00A1675F" w:rsidRDefault="00000000">
            <w:r>
              <w:rPr>
                <w:sz w:val="20"/>
                <w:szCs w:val="20"/>
              </w:rPr>
              <w:t xml:space="preserve">Prototype the domain-pack generator: auto-drafted representation, cited constants, design rules, test-method anchors, screening DOE, and evidence schema — all entering at low authority with mandatory expert review. Second domain pack: antifouling / foul-release (note: currently unscored — the primer is anticorrosive; AF requires biocide release or surface-energy science, ASTM D3623/D6990-class testing, </w:t>
            </w:r>
            <w:r>
              <w:rPr>
                <w:sz w:val="20"/>
                <w:szCs w:val="20"/>
              </w:rPr>
              <w:lastRenderedPageBreak/>
              <w:t>and BPR/EPA regulatory lanes). Validate NSKG transfer: does the second program need fewer cycles than the first?</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9C0AE1" w14:textId="77777777" w:rsidR="00A1675F" w:rsidRDefault="00000000">
            <w:r>
              <w:rPr>
                <w:sz w:val="20"/>
                <w:szCs w:val="20"/>
              </w:rPr>
              <w:lastRenderedPageBreak/>
              <w:t>Platform proof: two domains, one governance chassis, demonstrably cheaper second campaign.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5A3F7F" w14:textId="77777777" w:rsidR="00A1675F" w:rsidRDefault="00000000">
            <w:r>
              <w:rPr>
                <w:sz w:val="20"/>
                <w:szCs w:val="20"/>
              </w:rPr>
              <w:t>Second-domain campaign accepted by a CRO; cycle-cost curve bends.</w:t>
            </w:r>
          </w:p>
        </w:tc>
      </w:tr>
    </w:tbl>
    <w:p w14:paraId="6CE314B1" w14:textId="77777777" w:rsidR="00A1675F" w:rsidRDefault="00A1675F">
      <w:pPr>
        <w:spacing w:after="120"/>
      </w:pPr>
    </w:p>
    <w:p w14:paraId="5E9DADBB" w14:textId="77777777" w:rsidR="00A1675F" w:rsidRDefault="00000000">
      <w:pPr>
        <w:pStyle w:val="Heading1"/>
      </w:pPr>
      <w:r>
        <w:t>6. Metrics That Matter</w:t>
      </w:r>
    </w:p>
    <w:p w14:paraId="621EBA45" w14:textId="77777777" w:rsidR="00A1675F" w:rsidRDefault="00000000">
      <w:pPr>
        <w:pStyle w:val="ListParagraph"/>
        <w:numPr>
          <w:ilvl w:val="0"/>
          <w:numId w:val="2"/>
        </w:numPr>
        <w:spacing w:after="60"/>
      </w:pPr>
      <w:r>
        <w:t>Accepted external evidence rows &gt; 0 (currently 0) — the only score movement we celebrate.</w:t>
      </w:r>
    </w:p>
    <w:p w14:paraId="4FDCD304" w14:textId="77777777" w:rsidR="00A1675F" w:rsidRDefault="00000000">
      <w:pPr>
        <w:pStyle w:val="ListParagraph"/>
        <w:numPr>
          <w:ilvl w:val="0"/>
          <w:numId w:val="2"/>
        </w:numPr>
        <w:spacing w:after="60"/>
      </w:pPr>
      <w:r>
        <w:t>CRO cycles-to-convergence per objective, round over round — the loop's core economic metric.</w:t>
      </w:r>
    </w:p>
    <w:p w14:paraId="65981425" w14:textId="77777777" w:rsidR="00A1675F" w:rsidRDefault="00000000">
      <w:pPr>
        <w:pStyle w:val="ListParagraph"/>
        <w:numPr>
          <w:ilvl w:val="0"/>
          <w:numId w:val="2"/>
        </w:numPr>
        <w:spacing w:after="60"/>
      </w:pPr>
      <w:r>
        <w:t>Models promoted from ROADMAP/failed to earned authority tiers on measured data.</w:t>
      </w:r>
    </w:p>
    <w:p w14:paraId="1649CB87" w14:textId="77777777" w:rsidR="00A1675F" w:rsidRDefault="00000000">
      <w:pPr>
        <w:pStyle w:val="ListParagraph"/>
        <w:numPr>
          <w:ilvl w:val="0"/>
          <w:numId w:val="2"/>
        </w:numPr>
        <w:spacing w:after="60"/>
      </w:pPr>
      <w:r>
        <w:t>Time and cost from “new domain query” to “CRO-accepted first campaign” — the platform metric.</w:t>
      </w:r>
    </w:p>
    <w:p w14:paraId="2811A5BA" w14:textId="77777777" w:rsidR="00A1675F" w:rsidRDefault="00000000">
      <w:pPr>
        <w:pStyle w:val="Heading1"/>
      </w:pPr>
      <w:r>
        <w:t>7. Bottom Line</w:t>
      </w:r>
    </w:p>
    <w:p w14:paraId="480FA670" w14:textId="77777777" w:rsidR="00A1675F" w:rsidRDefault="00000000">
      <w:r>
        <w:t>We have built a rigorous, auditable, fail-closed decision engine and proven its arithmetic twice over. It has never touched a panel of steel. Phase 0 is small, already scoped by our own documents, and decides more than everything we could build internally this quarter. Fund the falsification test, wire the data back through the intake validator, and let the engine start earning the word “learning.”</w:t>
      </w:r>
    </w:p>
    <w:p w14:paraId="1B70F6AC" w14:textId="77777777" w:rsidR="00A1675F" w:rsidRDefault="00000000">
      <w:pPr>
        <w:pBdr>
          <w:top w:val="single" w:sz="4" w:space="1" w:color="AAAAAA"/>
        </w:pBdr>
        <w:spacing w:before="200"/>
      </w:pPr>
      <w:r>
        <w:rPr>
          <w:i/>
          <w:iCs/>
          <w:color w:val="666666"/>
          <w:sz w:val="17"/>
          <w:szCs w:val="17"/>
        </w:rPr>
        <w:t>Basis: MVP20 founder/customer/public memos, Technical Appendix, Molecule Engine report, v5 Split Report, MVP20 Progress Assessment, and Formulation White Paper AMP-EP-0001 (July 5, 2026). All computed values referenced are model outputs, not measurements.</w:t>
      </w:r>
    </w:p>
    <w:sectPr w:rsidR="00A1675F">
      <w:footerReference w:type="default" r:id="rId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C08D0" w14:textId="77777777" w:rsidR="007A6B25" w:rsidRDefault="007A6B25">
      <w:pPr>
        <w:spacing w:after="0" w:line="240" w:lineRule="auto"/>
      </w:pPr>
      <w:r>
        <w:separator/>
      </w:r>
    </w:p>
  </w:endnote>
  <w:endnote w:type="continuationSeparator" w:id="0">
    <w:p w14:paraId="5DB7678A" w14:textId="77777777" w:rsidR="007A6B25" w:rsidRDefault="007A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E099B6" w14:textId="77777777" w:rsidR="00A1675F" w:rsidRDefault="00000000">
    <w:pPr>
      <w:jc w:val="center"/>
    </w:pPr>
    <w:r>
      <w:rPr>
        <w:color w:val="888888"/>
        <w:sz w:val="18"/>
        <w:szCs w:val="18"/>
      </w:rPr>
      <w:t xml:space="preserve">Amphora Internal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0222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3DD2E5" w14:textId="77777777" w:rsidR="007A6B25" w:rsidRDefault="007A6B25">
      <w:pPr>
        <w:spacing w:after="0" w:line="240" w:lineRule="auto"/>
      </w:pPr>
      <w:r>
        <w:separator/>
      </w:r>
    </w:p>
  </w:footnote>
  <w:footnote w:type="continuationSeparator" w:id="0">
    <w:p w14:paraId="666002FD" w14:textId="77777777" w:rsidR="007A6B25" w:rsidRDefault="007A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8B2127"/>
    <w:multiLevelType w:val="hybridMultilevel"/>
    <w:tmpl w:val="0E309AE2"/>
    <w:lvl w:ilvl="0" w:tplc="54C47026">
      <w:start w:val="1"/>
      <w:numFmt w:val="bullet"/>
      <w:lvlText w:val="●"/>
      <w:lvlJc w:val="left"/>
      <w:pPr>
        <w:ind w:left="720" w:hanging="360"/>
      </w:pPr>
    </w:lvl>
    <w:lvl w:ilvl="1" w:tplc="FBA8E4FA">
      <w:start w:val="1"/>
      <w:numFmt w:val="bullet"/>
      <w:lvlText w:val="○"/>
      <w:lvlJc w:val="left"/>
      <w:pPr>
        <w:ind w:left="1440" w:hanging="360"/>
      </w:pPr>
    </w:lvl>
    <w:lvl w:ilvl="2" w:tplc="E01E92F6">
      <w:start w:val="1"/>
      <w:numFmt w:val="bullet"/>
      <w:lvlText w:val="■"/>
      <w:lvlJc w:val="left"/>
      <w:pPr>
        <w:ind w:left="2160" w:hanging="360"/>
      </w:pPr>
    </w:lvl>
    <w:lvl w:ilvl="3" w:tplc="7F661072">
      <w:start w:val="1"/>
      <w:numFmt w:val="bullet"/>
      <w:lvlText w:val="●"/>
      <w:lvlJc w:val="left"/>
      <w:pPr>
        <w:ind w:left="2880" w:hanging="360"/>
      </w:pPr>
    </w:lvl>
    <w:lvl w:ilvl="4" w:tplc="44365D80">
      <w:start w:val="1"/>
      <w:numFmt w:val="bullet"/>
      <w:lvlText w:val="○"/>
      <w:lvlJc w:val="left"/>
      <w:pPr>
        <w:ind w:left="3600" w:hanging="360"/>
      </w:pPr>
    </w:lvl>
    <w:lvl w:ilvl="5" w:tplc="94483258">
      <w:start w:val="1"/>
      <w:numFmt w:val="bullet"/>
      <w:lvlText w:val="■"/>
      <w:lvlJc w:val="left"/>
      <w:pPr>
        <w:ind w:left="4320" w:hanging="360"/>
      </w:pPr>
    </w:lvl>
    <w:lvl w:ilvl="6" w:tplc="C0645DE4">
      <w:start w:val="1"/>
      <w:numFmt w:val="bullet"/>
      <w:lvlText w:val="●"/>
      <w:lvlJc w:val="left"/>
      <w:pPr>
        <w:ind w:left="5040" w:hanging="360"/>
      </w:pPr>
    </w:lvl>
    <w:lvl w:ilvl="7" w:tplc="701412F4">
      <w:start w:val="1"/>
      <w:numFmt w:val="bullet"/>
      <w:lvlText w:val="●"/>
      <w:lvlJc w:val="left"/>
      <w:pPr>
        <w:ind w:left="5760" w:hanging="360"/>
      </w:pPr>
    </w:lvl>
    <w:lvl w:ilvl="8" w:tplc="80B880A2">
      <w:start w:val="1"/>
      <w:numFmt w:val="bullet"/>
      <w:lvlText w:val="●"/>
      <w:lvlJc w:val="left"/>
      <w:pPr>
        <w:ind w:left="6480" w:hanging="360"/>
      </w:pPr>
    </w:lvl>
  </w:abstractNum>
  <w:abstractNum w:abstractNumId="1" w15:restartNumberingAfterBreak="0">
    <w:nsid w:val="7D770C33"/>
    <w:multiLevelType w:val="hybridMultilevel"/>
    <w:tmpl w:val="656A0AB0"/>
    <w:lvl w:ilvl="0" w:tplc="4D900D44">
      <w:start w:val="1"/>
      <w:numFmt w:val="bullet"/>
      <w:lvlText w:val="•"/>
      <w:lvlJc w:val="left"/>
      <w:pPr>
        <w:ind w:left="540" w:hanging="270"/>
      </w:pPr>
    </w:lvl>
    <w:lvl w:ilvl="1" w:tplc="3976B30C">
      <w:numFmt w:val="decimal"/>
      <w:lvlText w:val=""/>
      <w:lvlJc w:val="left"/>
    </w:lvl>
    <w:lvl w:ilvl="2" w:tplc="60261BBC">
      <w:numFmt w:val="decimal"/>
      <w:lvlText w:val=""/>
      <w:lvlJc w:val="left"/>
    </w:lvl>
    <w:lvl w:ilvl="3" w:tplc="847AE0D2">
      <w:numFmt w:val="decimal"/>
      <w:lvlText w:val=""/>
      <w:lvlJc w:val="left"/>
    </w:lvl>
    <w:lvl w:ilvl="4" w:tplc="8C982E66">
      <w:numFmt w:val="decimal"/>
      <w:lvlText w:val=""/>
      <w:lvlJc w:val="left"/>
    </w:lvl>
    <w:lvl w:ilvl="5" w:tplc="59488BD0">
      <w:numFmt w:val="decimal"/>
      <w:lvlText w:val=""/>
      <w:lvlJc w:val="left"/>
    </w:lvl>
    <w:lvl w:ilvl="6" w:tplc="2E02855C">
      <w:numFmt w:val="decimal"/>
      <w:lvlText w:val=""/>
      <w:lvlJc w:val="left"/>
    </w:lvl>
    <w:lvl w:ilvl="7" w:tplc="96884A46">
      <w:numFmt w:val="decimal"/>
      <w:lvlText w:val=""/>
      <w:lvlJc w:val="left"/>
    </w:lvl>
    <w:lvl w:ilvl="8" w:tplc="DB18A4D2">
      <w:numFmt w:val="decimal"/>
      <w:lvlText w:val=""/>
      <w:lvlJc w:val="left"/>
    </w:lvl>
  </w:abstractNum>
  <w:num w:numId="1" w16cid:durableId="372075928">
    <w:abstractNumId w:val="0"/>
    <w:lvlOverride w:ilvl="0">
      <w:startOverride w:val="1"/>
    </w:lvlOverride>
  </w:num>
  <w:num w:numId="2" w16cid:durableId="663479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75F"/>
    <w:rsid w:val="00443A64"/>
    <w:rsid w:val="0060222C"/>
    <w:rsid w:val="007A6B25"/>
    <w:rsid w:val="00A16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68644B"/>
  <w15:docId w15:val="{F3422D0B-FC7F-8A4B-A4C5-E748A26A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4" w:lineRule="auto"/>
    </w:pPr>
  </w:style>
  <w:style w:type="paragraph" w:styleId="Heading1">
    <w:name w:val="heading 1"/>
    <w:basedOn w:val="Normal"/>
    <w:next w:val="Normal"/>
    <w:uiPriority w:val="9"/>
    <w:qFormat/>
    <w:pPr>
      <w:spacing w:before="260" w:after="130"/>
      <w:outlineLvl w:val="0"/>
    </w:pPr>
    <w:rPr>
      <w:b/>
      <w:bCs/>
      <w:color w:val="1F4E5F"/>
      <w:sz w:val="27"/>
      <w:szCs w:val="27"/>
    </w:rPr>
  </w:style>
  <w:style w:type="paragraph" w:styleId="Heading2">
    <w:name w:val="heading 2"/>
    <w:basedOn w:val="Normal"/>
    <w:next w:val="Normal"/>
    <w:uiPriority w:val="9"/>
    <w:unhideWhenUsed/>
    <w:qFormat/>
    <w:pPr>
      <w:spacing w:before="180"/>
      <w:outlineLvl w:val="1"/>
    </w:pPr>
    <w:rPr>
      <w:b/>
      <w:bCs/>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1245</Words>
  <Characters>7698</Characters>
  <Application>Microsoft Office Word</Application>
  <DocSecurity>0</DocSecurity>
  <Lines>203</Lines>
  <Paragraphs>55</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Riley</cp:lastModifiedBy>
  <cp:revision>2</cp:revision>
  <dcterms:created xsi:type="dcterms:W3CDTF">2026-07-08T23:11:00Z</dcterms:created>
  <dcterms:modified xsi:type="dcterms:W3CDTF">2026-07-08T23:11:00Z</dcterms:modified>
</cp:coreProperties>
</file>