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1A5C8B" w14:textId="77777777" w:rsidR="001C2630" w:rsidRDefault="00000000">
      <w:pPr>
        <w:spacing w:after="60"/>
      </w:pPr>
      <w:r>
        <w:rPr>
          <w:b/>
          <w:bCs/>
          <w:color w:val="2B3A55"/>
          <w:sz w:val="30"/>
          <w:szCs w:val="30"/>
        </w:rPr>
        <w:t>AMPHORA — ENGINEERING MEMORANDUM</w:t>
      </w:r>
    </w:p>
    <w:p w14:paraId="195CF6D2" w14:textId="77777777" w:rsidR="001C2630" w:rsidRDefault="001C2630">
      <w:pPr>
        <w:pBdr>
          <w:bottom w:val="single" w:sz="8" w:space="1" w:color="2B3A55"/>
        </w:pBdr>
        <w:spacing w:after="160"/>
      </w:pPr>
    </w:p>
    <w:p w14:paraId="1E75A438" w14:textId="77777777" w:rsidR="001C2630" w:rsidRDefault="00000000">
      <w:r>
        <w:rPr>
          <w:b/>
          <w:bCs/>
        </w:rPr>
        <w:t xml:space="preserve">TO: </w:t>
      </w:r>
      <w:r>
        <w:t>Engineering</w:t>
      </w:r>
    </w:p>
    <w:p w14:paraId="2229A83A" w14:textId="77777777" w:rsidR="001C2630" w:rsidRDefault="00000000">
      <w:r>
        <w:rPr>
          <w:b/>
          <w:bCs/>
        </w:rPr>
        <w:t xml:space="preserve">FROM: </w:t>
      </w:r>
      <w:r>
        <w:t>Jeff, CEO</w:t>
      </w:r>
    </w:p>
    <w:p w14:paraId="33276F2B" w14:textId="77777777" w:rsidR="001C2630" w:rsidRDefault="00000000">
      <w:r>
        <w:rPr>
          <w:b/>
          <w:bCs/>
        </w:rPr>
        <w:t xml:space="preserve">DATE: </w:t>
      </w:r>
      <w:r>
        <w:t>July 8, 2026</w:t>
      </w:r>
    </w:p>
    <w:p w14:paraId="0AE0A402" w14:textId="77777777" w:rsidR="001C2630" w:rsidRDefault="00000000">
      <w:pPr>
        <w:spacing w:after="200"/>
      </w:pPr>
      <w:r>
        <w:rPr>
          <w:b/>
          <w:bCs/>
        </w:rPr>
        <w:t xml:space="preserve">RE: </w:t>
      </w:r>
      <w:r>
        <w:t>Engine upgrade plan — prompt-driven envelope synthesis, closed lab-in-the-loop, and manufacturing-release output</w:t>
      </w:r>
    </w:p>
    <w:p w14:paraId="67009CF8" w14:textId="77777777" w:rsidR="001C2630" w:rsidRDefault="00000000">
      <w:pPr>
        <w:pStyle w:val="Heading1"/>
      </w:pPr>
      <w:r>
        <w:t>1. Objective and Scope Shift</w:t>
      </w:r>
    </w:p>
    <w:p w14:paraId="1D92B16F" w14:textId="77777777" w:rsidR="001C2630" w:rsidRDefault="00000000">
      <w:r>
        <w:t xml:space="preserve">The v5 engine today accepts a </w:t>
      </w:r>
      <w:r>
        <w:rPr>
          <w:b/>
          <w:bCs/>
        </w:rPr>
        <w:t>formal technical envelope</w:t>
      </w:r>
      <w:r>
        <w:t xml:space="preserve"> (the Jepson envelope was unusually precise) and terminates at a </w:t>
      </w:r>
      <w:r>
        <w:rPr>
          <w:b/>
          <w:bCs/>
        </w:rPr>
        <w:t>CRO handoff packet</w:t>
      </w:r>
      <w:r>
        <w:t>. Both boundaries must move:</w:t>
      </w:r>
    </w:p>
    <w:p w14:paraId="1FADB2E9" w14:textId="77777777" w:rsidR="001C263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Input: </w:t>
      </w:r>
      <w:r>
        <w:t>future programs arrive as a prompt — verbal brief, e-mail, or one-page ask (“battery cathode for X,” “DLE lithium-selective membrane,” “room-temperature semiconductor-class material”). The engine must synthesize the envelope itself, under governance.</w:t>
      </w:r>
    </w:p>
    <w:p w14:paraId="65B56856" w14:textId="77777777" w:rsidR="001C263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 xml:space="preserve">the terminal artifact is not a validated candidate but a </w:t>
      </w:r>
      <w:r>
        <w:rPr>
          <w:b/>
          <w:bCs/>
        </w:rPr>
        <w:t>manufacturing-ready material</w:t>
      </w:r>
      <w:r>
        <w:t>: locked formulation/composition + process window + QC/SPC release criteria + supplier-qualified BOM, transferable to a toll producer or internal line.</w:t>
      </w:r>
    </w:p>
    <w:p w14:paraId="7B70A752" w14:textId="77777777" w:rsidR="001C2630" w:rsidRDefault="00000000">
      <w:r>
        <w:t>Everything below preserves the v5 non-negotiable: auto-generated content enters at low authority tiers, passes the source ledger, and fails closed. We extend the pipeline; we do not relax it.</w:t>
      </w:r>
    </w:p>
    <w:p w14:paraId="2BCFED33" w14:textId="77777777" w:rsidR="001C2630" w:rsidRDefault="00000000">
      <w:pPr>
        <w:pStyle w:val="Heading1"/>
      </w:pPr>
      <w:r>
        <w:t>2. Target Pipeline (end state)</w:t>
      </w:r>
    </w:p>
    <w:p w14:paraId="62CB9378" w14:textId="77777777" w:rsidR="001C2630" w:rsidRDefault="00000000">
      <w:pPr>
        <w:spacing w:after="120"/>
      </w:pPr>
      <w:r>
        <w:rPr>
          <w:rFonts w:ascii="Consolas" w:eastAsia="Consolas" w:hAnsi="Consolas" w:cs="Consolas"/>
          <w:sz w:val="19"/>
          <w:szCs w:val="19"/>
        </w:rPr>
        <w:t>prompt → envelope-synthesis → domain-pack → generate/score/gate (existing core) → active-learning DOE → evidence-intake → model promotion → pilot scale-up → process-qc-twin release → manufacturing package</w:t>
      </w:r>
    </w:p>
    <w:p w14:paraId="36E5498C" w14:textId="77777777" w:rsidR="001C2630" w:rsidRDefault="00000000">
      <w:pPr>
        <w:pStyle w:val="Heading1"/>
      </w:pPr>
      <w:r>
        <w:t>3. Workstream A — Envelope Synthesis Service (prompt → spec)</w:t>
      </w:r>
    </w:p>
    <w:p w14:paraId="1543495E" w14:textId="77777777" w:rsidR="001C2630" w:rsidRDefault="00000000">
      <w:r>
        <w:t xml:space="preserve">New service, same contract style as the split repos. Consumes an unstructured brief; emits a machine-readable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ProductEnvelope</w:t>
      </w:r>
      <w:proofErr w:type="spellEnd"/>
      <w:r>
        <w:t xml:space="preserve"> (generalization of the current envelope; versioned schema alongside </w:t>
      </w:r>
      <w:r>
        <w:rPr>
          <w:rFonts w:ascii="Consolas" w:eastAsia="Consolas" w:hAnsi="Consolas" w:cs="Consolas"/>
          <w:sz w:val="19"/>
          <w:szCs w:val="19"/>
        </w:rPr>
        <w:t>CandidateEnvelope</w:t>
      </w:r>
      <w:r>
        <w:t>).</w:t>
      </w:r>
    </w:p>
    <w:p w14:paraId="516255E4" w14:textId="77777777" w:rsidR="001C2630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Elicitation pass. </w:t>
      </w:r>
      <w:r>
        <w:t>LLM-driven interrogation of the brief: intended service environment, performance targets, regulatory jurisdiction, cost ceiling, volume, form factor. Unanswered items become an explicit ambiguity register, not silent defaults.</w:t>
      </w:r>
    </w:p>
    <w:p w14:paraId="4485F541" w14:textId="77777777" w:rsidR="001C2630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Constraint formalization. </w:t>
      </w:r>
      <w:r>
        <w:t>Each requirement becomes a typed constraint: hard gate, soft objective, or info row — with units, test-method anchor (ASTM/IEC/ISO), and a provenance tag: CUSTOMER_STATED / INFERRED / DEFAULTED.</w:t>
      </w:r>
    </w:p>
    <w:p w14:paraId="621E87E4" w14:textId="77777777" w:rsidR="001C2630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Authority discipline. </w:t>
      </w:r>
      <w:r>
        <w:t xml:space="preserve">INFERRED and DEFAULTED constraints enter at low authority and are flagged in every downstream report until a </w:t>
      </w:r>
      <w:proofErr w:type="gramStart"/>
      <w:r>
        <w:t>human (customer or PM) countersigns</w:t>
      </w:r>
      <w:proofErr w:type="gramEnd"/>
      <w:r>
        <w:t>. Envelope sign-off is a blocking gate before any candidate generation spends compute.</w:t>
      </w:r>
    </w:p>
    <w:p w14:paraId="48502865" w14:textId="77777777" w:rsidR="001C2630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Round-trip test. </w:t>
      </w:r>
      <w:r>
        <w:t>Acceptance: feeding the Jepson envelope's prose back through the service must reproduce the current envelope constraints (VS 65±2%, VOC ≤340, 1:1, DFT 4.5–6.0, etc.) with zero silent additions. That is the regression baseline.</w:t>
      </w:r>
    </w:p>
    <w:p w14:paraId="462A7A1E" w14:textId="77777777" w:rsidR="001C2630" w:rsidRDefault="00000000">
      <w:pPr>
        <w:pStyle w:val="Heading1"/>
      </w:pPr>
      <w:r>
        <w:t>4. Workstream B — Domain-Pack Generator</w:t>
      </w:r>
    </w:p>
    <w:p w14:paraId="669B990D" w14:textId="77777777" w:rsidR="001C2630" w:rsidRDefault="00000000">
      <w:r>
        <w:lastRenderedPageBreak/>
        <w:t>A domain pack = representation adapter + property calculators/simulators + materials library + design rules + test-method map + evidence schema. The coatings pack is hand-built; industrialize the pattern:</w:t>
      </w:r>
    </w:p>
    <w:p w14:paraId="7A4B84DA" w14:textId="77777777" w:rsidR="001C2630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Representation adapters. </w:t>
      </w:r>
      <w:r>
        <w:t>Abstract the molecule layer behind an interface: SMILES/</w:t>
      </w:r>
      <w:proofErr w:type="spellStart"/>
      <w:r>
        <w:t>RDKit</w:t>
      </w:r>
      <w:proofErr w:type="spellEnd"/>
      <w:r>
        <w:t xml:space="preserve"> (organics, membranes, polymers); composition + crystal structure via </w:t>
      </w:r>
      <w:proofErr w:type="spellStart"/>
      <w:r>
        <w:t>pymatgen</w:t>
      </w:r>
      <w:proofErr w:type="spellEnd"/>
      <w:r>
        <w:t>/CIF (battery electrodes, semiconductor-class inorganics); polymer/membrane descriptors (MWCO, charge density, free volume) for DLE. Candidate identity, hashing, and provenance must be representation-agnostic.</w:t>
      </w:r>
    </w:p>
    <w:p w14:paraId="3E348613" w14:textId="77777777" w:rsidR="001C2630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Calculator/simulator plugin API. </w:t>
      </w:r>
      <w:r>
        <w:t xml:space="preserve">Same </w:t>
      </w:r>
      <w:proofErr w:type="spellStart"/>
      <w:r>
        <w:t>ScoreEnvelope</w:t>
      </w:r>
      <w:proofErr w:type="spellEnd"/>
      <w:r>
        <w:t xml:space="preserve"> contract; declared authority tier per plugin. Closed-form arithmetic (stoichiometry, mass/charge balance, theoretical capacity </w:t>
      </w:r>
      <w:proofErr w:type="spellStart"/>
      <w:r>
        <w:t>mAh</w:t>
      </w:r>
      <w:proofErr w:type="spellEnd"/>
      <w:r>
        <w:t>/g, membrane flux equations) = REAL_ARITHMETIC. DFT/MD/CALPHAD wrappers = MODELED_DIRECTIONAL until benchmarked against known-answer sets. Untrained ML = excluded from objectives, period.</w:t>
      </w:r>
    </w:p>
    <w:p w14:paraId="00084985" w14:textId="77777777" w:rsidR="001C2630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Library builder. </w:t>
      </w:r>
      <w:r>
        <w:t>Semi-automated ingestion of cited constants (PubChem, Materials Project, ICSD, supplier TDS) through the existing source-ledger rejection path. No uncited constant loads — same rule as today.</w:t>
      </w:r>
    </w:p>
    <w:p w14:paraId="58F912C9" w14:textId="77777777" w:rsidR="001C2630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Known-answer benchmarks per domain. </w:t>
      </w:r>
      <w:r>
        <w:t>Before a pack goes live it must re-derive an established material (as coatings re-derived MIL-DTL-24441 chemistry): e.g., NMC/LFP for cathodes, a commercial NF membrane for DLE. Failure blocks the pack.</w:t>
      </w:r>
    </w:p>
    <w:p w14:paraId="66528DF3" w14:textId="77777777" w:rsidR="001C2630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Test-method mapper. </w:t>
      </w:r>
      <w:r>
        <w:t>Auto-draft the qualification matrix from the envelope: coin/pouch cycling + EIS + rate maps (batteries); flux/rejection/Li-Mg selectivity + fouling + burst (DLE); Hall mobility/band gap/wafer-level metrology (semiconductor-class). Output feeds the CRO packager unchanged.</w:t>
      </w:r>
    </w:p>
    <w:p w14:paraId="081C7E18" w14:textId="77777777" w:rsidR="001C2630" w:rsidRDefault="00000000">
      <w:pPr>
        <w:pStyle w:val="Heading1"/>
      </w:pPr>
      <w:r>
        <w:t>5. Workstream C — Close the Lab Loop (highest priority, already scoped)</w:t>
      </w:r>
    </w:p>
    <w:p w14:paraId="481E17E4" w14:textId="77777777" w:rsidR="001C2630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Execute the first CRO batch </w:t>
      </w:r>
      <w:r>
        <w:t>(V0/V3/V4 + Envelope-65/Enhanced-65/Lineage-60 with controls). Nothing below matters until data exists.</w:t>
      </w:r>
    </w:p>
    <w:p w14:paraId="45875002" w14:textId="77777777" w:rsidR="001C2630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Harden evidence-intake-validator </w:t>
      </w:r>
      <w:r>
        <w:t>as the sole write path for external data: raw files, calibration, custody, controls, deviation records. Add automated parsing for instrument exports (KU, EIS spectra, B117 ratings) to cut intake latency.</w:t>
      </w:r>
    </w:p>
    <w:p w14:paraId="73152FD2" w14:textId="77777777" w:rsidR="001C2630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Activate the GP optimizer </w:t>
      </w:r>
      <w:r>
        <w:t>at ≥5 measured points per objective; implement batch active learning (</w:t>
      </w:r>
      <w:proofErr w:type="spellStart"/>
      <w:r>
        <w:t>qEI</w:t>
      </w:r>
      <w:proofErr w:type="spellEnd"/>
      <w:r>
        <w:t xml:space="preserve"> or similar) so each CRO round is selected for information gain, not convenience.</w:t>
      </w:r>
    </w:p>
    <w:p w14:paraId="0ED875FE" w14:textId="77777777" w:rsidR="001C2630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Model promotion pipeline. </w:t>
      </w:r>
      <w:r>
        <w:t xml:space="preserve">Train estimated-tier models (pot-life/KU, </w:t>
      </w:r>
      <w:proofErr w:type="spellStart"/>
      <w:r>
        <w:t>Tg</w:t>
      </w:r>
      <w:proofErr w:type="spellEnd"/>
      <w:r>
        <w:t>/viscosity) on measured data; auto-issue model cards; promotion/demotion of authority tiers is computed from held-out error against pre-registered bars — never hand-edited.</w:t>
      </w:r>
    </w:p>
    <w:p w14:paraId="21333790" w14:textId="77777777" w:rsidR="001C2630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b/>
          <w:bCs/>
        </w:rPr>
        <w:t>Red-team</w:t>
      </w:r>
      <w:proofErr w:type="gramEnd"/>
      <w:r>
        <w:rPr>
          <w:b/>
          <w:bCs/>
        </w:rPr>
        <w:t xml:space="preserve"> v2. </w:t>
      </w:r>
      <w:r>
        <w:t>Move from claim-linting to substance attacks: hostile-null baselines every proxy must beat, adversarial candidates that game single-metric scoring, circularity detection on spec-derived fitness, and a CI invariant that artifact score cannot rise while the evidence score is flat.</w:t>
      </w:r>
    </w:p>
    <w:p w14:paraId="44E7622F" w14:textId="77777777" w:rsidR="001C2630" w:rsidRDefault="00000000">
      <w:pPr>
        <w:pStyle w:val="Heading1"/>
      </w:pPr>
      <w:r>
        <w:t>6. Workstream D — Manufacturing Release Layer</w:t>
      </w:r>
    </w:p>
    <w:p w14:paraId="7BAE7ADD" w14:textId="77777777" w:rsidR="001C2630" w:rsidRDefault="00000000">
      <w:r>
        <w:t xml:space="preserve">The current </w:t>
      </w:r>
      <w:r>
        <w:rPr>
          <w:rFonts w:ascii="Consolas" w:eastAsia="Consolas" w:hAnsi="Consolas" w:cs="Consolas"/>
          <w:sz w:val="19"/>
          <w:szCs w:val="19"/>
        </w:rPr>
        <w:t>process-qc-twin</w:t>
      </w:r>
      <w:r>
        <w:t xml:space="preserve"> is ROADMAP-tier. Build it out as the terminal gate:</w:t>
      </w:r>
    </w:p>
    <w:p w14:paraId="6FAC6FA9" w14:textId="77777777" w:rsidR="001C2630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 model. </w:t>
      </w:r>
      <w:r>
        <w:t>Encode the bench process (grind sequence, tip speed, Hegman endpoints, letdown) as a parameterized recipe; add scale-up correlations (tip-speed/shear scaling, heat load, batch-time) so pilot instructions are generated, not rewritten.</w:t>
      </w:r>
    </w:p>
    <w:p w14:paraId="45449E81" w14:textId="77777777" w:rsidR="001C2630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lastRenderedPageBreak/>
        <w:t xml:space="preserve">SPC and release criteria. </w:t>
      </w:r>
      <w:r>
        <w:t>Per-batch gates from engine theory: density ±0.02 g/mL, NV ±1%, fineness, KU window; control charts seeded from theoretical values and tightened from measured batches. Release = all gates green + retained sample logged.</w:t>
      </w:r>
    </w:p>
    <w:p w14:paraId="74819B4B" w14:textId="77777777" w:rsidR="001C2630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Supplier qualification chain. </w:t>
      </w:r>
      <w:r>
        <w:t>Lot CoA ingestion recomputes stoichiometry per batch (AHEW drift is the known killer); dual-source rules and declaration status (PFAS/TSCA/TAA) block release automatically if stale.</w:t>
      </w:r>
    </w:p>
    <w:p w14:paraId="2B2F83AF" w14:textId="77777777" w:rsidR="001C2630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Tech-transfer package generator. </w:t>
      </w:r>
      <w:r>
        <w:t>One command emits: locked formulation record, process instructions, QC plan, SDS-linked EHS sheet, and the evidence dossier hash-chain. Definition of done for any program = this package accepted by a manufacturing partner.</w:t>
      </w:r>
    </w:p>
    <w:p w14:paraId="58DB9894" w14:textId="77777777" w:rsidR="001C2630" w:rsidRDefault="00000000">
      <w:pPr>
        <w:pStyle w:val="Heading1"/>
      </w:pPr>
      <w:r>
        <w:t>7. Sequencing and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2660"/>
        <w:gridCol w:w="2300"/>
      </w:tblGrid>
      <w:tr w:rsidR="001C2630" w14:paraId="4F21A72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3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54F5" w14:textId="77777777" w:rsidR="001C2630" w:rsidRDefault="00000000">
            <w:r>
              <w:rPr>
                <w:b/>
                <w:bCs/>
                <w:color w:val="FFFFFF"/>
                <w:sz w:val="19"/>
                <w:szCs w:val="19"/>
              </w:rPr>
              <w:t>Order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3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2A1F" w14:textId="77777777" w:rsidR="001C2630" w:rsidRDefault="00000000">
            <w:r>
              <w:rPr>
                <w:b/>
                <w:bCs/>
                <w:color w:val="FFFFFF"/>
                <w:sz w:val="19"/>
                <w:szCs w:val="19"/>
              </w:rPr>
              <w:t>Workstream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3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CF7E" w14:textId="77777777" w:rsidR="001C2630" w:rsidRDefault="00000000">
            <w:r>
              <w:rPr>
                <w:b/>
                <w:bCs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3A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BB5C" w14:textId="77777777" w:rsidR="001C2630" w:rsidRDefault="00000000">
            <w:r>
              <w:rPr>
                <w:b/>
                <w:bCs/>
                <w:color w:val="FFFFFF"/>
                <w:sz w:val="19"/>
                <w:szCs w:val="19"/>
              </w:rPr>
              <w:t>Acceptance test</w:t>
            </w:r>
          </w:p>
        </w:tc>
      </w:tr>
      <w:tr w:rsidR="001C2630" w14:paraId="1AD67BE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E1EE" w14:textId="77777777" w:rsidR="001C2630" w:rsidRDefault="00000000">
            <w:r>
              <w:rPr>
                <w:sz w:val="19"/>
                <w:szCs w:val="19"/>
              </w:rPr>
              <w:t>1 (now)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41F9" w14:textId="77777777" w:rsidR="001C2630" w:rsidRDefault="00000000">
            <w:r>
              <w:rPr>
                <w:sz w:val="19"/>
                <w:szCs w:val="19"/>
              </w:rPr>
              <w:t>C1–C2: CRO batch + intake hardening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D77B" w14:textId="77777777" w:rsidR="001C2630" w:rsidRDefault="00000000">
            <w:r>
              <w:rPr>
                <w:sz w:val="19"/>
                <w:szCs w:val="19"/>
              </w:rPr>
              <w:t>Supplier declarations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6459" w14:textId="77777777" w:rsidR="001C2630" w:rsidRDefault="00000000">
            <w:r>
              <w:rPr>
                <w:sz w:val="19"/>
                <w:szCs w:val="19"/>
              </w:rPr>
              <w:t>First accepted external dataset in the ledger</w:t>
            </w:r>
          </w:p>
        </w:tc>
      </w:tr>
      <w:tr w:rsidR="001C2630" w14:paraId="24FBE2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2BE2" w14:textId="77777777" w:rsidR="001C263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4F72" w14:textId="77777777" w:rsidR="001C2630" w:rsidRDefault="00000000">
            <w:r>
              <w:rPr>
                <w:sz w:val="19"/>
                <w:szCs w:val="19"/>
              </w:rPr>
              <w:t>C3–C5: optimizer, model promotion, red-team v2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BA29" w14:textId="77777777" w:rsidR="001C2630" w:rsidRDefault="00000000">
            <w:r>
              <w:rPr>
                <w:sz w:val="19"/>
                <w:szCs w:val="19"/>
              </w:rPr>
              <w:t>C1 data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76008" w14:textId="77777777" w:rsidR="001C2630" w:rsidRDefault="00000000">
            <w:r>
              <w:rPr>
                <w:sz w:val="19"/>
                <w:szCs w:val="19"/>
              </w:rPr>
              <w:t>Round-2 slate chosen by optimizer; one proxy promoted or killed on data</w:t>
            </w:r>
          </w:p>
        </w:tc>
      </w:tr>
      <w:tr w:rsidR="001C2630" w14:paraId="142506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1F8D" w14:textId="77777777" w:rsidR="001C2630" w:rsidRDefault="00000000">
            <w:r>
              <w:rPr>
                <w:sz w:val="19"/>
                <w:szCs w:val="19"/>
              </w:rPr>
              <w:t>3 (parallel)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4B7A" w14:textId="77777777" w:rsidR="001C2630" w:rsidRDefault="00000000">
            <w:r>
              <w:rPr>
                <w:sz w:val="19"/>
                <w:szCs w:val="19"/>
              </w:rPr>
              <w:t>A: envelope synthesis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4656" w14:textId="77777777" w:rsidR="001C2630" w:rsidRDefault="00000000">
            <w:r>
              <w:rPr>
                <w:sz w:val="19"/>
                <w:szCs w:val="19"/>
              </w:rPr>
              <w:t>None (independent)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21DD" w14:textId="77777777" w:rsidR="001C2630" w:rsidRDefault="00000000">
            <w:r>
              <w:rPr>
                <w:sz w:val="19"/>
                <w:szCs w:val="19"/>
              </w:rPr>
              <w:t>Jepson round-trip regression passes; ambiguity register demo on a verbal brief</w:t>
            </w:r>
          </w:p>
        </w:tc>
      </w:tr>
      <w:tr w:rsidR="001C2630" w14:paraId="4CB064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00CF" w14:textId="77777777" w:rsidR="001C2630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F212" w14:textId="77777777" w:rsidR="001C2630" w:rsidRDefault="00000000">
            <w:r>
              <w:rPr>
                <w:sz w:val="19"/>
                <w:szCs w:val="19"/>
              </w:rPr>
              <w:t>B: domain-pack generator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7389" w14:textId="77777777" w:rsidR="001C2630" w:rsidRDefault="00000000">
            <w:r>
              <w:rPr>
                <w:sz w:val="19"/>
                <w:szCs w:val="19"/>
              </w:rPr>
              <w:t>A (envelope schema)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FDD4" w14:textId="77777777" w:rsidR="001C2630" w:rsidRDefault="00000000">
            <w:r>
              <w:rPr>
                <w:sz w:val="19"/>
                <w:szCs w:val="19"/>
              </w:rPr>
              <w:t>One new pack (recommend DLE membranes: polymer chemistry, near-term testable) re-derives a known material and emits a CRO-ready campaign</w:t>
            </w:r>
          </w:p>
        </w:tc>
      </w:tr>
      <w:tr w:rsidR="001C2630" w14:paraId="544427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6BCB" w14:textId="77777777" w:rsidR="001C2630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02DD" w14:textId="77777777" w:rsidR="001C2630" w:rsidRDefault="00000000">
            <w:r>
              <w:rPr>
                <w:sz w:val="19"/>
                <w:szCs w:val="19"/>
              </w:rPr>
              <w:t>D: manufacturing layer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DA5C" w14:textId="77777777" w:rsidR="001C2630" w:rsidRDefault="00000000">
            <w:r>
              <w:rPr>
                <w:sz w:val="19"/>
                <w:szCs w:val="19"/>
              </w:rPr>
              <w:t>C loop ≥2 rounds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E1D9" w14:textId="77777777" w:rsidR="001C2630" w:rsidRDefault="00000000">
            <w:r>
              <w:rPr>
                <w:sz w:val="19"/>
                <w:szCs w:val="19"/>
              </w:rPr>
              <w:t>Tech-transfer package for AMP-EP-0001-class primer accepted by a toll coater</w:t>
            </w:r>
          </w:p>
        </w:tc>
      </w:tr>
    </w:tbl>
    <w:p w14:paraId="55A3F31C" w14:textId="77777777" w:rsidR="001C2630" w:rsidRDefault="001C2630"/>
    <w:p w14:paraId="0DB25FFA" w14:textId="77777777" w:rsidR="001C2630" w:rsidRDefault="00000000">
      <w:r>
        <w:rPr>
          <w:b/>
          <w:bCs/>
        </w:rPr>
        <w:t xml:space="preserve">Domain-pack pilot order rationale: </w:t>
      </w:r>
      <w:r>
        <w:t xml:space="preserve">DLE membranes first (polymer domain, reuses </w:t>
      </w:r>
      <w:proofErr w:type="spellStart"/>
      <w:r>
        <w:t>RDKit</w:t>
      </w:r>
      <w:proofErr w:type="spellEnd"/>
      <w:r>
        <w:t xml:space="preserve"> adapter, cheap flux/selectivity bench tests, fast loops). Batteries second (new inorganic representation, coin-cell validation is slow but standardized). Semiconductor-class materials last — highest simulation cost, longest validation, and physically the most speculative; treat as discovery-annex work, not a committed product lane.</w:t>
      </w:r>
    </w:p>
    <w:p w14:paraId="0F18B564" w14:textId="77777777" w:rsidR="001C2630" w:rsidRDefault="00000000">
      <w:pPr>
        <w:pStyle w:val="Heading1"/>
      </w:pPr>
      <w:r>
        <w:t>8. Engineering Ground Rules</w:t>
      </w:r>
    </w:p>
    <w:p w14:paraId="41F38050" w14:textId="77777777" w:rsidR="001C2630" w:rsidRDefault="00000000">
      <w:pPr>
        <w:pStyle w:val="ListParagraph"/>
        <w:numPr>
          <w:ilvl w:val="0"/>
          <w:numId w:val="2"/>
        </w:numPr>
        <w:spacing w:after="60"/>
      </w:pPr>
      <w:r>
        <w:t>Every new service speaks CandidateEnvelope/</w:t>
      </w:r>
      <w:proofErr w:type="spellStart"/>
      <w:r>
        <w:t>ScoreEnvelope</w:t>
      </w:r>
      <w:proofErr w:type="spellEnd"/>
      <w:r>
        <w:t xml:space="preserve"> (or the versioned </w:t>
      </w:r>
      <w:proofErr w:type="spellStart"/>
      <w:r>
        <w:t>ProductEnvelope</w:t>
      </w:r>
      <w:proofErr w:type="spellEnd"/>
      <w:r>
        <w:t xml:space="preserve"> superset). No side channels.</w:t>
      </w:r>
    </w:p>
    <w:p w14:paraId="358E65BD" w14:textId="77777777" w:rsidR="001C2630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Auto-generated envelopes, rules, and constants are born low-authority and are promoted only by data or human countersignature. The generator lives inside the governance system, not above it.</w:t>
      </w:r>
    </w:p>
    <w:p w14:paraId="32E1D3FC" w14:textId="77777777" w:rsidR="001C2630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optimizer inclusion rule is unchanged: SCORED + </w:t>
      </w:r>
      <w:proofErr w:type="spellStart"/>
      <w:r>
        <w:t>usable_by_optimizer</w:t>
      </w:r>
      <w:proofErr w:type="spellEnd"/>
      <w:r>
        <w:t xml:space="preserve"> + OPTIMIZATION_OBJECTIVE + permitted tier. New domains get no exemptions.</w:t>
      </w:r>
    </w:p>
    <w:p w14:paraId="1C8E3999" w14:textId="77777777" w:rsidR="001C2630" w:rsidRDefault="00000000">
      <w:pPr>
        <w:pStyle w:val="ListParagraph"/>
        <w:numPr>
          <w:ilvl w:val="0"/>
          <w:numId w:val="2"/>
        </w:numPr>
        <w:spacing w:after="60"/>
      </w:pPr>
      <w:r>
        <w:t>Manufacturing claims (“procurement-ready,” “qualified,” “release”) stay locked behind process-qc-twin evidence, exactly as performance claims are locked behind CRO evidence today.</w:t>
      </w:r>
    </w:p>
    <w:p w14:paraId="17446E43" w14:textId="77777777" w:rsidR="001C2630" w:rsidRDefault="00000000">
      <w:pPr>
        <w:spacing w:before="120"/>
      </w:pPr>
      <w:r>
        <w:t>Bottom line: two new ends on the same spine. A front end that turns a prompt into a signed, governed envelope; a back end that turns validated candidates into a transferable manufacturing package. The middle — generate, score, gate, learn — is already built and already honest. Keep it that way.</w:t>
      </w:r>
    </w:p>
    <w:sectPr w:rsidR="001C2630">
      <w:footerReference w:type="default" r:id="rId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81EDA8" w14:textId="77777777" w:rsidR="00F760BD" w:rsidRDefault="00F760BD">
      <w:pPr>
        <w:spacing w:after="0" w:line="240" w:lineRule="auto"/>
      </w:pPr>
      <w:r>
        <w:separator/>
      </w:r>
    </w:p>
  </w:endnote>
  <w:endnote w:type="continuationSeparator" w:id="0">
    <w:p w14:paraId="5E1C390C" w14:textId="77777777" w:rsidR="00F760BD" w:rsidRDefault="00F76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556ABB" w14:textId="77777777" w:rsidR="001C2630" w:rsidRDefault="00000000">
    <w:pPr>
      <w:jc w:val="center"/>
    </w:pPr>
    <w:r>
      <w:rPr>
        <w:color w:val="888888"/>
        <w:sz w:val="18"/>
        <w:szCs w:val="18"/>
      </w:rPr>
      <w:t xml:space="preserve">Amphora Engineering — Confidential   |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02C2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E5AAA7" w14:textId="77777777" w:rsidR="00F760BD" w:rsidRDefault="00F760BD">
      <w:pPr>
        <w:spacing w:after="0" w:line="240" w:lineRule="auto"/>
      </w:pPr>
      <w:r>
        <w:separator/>
      </w:r>
    </w:p>
  </w:footnote>
  <w:footnote w:type="continuationSeparator" w:id="0">
    <w:p w14:paraId="210AEEFA" w14:textId="77777777" w:rsidR="00F760BD" w:rsidRDefault="00F760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116A75"/>
    <w:multiLevelType w:val="hybridMultilevel"/>
    <w:tmpl w:val="D64E1070"/>
    <w:lvl w:ilvl="0" w:tplc="E1F298AA">
      <w:start w:val="1"/>
      <w:numFmt w:val="bullet"/>
      <w:lvlText w:val="●"/>
      <w:lvlJc w:val="left"/>
      <w:pPr>
        <w:ind w:left="720" w:hanging="360"/>
      </w:pPr>
    </w:lvl>
    <w:lvl w:ilvl="1" w:tplc="368ACF22">
      <w:start w:val="1"/>
      <w:numFmt w:val="bullet"/>
      <w:lvlText w:val="○"/>
      <w:lvlJc w:val="left"/>
      <w:pPr>
        <w:ind w:left="1440" w:hanging="360"/>
      </w:pPr>
    </w:lvl>
    <w:lvl w:ilvl="2" w:tplc="C546A3AC">
      <w:start w:val="1"/>
      <w:numFmt w:val="bullet"/>
      <w:lvlText w:val="■"/>
      <w:lvlJc w:val="left"/>
      <w:pPr>
        <w:ind w:left="2160" w:hanging="360"/>
      </w:pPr>
    </w:lvl>
    <w:lvl w:ilvl="3" w:tplc="9BB4C942">
      <w:start w:val="1"/>
      <w:numFmt w:val="bullet"/>
      <w:lvlText w:val="●"/>
      <w:lvlJc w:val="left"/>
      <w:pPr>
        <w:ind w:left="2880" w:hanging="360"/>
      </w:pPr>
    </w:lvl>
    <w:lvl w:ilvl="4" w:tplc="99280098">
      <w:start w:val="1"/>
      <w:numFmt w:val="bullet"/>
      <w:lvlText w:val="○"/>
      <w:lvlJc w:val="left"/>
      <w:pPr>
        <w:ind w:left="3600" w:hanging="360"/>
      </w:pPr>
    </w:lvl>
    <w:lvl w:ilvl="5" w:tplc="34D6479C">
      <w:start w:val="1"/>
      <w:numFmt w:val="bullet"/>
      <w:lvlText w:val="■"/>
      <w:lvlJc w:val="left"/>
      <w:pPr>
        <w:ind w:left="4320" w:hanging="360"/>
      </w:pPr>
    </w:lvl>
    <w:lvl w:ilvl="6" w:tplc="8D289E02">
      <w:start w:val="1"/>
      <w:numFmt w:val="bullet"/>
      <w:lvlText w:val="●"/>
      <w:lvlJc w:val="left"/>
      <w:pPr>
        <w:ind w:left="5040" w:hanging="360"/>
      </w:pPr>
    </w:lvl>
    <w:lvl w:ilvl="7" w:tplc="63DED042">
      <w:start w:val="1"/>
      <w:numFmt w:val="bullet"/>
      <w:lvlText w:val="●"/>
      <w:lvlJc w:val="left"/>
      <w:pPr>
        <w:ind w:left="5760" w:hanging="360"/>
      </w:pPr>
    </w:lvl>
    <w:lvl w:ilvl="8" w:tplc="0330B7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9963D7"/>
    <w:multiLevelType w:val="hybridMultilevel"/>
    <w:tmpl w:val="18ACCE20"/>
    <w:lvl w:ilvl="0" w:tplc="2292BFCE">
      <w:start w:val="1"/>
      <w:numFmt w:val="bullet"/>
      <w:lvlText w:val="•"/>
      <w:lvlJc w:val="left"/>
      <w:pPr>
        <w:ind w:left="540" w:hanging="270"/>
      </w:pPr>
    </w:lvl>
    <w:lvl w:ilvl="1" w:tplc="DC485A3E">
      <w:numFmt w:val="decimal"/>
      <w:lvlText w:val=""/>
      <w:lvlJc w:val="left"/>
    </w:lvl>
    <w:lvl w:ilvl="2" w:tplc="68B2E12E">
      <w:numFmt w:val="decimal"/>
      <w:lvlText w:val=""/>
      <w:lvlJc w:val="left"/>
    </w:lvl>
    <w:lvl w:ilvl="3" w:tplc="5FFEF8B4">
      <w:numFmt w:val="decimal"/>
      <w:lvlText w:val=""/>
      <w:lvlJc w:val="left"/>
    </w:lvl>
    <w:lvl w:ilvl="4" w:tplc="B8924E38">
      <w:numFmt w:val="decimal"/>
      <w:lvlText w:val=""/>
      <w:lvlJc w:val="left"/>
    </w:lvl>
    <w:lvl w:ilvl="5" w:tplc="539E58AA">
      <w:numFmt w:val="decimal"/>
      <w:lvlText w:val=""/>
      <w:lvlJc w:val="left"/>
    </w:lvl>
    <w:lvl w:ilvl="6" w:tplc="DD2A439C">
      <w:numFmt w:val="decimal"/>
      <w:lvlText w:val=""/>
      <w:lvlJc w:val="left"/>
    </w:lvl>
    <w:lvl w:ilvl="7" w:tplc="2AB48822">
      <w:numFmt w:val="decimal"/>
      <w:lvlText w:val=""/>
      <w:lvlJc w:val="left"/>
    </w:lvl>
    <w:lvl w:ilvl="8" w:tplc="083C3F78">
      <w:numFmt w:val="decimal"/>
      <w:lvlText w:val=""/>
      <w:lvlJc w:val="left"/>
    </w:lvl>
  </w:abstractNum>
  <w:abstractNum w:abstractNumId="2" w15:restartNumberingAfterBreak="0">
    <w:nsid w:val="60112462"/>
    <w:multiLevelType w:val="hybridMultilevel"/>
    <w:tmpl w:val="F1A27B9C"/>
    <w:lvl w:ilvl="0" w:tplc="AC861EBC">
      <w:start w:val="1"/>
      <w:numFmt w:val="decimal"/>
      <w:lvlText w:val="%1."/>
      <w:lvlJc w:val="left"/>
      <w:pPr>
        <w:ind w:left="540" w:hanging="270"/>
      </w:pPr>
    </w:lvl>
    <w:lvl w:ilvl="1" w:tplc="9C501FFA">
      <w:numFmt w:val="decimal"/>
      <w:lvlText w:val=""/>
      <w:lvlJc w:val="left"/>
    </w:lvl>
    <w:lvl w:ilvl="2" w:tplc="28A0E6A4">
      <w:numFmt w:val="decimal"/>
      <w:lvlText w:val=""/>
      <w:lvlJc w:val="left"/>
    </w:lvl>
    <w:lvl w:ilvl="3" w:tplc="CE2C2548">
      <w:numFmt w:val="decimal"/>
      <w:lvlText w:val=""/>
      <w:lvlJc w:val="left"/>
    </w:lvl>
    <w:lvl w:ilvl="4" w:tplc="9A5C5D34">
      <w:numFmt w:val="decimal"/>
      <w:lvlText w:val=""/>
      <w:lvlJc w:val="left"/>
    </w:lvl>
    <w:lvl w:ilvl="5" w:tplc="0B84496A">
      <w:numFmt w:val="decimal"/>
      <w:lvlText w:val=""/>
      <w:lvlJc w:val="left"/>
    </w:lvl>
    <w:lvl w:ilvl="6" w:tplc="DE9C9E62">
      <w:numFmt w:val="decimal"/>
      <w:lvlText w:val=""/>
      <w:lvlJc w:val="left"/>
    </w:lvl>
    <w:lvl w:ilvl="7" w:tplc="861453B6">
      <w:numFmt w:val="decimal"/>
      <w:lvlText w:val=""/>
      <w:lvlJc w:val="left"/>
    </w:lvl>
    <w:lvl w:ilvl="8" w:tplc="D8CEFDAE">
      <w:numFmt w:val="decimal"/>
      <w:lvlText w:val=""/>
      <w:lvlJc w:val="left"/>
    </w:lvl>
  </w:abstractNum>
  <w:num w:numId="1" w16cid:durableId="79567357">
    <w:abstractNumId w:val="0"/>
    <w:lvlOverride w:ilvl="0">
      <w:startOverride w:val="1"/>
    </w:lvlOverride>
  </w:num>
  <w:num w:numId="2" w16cid:durableId="1610158762">
    <w:abstractNumId w:val="1"/>
    <w:lvlOverride w:ilvl="0">
      <w:startOverride w:val="1"/>
    </w:lvlOverride>
  </w:num>
  <w:num w:numId="3" w16cid:durableId="18663580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630"/>
    <w:rsid w:val="001C2630"/>
    <w:rsid w:val="00443A64"/>
    <w:rsid w:val="00C02C2A"/>
    <w:rsid w:val="00F7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DBB3A"/>
  <w15:docId w15:val="{F3422D0B-FC7F-8A4B-A4C5-E748A26A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60" w:lineRule="auto"/>
    </w:pPr>
  </w:style>
  <w:style w:type="paragraph" w:styleId="Heading1">
    <w:name w:val="heading 1"/>
    <w:basedOn w:val="Normal"/>
    <w:next w:val="Normal"/>
    <w:uiPriority w:val="9"/>
    <w:qFormat/>
    <w:pPr>
      <w:spacing w:before="260" w:after="120"/>
      <w:outlineLvl w:val="0"/>
    </w:pPr>
    <w:rPr>
      <w:b/>
      <w:bCs/>
      <w:color w:val="2B3A55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60" w:after="90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1172</Words>
  <Characters>7561</Characters>
  <Application>Microsoft Office Word</Application>
  <DocSecurity>0</DocSecurity>
  <Lines>155</Lines>
  <Paragraphs>69</Paragraphs>
  <ScaleCrop>false</ScaleCrop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 Riley</cp:lastModifiedBy>
  <cp:revision>2</cp:revision>
  <dcterms:created xsi:type="dcterms:W3CDTF">2026-07-08T23:13:00Z</dcterms:created>
  <dcterms:modified xsi:type="dcterms:W3CDTF">2026-07-08T23:13:00Z</dcterms:modified>
</cp:coreProperties>
</file>