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Calibri" w:cs="Calibri" w:eastAsia="Calibri" w:hAnsi="Calibri"/>
          <w:b/>
          <w:bCs/>
          <w:color w:val="1F3864"/>
          <w:sz w:val="40"/>
          <w:szCs w:val="40"/>
        </w:rPr>
        <w:t xml:space="preserve">Technical Envelope Extraction &amp; GRAS-First Formulation Optimisation</w:t>
      </w:r>
    </w:p>
    <w:p>
      <w:pPr>
        <w:spacing w:after="60"/>
      </w:pPr>
      <w:r>
        <w:rPr>
          <w:rFonts w:ascii="Calibri" w:cs="Calibri" w:eastAsia="Calibri" w:hAnsi="Calibri"/>
          <w:b/>
          <w:bCs/>
          <w:color w:val="2E5A88"/>
          <w:sz w:val="30"/>
          <w:szCs w:val="30"/>
        </w:rPr>
        <w:t xml:space="preserve">GT-02287 (Gain Therapeutics, Inc.)</w:t>
      </w:r>
    </w:p>
    <w:p>
      <w:pPr>
        <w:pBdr>
          <w:bottom w:val="single" w:color="1F3864" w:sz="12" w:space="6"/>
        </w:pBdr>
        <w:spacing w:after="220"/>
      </w:pPr>
      <w:r>
        <w:rPr>
          <w:rFonts w:ascii="Calibri" w:cs="Calibri" w:eastAsia="Calibri" w:hAnsi="Calibri"/>
          <w:i/>
          <w:iCs/>
          <w:color w:val="595959"/>
          <w:sz w:val="20"/>
          <w:szCs w:val="20"/>
        </w:rPr>
        <w:t xml:space="preserve">Brain-penetrant allosteric modulator of glucocerebrosidase (GCase / GBA1) for GBA1 and idiopathic Parkinson's disease</w:t>
      </w:r>
    </w:p>
    <w:p>
      <w:pPr>
        <w:spacing w:after="200" w:before="0" w:line="260"/>
      </w:pPr>
      <w:r>
        <w:rPr>
          <w:rFonts w:ascii="Calibri" w:cs="Calibri" w:eastAsia="Calibri" w:hAnsi="Calibri"/>
          <w:b/>
          <w:bCs/>
          <w:sz w:val="20"/>
          <w:szCs w:val="20"/>
        </w:rPr>
        <w:t xml:space="preserve">Prepared for: </w:t>
      </w:r>
      <w:r>
        <w:rPr>
          <w:rFonts w:ascii="Calibri" w:cs="Calibri" w:eastAsia="Calibri" w:hAnsi="Calibri"/>
          <w:sz w:val="20"/>
          <w:szCs w:val="20"/>
        </w:rPr>
        <w:t xml:space="preserve">Amphora Bio  ·  </w:t>
      </w:r>
      <w:r>
        <w:rPr>
          <w:rFonts w:ascii="Calibri" w:cs="Calibri" w:eastAsia="Calibri" w:hAnsi="Calibri"/>
          <w:b/>
          <w:bCs/>
          <w:sz w:val="20"/>
          <w:szCs w:val="20"/>
        </w:rPr>
        <w:t xml:space="preserve">Framework: </w:t>
      </w:r>
      <w:r>
        <w:rPr>
          <w:rFonts w:ascii="Calibri" w:cs="Calibri" w:eastAsia="Calibri" w:hAnsi="Calibri"/>
          <w:sz w:val="20"/>
          <w:szCs w:val="20"/>
        </w:rPr>
        <w:t xml:space="preserve">Amphora Bio Technical Envelope Extraction Prompt v1.0 (August 2026)  ·  </w:t>
      </w:r>
      <w:r>
        <w:rPr>
          <w:rFonts w:ascii="Calibri" w:cs="Calibri" w:eastAsia="Calibri" w:hAnsi="Calibri"/>
          <w:b/>
          <w:bCs/>
          <w:sz w:val="20"/>
          <w:szCs w:val="20"/>
        </w:rPr>
        <w:t xml:space="preserve">Date: </w:t>
      </w:r>
      <w:r>
        <w:rPr>
          <w:rFonts w:ascii="Calibri" w:cs="Calibri" w:eastAsia="Calibri" w:hAnsi="Calibri"/>
          <w:sz w:val="20"/>
          <w:szCs w:val="20"/>
        </w:rPr>
        <w:t xml:space="preserve">14 August 2026</w:t>
      </w:r>
    </w:p>
    <w:p>
      <w:pPr>
        <w:pStyle w:val="Heading1"/>
        <w:pBdr>
          <w:bottom w:val="single" w:color="1F3864" w:sz="12" w:space="4"/>
        </w:pBdr>
        <w:spacing w:after="160" w:before="360"/>
      </w:pPr>
      <w:r>
        <w:rPr>
          <w:rFonts w:ascii="Calibri" w:cs="Calibri" w:eastAsia="Calibri" w:hAnsi="Calibri"/>
          <w:b/>
          <w:bCs/>
          <w:color w:val="1F3864"/>
          <w:sz w:val="30"/>
          <w:szCs w:val="30"/>
        </w:rPr>
        <w:t xml:space="preserve">Reader's Note - Scope, Sourcing and Two Important Caveats</w:t>
      </w:r>
    </w:p>
    <w:p>
      <w:pPr>
        <w:pStyle w:val="Heading3"/>
        <w:spacing w:after="100" w:before="200"/>
      </w:pPr>
      <w:r>
        <w:rPr>
          <w:rFonts w:ascii="Calibri" w:cs="Calibri" w:eastAsia="Calibri" w:hAnsi="Calibri"/>
          <w:b/>
          <w:bCs/>
          <w:color w:val="1F3864"/>
          <w:sz w:val="21"/>
          <w:szCs w:val="21"/>
        </w:rPr>
        <w:t xml:space="preserve">Compound identity</w:t>
      </w:r>
    </w:p>
    <w:p>
      <w:pPr>
        <w:spacing w:after="120" w:before="0" w:line="260"/>
      </w:pPr>
      <w:r>
        <w:rPr>
          <w:rFonts w:ascii="Calibri" w:cs="Calibri" w:eastAsia="Calibri" w:hAnsi="Calibri"/>
          <w:sz w:val="20"/>
          <w:szCs w:val="20"/>
        </w:rPr>
        <w:t xml:space="preserve">The request specified "GB-2287". Gain Therapeutics' lead clinical candidate is GT-02287, and this analysis is run on that compound. No molecule designated GB-2287 exists in the Gain Therapeutics portfolio.</w:t>
      </w:r>
    </w:p>
    <w:p>
      <w:pPr>
        <w:pStyle w:val="Heading3"/>
        <w:spacing w:after="100" w:before="200"/>
      </w:pPr>
      <w:r>
        <w:rPr>
          <w:rFonts w:ascii="Calibri" w:cs="Calibri" w:eastAsia="Calibri" w:hAnsi="Calibri"/>
          <w:b/>
          <w:bCs/>
          <w:color w:val="1F3864"/>
          <w:sz w:val="21"/>
          <w:szCs w:val="21"/>
        </w:rPr>
        <w:t xml:space="preserve">Caveat 1 - the chemical structure of GT-02287 has never been publicly disclosed</w:t>
      </w:r>
    </w:p>
    <w:p>
      <w:pPr>
        <w:spacing w:after="120" w:before="0" w:line="260"/>
      </w:pPr>
      <w:r>
        <w:rPr>
          <w:rFonts w:ascii="Calibri" w:cs="Calibri" w:eastAsia="Calibri" w:hAnsi="Calibri"/>
          <w:sz w:val="20"/>
          <w:szCs w:val="20"/>
        </w:rPr>
        <w:t xml:space="preserve">There is no published structure, molecular formula, molecular weight, SMILES, InChI, CAS number or UNII for GT-02287. It is absent from PubChem, ChEMBL, DrugBank and KEGG. This single gap propagates through the entire physicochemical section of the envelope: logP, pKa, TPSA and hydrogen-bonding counts cannot be reported, predicted or inferred, and no in-silico ADMET profiling is possible.</w:t>
      </w:r>
    </w:p>
    <w:p>
      <w:pPr>
        <w:spacing w:after="120" w:before="0" w:line="260"/>
      </w:pPr>
      <w:r>
        <w:rPr>
          <w:rFonts w:ascii="Calibri" w:cs="Calibri" w:eastAsia="Calibri" w:hAnsi="Calibri"/>
          <w:sz w:val="20"/>
          <w:szCs w:val="20"/>
        </w:rPr>
        <w:t xml:space="preserve">The probable composition-of-matter genus is Minoryx Therapeutics SL WO2018122775A1 / US11174242B2 (2,4-diamino-1,3,5-triazines bearing a benzyl(methyl)aminomethyl arm). Gain Therapeutics is a spin-off of Minoryx and licenses this family. The link rests on a single circumstantial match: Gain's January 2026 deck states the composition-of-matter patent runs "through 2038", and US11174242B2 expires 2038-01-09. The deck does not name a patent number and no source maps a specific patent example to GT-02287. Where this report reasons from that scaffold - principally Insight 2 - the assumption is flagged and the confidence lowered accordingly.</w:t>
      </w:r>
    </w:p>
    <w:p>
      <w:pPr>
        <w:pStyle w:val="Heading3"/>
        <w:spacing w:after="100" w:before="200"/>
      </w:pPr>
      <w:r>
        <w:rPr>
          <w:rFonts w:ascii="Calibri" w:cs="Calibri" w:eastAsia="Calibri" w:hAnsi="Calibri"/>
          <w:b/>
          <w:bCs/>
          <w:color w:val="1F3864"/>
          <w:sz w:val="21"/>
          <w:szCs w:val="21"/>
        </w:rPr>
        <w:t xml:space="preserve">Caveat 2 - source basis</w:t>
      </w:r>
    </w:p>
    <w:p>
      <w:pPr>
        <w:spacing w:after="120" w:before="0" w:line="260"/>
      </w:pPr>
      <w:r>
        <w:rPr>
          <w:rFonts w:ascii="Calibri" w:cs="Calibri" w:eastAsia="Calibri" w:hAnsi="Calibri"/>
          <w:sz w:val="20"/>
          <w:szCs w:val="20"/>
        </w:rPr>
        <w:t xml:space="preserve">GT-02287 is an unapproved, clinical-stage asset. There is therefore no EPAR, no AusPAR, no PMDA review report, no Health Canada product monograph and no pharmacopoeial monograph - the sources Appendix A of the framework identifies as the richest public envelope data. The extraction below rests on SEC filings (FY2021-FY2025 Forms 10-K and 8-K exhibits), company corporate decks and conference posters, and clinical trial registry records. Per the framework's Rule 5 and the agreed handling, every unreported parameter is returned as NR and no value has been imputed, estimated or averaged.</w:t>
      </w:r>
    </w:p>
    <w:p>
      <w:pPr>
        <w:spacing w:after="140" w:before="0" w:line="260"/>
      </w:pPr>
      <w:r>
        <w:rPr>
          <w:rFonts w:ascii="Calibri" w:cs="Calibri" w:eastAsia="Calibri" w:hAnsi="Calibri"/>
          <w:b/>
          <w:bCs/>
          <w:sz w:val="20"/>
          <w:szCs w:val="20"/>
        </w:rPr>
        <w:t xml:space="preserve">Two primary sources were identified but could not be retrieved and should be obtained: </w:t>
      </w:r>
      <w:r>
        <w:rPr>
          <w:rFonts w:ascii="Calibri" w:cs="Calibri" w:eastAsia="Calibri" w:hAnsi="Calibri"/>
          <w:sz w:val="20"/>
          <w:szCs w:val="20"/>
        </w:rPr>
        <w:t xml:space="preserve">(1) Pozzi et al., Movement Disorders 2026, "Glucocerebrosidase Target Engagement and Therapeutic Plasma and Cerebrospinal Fluid Levels After GT-02287 Administration in Healthy Volunteers", DOI 10.1002/mds.70111 (PMID 41194551) - titled precisely around the missing plasma and CSF pharmacokinetics and almost certainly contains the Cmax, AUC, half-life and dispersion statistics absent from the public record. (2) Fregno et al., International Journal of Molecular Sciences 2025;26(9):4392, DOI 10.3390/ijms26094392 - the definitive GT-02287 / GT-02329 in vitro paper, likely holding the EC50, KD and thermal-shift values. Both publishers returned access errors. These are the two highest-value next reads.</w:t>
      </w:r>
    </w:p>
    <w:p>
      <w:pPr>
        <w:pStyle w:val="Heading3"/>
        <w:spacing w:after="100" w:before="200"/>
      </w:pPr>
      <w:r>
        <w:rPr>
          <w:rFonts w:ascii="Calibri" w:cs="Calibri" w:eastAsia="Calibri" w:hAnsi="Calibri"/>
          <w:b/>
          <w:bCs/>
          <w:color w:val="1F3864"/>
          <w:sz w:val="21"/>
          <w:szCs w:val="21"/>
        </w:rPr>
        <w:t xml:space="preserve">A note on derived values</w:t>
      </w:r>
    </w:p>
    <w:p>
      <w:pPr>
        <w:spacing w:after="120" w:before="0" w:line="260"/>
      </w:pPr>
      <w:r>
        <w:rPr>
          <w:rFonts w:ascii="Calibri" w:cs="Calibri" w:eastAsia="Calibri" w:hAnsi="Calibri"/>
          <w:sz w:val="20"/>
          <w:szCs w:val="20"/>
        </w:rPr>
        <w:t xml:space="preserve">Per Rule 1, nothing in the extraction table has been recalculated. Three quantities used in the diagnostic and improvement sections are analyst-derived from published values and are labelled as such wherever they appear: the total CSF:plasma ratio of 0.0036 (from 3.1 and 850 ng/mL); the approximate absolute daily dose of 0.6-1.6 g (from 13.5 mg/kg/day across the 45-120 kg protocol weight window); and the conditional micromolar conversion of the CSF concentration in Insight 2, which additionally assumes a molecular weight the sponsor has not published.</w:t>
      </w:r>
    </w:p>
    <w:p>
      <w:pPr>
        <w:sectPr>
          <w:pgSz w:w="12240" w:h="15840" w:orient="portrait"/>
          <w:pgMar w:top="900" w:right="720" w:bottom="900" w:left="720" w:header="708" w:footer="708" w:gutter="0"/>
          <w:pgNumType/>
          <w:docGrid w:linePitch="360"/>
        </w:sectPr>
      </w:pPr>
    </w:p>
    <w:p>
      <w:pPr>
        <w:pStyle w:val="Heading1"/>
        <w:pBdr>
          <w:bottom w:val="single" w:color="1F3864" w:sz="12" w:space="4"/>
        </w:pBdr>
        <w:spacing w:after="160" w:before="360"/>
      </w:pPr>
      <w:r>
        <w:rPr>
          <w:rFonts w:ascii="Calibri" w:cs="Calibri" w:eastAsia="Calibri" w:hAnsi="Calibri"/>
          <w:b/>
          <w:bCs/>
          <w:color w:val="1F3864"/>
          <w:sz w:val="30"/>
          <w:szCs w:val="30"/>
        </w:rPr>
        <w:t xml:space="preserve">Output 1 - Structured Extraction Table</w:t>
      </w:r>
    </w:p>
    <w:p>
      <w:pPr>
        <w:spacing w:after="200" w:before="0" w:line="260"/>
      </w:pPr>
      <w:r>
        <w:rPr>
          <w:rFonts w:ascii="Calibri" w:cs="Calibri" w:eastAsia="Calibri" w:hAnsi="Calibri"/>
          <w:i/>
          <w:iCs/>
          <w:color w:val="595959"/>
          <w:sz w:val="18"/>
          <w:szCs w:val="18"/>
        </w:rPr>
        <w:t xml:space="preserve">One row per parameter value. Values are verbatim as published; units are carried inside the Value column exactly as reported. "NR" (shown in red) means the parameter is not reported in any source located. "AMBIG" marks a value that is reported but ambiguous, with the ambiguity explained in Comments. Confidence follows Rule 9: High = explicit numeric in table or text; Medium = read from a figure or reported via a secondary source; Low = derived or inferred by the source authors. Where the parameter is absent, confidence refers to the confidence that it is genuinely unpublished.</w:t>
      </w:r>
    </w:p>
    <w:p>
      <w:pPr>
        <w:pStyle w:val="Heading2"/>
        <w:spacing w:after="120" w:before="280"/>
      </w:pPr>
      <w:r>
        <w:rPr>
          <w:rFonts w:ascii="Calibri" w:cs="Calibri" w:eastAsia="Calibri" w:hAnsi="Calibri"/>
          <w:b/>
          <w:bCs/>
          <w:color w:val="2E5A88"/>
          <w:sz w:val="24"/>
          <w:szCs w:val="24"/>
        </w:rPr>
        <w:t xml:space="preserve">A. Compound Identification and Physicochemical Properties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Compound name / code</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GT-02287</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Gain Therapeutics FY2025 10-K, Business section</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Synonyms seen: GT02287. Program siblings: GT-02169, GT-02286, GT-02329, GT-02216, GT-04686.</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CAS / UNII / ChEMBL / DrugBank ID</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Absent from PubChem, ChEMBL, DrugBank, KEGG searches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public chemical registry entry exists.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Modality class</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Small molecule</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corporate decks</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Sections F1/F2 (biologics, oligo, ADC, cell/gene) marked N/A throughout.</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Target</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Beta-glucocerebrosidase (GCase; gene GBA1)</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Business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Mechanism of action</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Brain-penetrant "structurally targeted allosteric regulator" (STAR); allosteric chaperone that stabilises GCase without inhibiting it</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WORLDSymposium 2021 Poster B; FY2025 10-K</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Allosteric site identified computationally by MDmix on PDB 2V3F (1.95 A). Site is predicted, not experimentally resolved; no co-crystal published.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Molecular weight / molecular formula</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in any source</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The chemical structure of GT-02287 has never been publicly disclosed.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SMILES / InChI / IUPAC name</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Likely composition-of-matter genus: Minoryx Therapeutics SL WO2018122775A1 / US11174242B2 (2,4-diamino-1,3,5-triazines with a benzyl(methyl)aminomethyl arm), corroborated only circumstantially by the deck statement "composition of matter patent ... term through 2038" matching US11174242B2 expiry 2038-01-09. NOT confirmed.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logP / logD / pKa</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Cannot be measured or predicted externally without a structure.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TPSA; HBD / HBA; rotatable bonds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Aqueous solubility (numeric)</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See next row for the qualitative statement.</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Aqueous solubility (qualitative)</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"low aqueous solubility"</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All species (company statement)</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 footnote; repeated Jan 2026 deck slide 13</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(stmt)</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Verbatim: "CSF levels are low in all species due to low aqueous solubility and high protein binding." This is the company's own attribution of the limiting property.</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BCS / DCS class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Behaviour is consistent with BCS II / DCS IIa but no classification has been published.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Melting point; polymorph; salt / co-crystal form; crystallinity; hygroscopicity</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WO2021105908A1 contains generic language "the pharmaceutically acceptable salt is a hydrochloride salt" but this is not attributed to GT-02287.</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Chemical stability (pH profile, photostability, oxidation/hydrolysis)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Chirality / stereochemistry; enantiomeric purity</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Composition-of-matter patent term</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Through 2038 (excluding Hatch-Waxman extension)</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2026, slide 4</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Patent number not named in the deck.</w:t>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B. Formulation Attributes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Route of administration</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mouse; rat; dog</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All studies</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all posters</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Dosage form (clinical)</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 suspension</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 relative-bioavailability study</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ANZCTR record title via secondary source (PatSnap Synapse): "...Relative Bioavailability of Two GT-02287 Oral Suspension Formulations in Healthy Participants"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AMBIG on primary sourcing: the ANZCTR registry itself could not be read (server repeatedly served an unrelated record). Corroborated in principle by FY2025 10-K: "a Phase 1 relative bioavailability study ... to compare two oral formulations of GT-02287." No capsule or tablet has ever been described. No mg strengths exist.</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Formulation ID / composition / excipients / grades / % w/w</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and all preclinical species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in any source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Preclinical posters state only "Compound formulation, 10 mL/kg, P.O., BID" without composition.</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Enabling technology (ASD, lipid, cyclodextrin, nanosuspension, prodrug)</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enabling technology has ever been mentioned in any filing, deck, or poster.</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Particle size distribution (D10/D50/D90); PDI; zeta potential</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Material for a suspension product; complete absence is notable.</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Dissolution profile; disintegration time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 osmolality; viscosity; density; drug loading</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Preservative / antioxidant / surfactant content</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Stability data; freeze/thaw; storage; shelf life; container closure</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CMC or manufacturing disclosure of any kind found across FY2021-FY2025 10-Ks and 10-Qs.</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Formulation bridging study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 open-label, randomised, 2-way crossover, relative bioavailability of two oral suspension formulations; initiated Q2 2025; status Completed</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participants</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Sponsor: Gain Therapeutics Australia Pty Ltd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candidate registry ID ACTRN12625000473460 (unverified)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RESULT NEVER PUBLISHED. Doses, n, washout, fed/fasted conditions and PK endpoints all unknown.</w:t>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C1. Pharmacokinetics - Absorption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Tmax</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0.5 to 2</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range (as stated)</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rat, dog;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Preclinical PK studies</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Business, "Pharmacokinetics"</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Verbatim: "quickly absorbed following oral administration, reaching the maximal concentration in plasma (Tmax) between 0.5 and 2 hours". Species-specific values not broken out.</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Tmax (human)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 SAD/MAD; Phase 1b (protocol-specified)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Tmax is a protocol-specified Phase 1b PK parameter but no value has been released.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Cmax (human)</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850 ng/mL (mean)</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(MAD cohort 4);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Multiple dose, Day 13; n not stated on slide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 / Jan 2026 slide 13; MDS 2024 Phase 1 poster</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SD, CV% or CI published for this or any other human PK parameter.</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Cmax (mouse)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2414 ng/mL (mean)</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10 mg/kg, i.v.</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15 min post-dose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IV, so this is not an absorption parameter.</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Cmax (rat)</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680 ng/mL (mean)</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30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 h post-dose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Absolute oral bioavailability F</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36 %</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AMBIG - species not stated on the slide (most plausibly mouse)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 vs i.v.</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Comparative PK; n not stated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WORLDSymposium 2021 Poster C</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AMBIG flagged: the poster reports F for GT-02287 (36%) and GT-02329 (35%) without naming the species. No human absolute F exists (no IV formulation reported).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Relative bioavailability Frel</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2-way crossover, two suspension formulations, 2025</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Study completed; result not published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See Section B. This is one of two withheld formulation-defining datasets.</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ka; fa; Fg; Fh</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Food effect (fed/fasted AUC and Cmax ratio with CI)</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10 mg/kg, p.o. (fed arm in SAD)</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Single dose, fed vs fasted</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states the Phase 1 assessed "safety, tolerability, pharmacokinetics, and food effect"; a fed cohort appears in the SAD design slide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The study was designed to measure food effect and the result has never been disclosed in any filing, deck, poster or press release.</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pH-dependent absorption / effect of acid-reducing agents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no dedicated study reported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Highly material given the target population's PPI use and gastroparesis. See Insight 5.</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Absorption site / regional absorption; gastric-emptying dependence</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C2. Pharmacokinetics - Exposure</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Dose proportionality / linearity</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"linear across the tested dose ranges"</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SAD and MAD dose ranges,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FY2024 10-K, Business</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Qualitative statement only.</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Dose vs AUC regression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R-squared = 0.9663 (Day 1); R-squared = 0.9975 (Day 14)</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Dose axis 4-16 mg/kg, 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Linear regression across cohorts</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18</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AUC axis spans 0-12,000 ng*h/mL but no individual AUC value is printed.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AUC0-t / AUC0-inf / AUC0-tau (numeric)</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 (only an axis range)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No human AUC value with units has ever been published.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Therapeutic exposure threshold</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AUClast greater than 2000 ng*h/mL cited as the therapeutic threshold</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MDS 2024 Phase 1 poster</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Read from a poster figure/annotation; the underlying "projected therapeutic range" is never given a numeric definition in any source.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Exposure adequacy statement</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"plasma exposures at daily doses of 7.7 mg/kg and above were within the projected therapeutic range"</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7.7 mg/kg/day and above,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MAD, 14 days</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FY2024 and FY2025 10-K</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Cmin / Ctrough / Cavg at steady state; time to steady state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Cmin is a protocol-specified Phase 1b parameter.</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Accumulation ratio Rac; peak-trough fluctuation</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Rac(AUC) and Rac(Cmax) are protocol-specified Phase 1b PK parameters (AD/PD 2025 design poster) but no values have been released.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Nonlinearity mechanism</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applicable / not reported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Company reports linearity, so no mechanism is described.</w:t>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C3. Pharmacokinetics - Distribution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CSF concentration (human)</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3.1 ng/mL (mean)</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range 1.7-4.9 ng/mL</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(MAD cohort 4); CSF</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Multiple dose, Day 13</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 / Jan 2026 slide 13; MDS 2024 Phase 1 poster</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The only human dispersion statistic published for any PK parameter.</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CSF concentration (mouse)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4 ng/mL (mean)</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CSF</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10 mg/kg, i.v.</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15 min post-dose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CSF concentration (rat)</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 ng/mL (mean)</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 CSF</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30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 h post-dose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Total brain concentration (mouse)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6592 ng/mL</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brain homogenate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10 mg/kg, i.v.</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15 min post-dose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Total brain concentration (rat)</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2441 ng/mL</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 brain homogenate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30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 h post-dose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Brain:plasma ratio</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"greater than one"; "2-8 times higher than total plasma levels"</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rat; brain vs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As above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Neuro-PK studies</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corporate deck Jan 2025 slide 19 footnote</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(stmt)</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single numeric ratio is printed. Both statements are total (not unbound) concentrations.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CSF:plasma ratio (human)</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Day 13</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 as a printed value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Derivable as 3.1/850 = 0.0036 but this is an analyst calculation, not a source value, and is therefore reported only in Section 3/4 of this report, not as an extracted datum.</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Kp,uu (brain)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HIGHEST-VALUE MISSING PARAMETER together with fu. See Insight 1.</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Plasma protein binding (% bound / fu); binding proteins</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protein binding" (qualitative)</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All species (company statement)</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2025, slide 19 footnote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No numeric fu, % bound, binding protein identity, or concentration-dependence has ever been published for any species.</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Volume of distribution (Vd, Vc, Vss, Vz)</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Blood-to-plasma ratio (Kb/p)</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Tissue distribution / QWBA</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Radiolabelled mass-balance study in rats concluded 2024, "demonstrating the distribution of the compound within the central nervous system"</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Radiolabelled, route not stated</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Mass balance study</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FY2024 10-K, Business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(stmt)</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Kp values, no tissue table, no mass-balance percentages published.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Placental transfer; milk excretion; melanin binding</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C4 / C5. Metabolism, Elimination and Excretion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Terminal half-life t1/2 (mouse)</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about 2 h</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Preclinical PK</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Business, "Pharmacokinetics"</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Terminal half-life t1/2 (rat)</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3 h</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Preclinical PK</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Terminal half-life t1/2 (dog)</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5 h</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Dog; plasma</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Preclinical PK</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Terminal half-life t1/2 (human)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 plasma</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given once-daily dosing. See Improvement Plan IP-5.</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Total clearance CL / CL/F; hepatic extraction ratio</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CL value for any species.</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MRT; kel; effective half-life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Major metabolic pathways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for a chronic drug in a polypharmacy population.</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Enzymes and fractional contribution (fm); CYP/UGT/AO/FMO/CES/SULT</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CYP phenotyping data of any kind published.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Metabolite identity / activity / exposure; MIST</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First-pass magnitude; enterohepatic recirculation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Mass balance (% in urine, faeces, bile); % excreted unchanged</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 (study performed)</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Radiolabelled</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Mass-balance study 2024</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Study performed; numeric results not published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The study exists (FY2024 10-K) but no recovery percentages were released.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Renal clearance CLr; fe; biliary clearance; dialysability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C6 / C7. PK Modelling, Variability and Special Populations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Compartmental model structure; PopPK; covariates; PBPK</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modelling of any kind has been published.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Between-subject / within-subject variability on AUC and Cmax</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 CV% published. Notable: body-weight-scaled dosing is itself an implicit variability-control measure.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Renal impairment; hepatic impairment</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no studies reported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Age / body weight / BMI / sex / pregnancy effects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 enrolled healthy adults 18-65 with approximately 15% over age 50; no PK-by-age analysis published. Phase 1b enrolled ages 30-85, BMI 18-40 kg/m2, weight 45-120 kg.</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Pharmacogenomics (CYP2D6/2C19 phenotype effects)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DDI as victim / as perpetrator</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no DDI study reported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Target population is on levodopa/carbidopa, COMT and MAO-B inhibitors, dopamine agonists, amantadine plus comorbidity medication.</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Smoking / ethnicity / disease-state effects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D. Pharmacodynamics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EC50 (GCase activity, cellular)</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"one-digit micromolar" range</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Patient-derived fibroblasts (WT; p.N370S/ins; p.L444P/p.L444P)</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Dose range 0.2-25 microM, in vitro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4-MU-beta-D-Glc and PFBFDGlu substrates</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AD/PD 2022 poster</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Qualitative range only. NO numeric EC50, IC50, Ki or Kd has ever been published for GT-02287. For orientation only, the structurally related program compound GT-02216 has published EC50 values of 2.4 and 1.1 micromol/L (Sci Rep 2025, DOI 10.1038/s41598-025-02346-8) - a different molecule, not transferable.</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Kd / KD (SPR)</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Immobilised GCase (Cerezyme), pH 7.4</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In vitro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Surface plasmon resonance, dose-response confirmed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WORLDSymposium 2021 Poster B</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Binding demonstrated qualitatively; no numeric affinity published.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Thermal stabilisation (delta Tm, nanoDSF)</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Recombinant GCase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In vitro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nanoDSF, dose-responsive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WORLDSymposium 2021 Poster B</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kon / koff / residence time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Emax / Imax; Hill coefficient</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Fold increase in GCase activity (in vitro)</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1.00 to 2.50 fold</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Patient fibroblasts across genotypes</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In vitro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Day 4 and day 10 readouts; comparator isofagomine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WORLDSymposium 2021 Poster C</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AD/PD 2022 poster reports approximately 1.2-fold in WT, p.L444P/p.L444P and p.N370S/ins fibroblasts.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Selectivity margin vs off-targets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no off-target panel published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Receptor occupancy vs concentration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Target engagement biomarker (human)</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Mean GCase activity increased 53% (p less than 0.001)</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dried blood spots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MAD cohort 4, Day 14; 5 of 6 active subjects responded; placebo +4%</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FY2024 and FY2025 10-K; corporate deck Jan 2025 slides 17/20</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CONTRADICTION FLAG: the same result is reported as approximately 30% (MDS 2024 press release), "greater than 50%" (Dec 2024 8-K) and approximately 53% (10-K, decks). Only the 13.5 mg/kg cohort was analysed for GCase activity - no exposure-response curve exists.</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Duration of target engagement</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GCase activity continued to increase 12 hours post-dose at 14 days</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dried blood spots</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Furthest timepoint analysed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Directly relevant to dosing-interval design; see Improvement Plan IP-5.</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Substrate reduction - CSF glucosylsphingosine (GluSph)</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Average 81% reduction to normal levels (p less than 0.05) after 90 days</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Parkinson's disease patients with elevated baseline CSF GluSph; CSF</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Day 90; n=13 evaluable, subgroup with elevated baseline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Mar 2026; 8-K Ex-99.1 11 May 2026</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Baseline approximately 200 pg/mL to approximately 40 pg/mL read from a graph (Low confidence for the absolute values; the 81% figure is printed).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Substrate reduction - glucosylceramide (human)</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quantified in humans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GlcCer reduction is reported preclinically only (rat rotenone, CBE mouse, UHPLC-MS/MS) without published effect sizes.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DOPA decarboxylase (DDC), CSF</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Baseline approximately 100-150 pg/mL; Day 90 change approximately -20 to -40 pg/mL (p=0.06, trend)</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 high CSF GluSph subgroup; CSF</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Day 90</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Mar 2026</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Low</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Values read from a figure, not printed.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endpoint - MDS-UPDRS Day 90 (high CSF GluSph subgroup)</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Part II -1.5; Part III -4.67; Part II+III -6.17 (p less than 0.05)</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 n=6; clinical scale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Day 90, open-label, no placebo control</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Mar 2026</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CONTRADICTION FLAG: the Day 90 II+III change is variously reported as -6.17 (n=6 subgroup), -2.20 (n=15), -4.6 (n=9) and +0.63 (n=13 all evaluable) across sources with different denominators. Open-label single-arm; not placebo-controlled.</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endpoint - MDS-UPDRS Day 90 (low CSF GluSph subgroup)</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Part II -0.54; Part III -2.00; Part II+III -2.54 (not significant)</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NR</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 n=7; clinical scale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Day 90</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Mar 2026</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endpoint - Day 150</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MDS-UPDRS scores remained stable over 150 days of dosing; group difference reported as 4.8 points and, separately, 6.7 points</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 14 of 16 in extension had completed Day 150</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(with reduced-dose option), p.o.</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Part 2 extension</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8-K Ex-99.1 11 May 2026; GBA1 Meeting 2026 and AD/PD 2026 press releases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Medium</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CONTRADICTION FLAG: 4.8 vs 6.7 points; the 6.7 figure is labelled "preliminary, subject to quality assurance".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Baseline disease characteristics (Phase 1b)</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Mean age 63.5 y (range 42-83); disease duration 3.0 y (range 0.5-7.0); Hoehn &amp; Yahr 1.6 (range 1-2.5); MDS-UPDRS I 5.8, II 7.4, III 24.7</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ranges as stated</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 n=21 enrolled (27 screened)</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baseline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2026</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washout / durability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After compound withdrawal, GCase activity fell but improvement in disease markers and motor and cognitive function was maintained for at least 9 days</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 (CBE + alpha-syn PFF model)</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60-90 mg/kg p.o. q.d.</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Drug withdrawn day 20, assessed to day 29</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 SFN 2024 and FENS 2024 posters</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Materially important: pharmacodynamic effect substantially outlives plasma exposure. See Improvement Plan IP-5 and Insight 2.</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PK/PD model type; in vivo EC50; hysteresis; exposure-response</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 no PK/PD model published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no exposure-response relationship has been published for any endpoint. Only one dose cohort was assayed for GCase activity.</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Neurofilament light (NfL) - clinical</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Human</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published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NfL reduction is reported preclinically only (plasma, mouse, p less than 0.01 at 60 and 90 mg/kg) without printed values.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DaTscan / imaging</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Never reported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E. ADMET - In Vitro, Safety Pharmacology and Toxicology</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Caco-2 / MDCK Papp; efflux ratio; PAMPA</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Without an efflux ratio it is impossible to distinguish a solubility-limited from an efflux-limited absorption problem from public data.</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P-gp (MDR1) / BCRP / OATP / OAT / OCT / MATE / BSEP substrate status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Directly determines whether the CNS-delivery toolbox is relevant. See Insight 1.</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Transporter inhibition IC50/Ki; DDI risk flags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Microsomal / hepatocyte CLint; in vitro t1/2; IVIVE</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Plasma / blood / matrix stability</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CYP inhibition (reversible IC50/Ki; TDI kinact/KI)</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CYP induction (fold, EC50, Emax; PXR/AhR)</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Reactive metabolite signals (GSH trapping, covalent binding)</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hERG IC50; Nav1.5 / Cav1.2; in vivo QTc</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ECGs were collected as a Phase 1 safety endpoint but no QTc result has been published and no TQT study is described.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CNS / respiratory / cardiovascular core battery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Genotoxicity (Ames, micronucleus, chromosomal aberration)</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Cytotoxicity (CC50); mitochondrial toxicity; phospholipidosis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Note: GT-02287 is reported to IMPROVE mitochondrial function in disease models (Complex I activity approximately 300% of WT at 12.5 microM in L444P/L444P fibroblasts; Neuroscience 2025 poster) - a pharmacology finding, not a toxicology one.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Hepatotoxicity signals; phototoxicity; haemolysis</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Off-target screening panel</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Acute tolerability - rat</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Well tolerated at 2000 mg/kg (male) and 1000 mg/kg (female)</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Rat</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Single oral administration</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GLP toxicology</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FY2022 10-K</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This is a tolerability statement, not a NOAEL.</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Acute / 14-day tolerability - dog</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Well tolerated at 1000 mg/kg single oral; no severe toxicity up to 1000 mg/kg after 14-day administration, "corresponding to a human equivalent dose of 33 g per day"</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Dog (male and female)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GLP toxicology, 14 days</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FY2022 10-K</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The 33 g/day HED framing implies a very wide acute safety margin over the approximately 1 g/day clinical dose.</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Tolerability - mouse</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Safe up to 60 mg/kg i.v.; well tolerated up to 120 mg/kg p.o. BID</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Mouse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i.v. and p.o. BID</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Sub-chronic, 12 days; 3 mice/dose group i.v., 12 mice/dose group p.o.</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FY2021 10-K</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Chronic toxicology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6-month rodent and 9-month non-rodent studies completed, "enabling clinical dosing beyond 12 months"</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Rodent and non-rodent</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Oral</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GLP chronic general toxicity</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FY2025 10-K</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Sub-chronic GLP studies completed Q2 2024 enabled 3-month dosing.</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NOAEL / LOAEL with exposure at NOAEL; MTD; STD10; HNSTD</w:t>
            </w:r>
          </w:p>
        </w:tc>
        <w:tc>
          <w:tcPr>
            <w:tcW w:type="dxa" w:w="1750"/>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CRITICAL GAP. No NOAEL value, no target organs, no exposure multiples versus clinical exposure have ever been published. No clinical MTD was declared and no DLT reported.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Reproductive / developmental toxicity; carcinogenicity; immunotoxicity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9C2B2B"/>
                <w:sz w:val="15"/>
                <w:szCs w:val="15"/>
              </w:rPr>
              <w:t xml:space="preserve">NR</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Not disclosed</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 (abs.)</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safety - overall (Phase 1)</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Any TEAE: 33/55 (60%) GT-02287 vs 8/18 (44%) placebo; drug-related 21 (38%) vs 1 (6%); Grade 3: 0; SAEs: 0; discontinuations: 0</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SAD and MAD, p.o.</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Oct 2025 AE table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AMBIG: the AE table totals 55 active + 18 placebo = 73, whereas the 10-K states 72 volunteers (40 SAD + 32 MAD). Reported as printed; not reconciled.</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safety - most common MAD adverse events</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Nausea 32%; abdominal pain 8%; diarrhoea 8%; headache 8%</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Healthy volunteers (MAD)</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p.o., 14 days</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 MAD</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Oct 2025</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Nausea is the dominant AE and is gastrointestinal. See Improvement Plan IP-4.</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Clinical safety - Phase 1b</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93 total TEAEs in 18 participants; 85% mild, 11% moderate, 5% severe; no treatment-emergent SAEs; most common headache (n=6), laboratory abnormalities (n=6), diarrhoea (n=6)</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PD patients</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13.5 mg/kg/day, p.o., 90 days</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Phase 1b Part 1</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Corporate deck Jan 2026</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High</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
            </w:r>
          </w:p>
        </w:tc>
      </w:tr>
    </w:tbl>
    <w:p>
      <w:pPr>
        <w:spacing w:after="16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F. Modality-Specific Extensions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50"/>
        <w:gridCol w:w="800"/>
        <w:gridCol w:w="1350"/>
        <w:gridCol w:w="1300"/>
        <w:gridCol w:w="1400"/>
        <w:gridCol w:w="1800"/>
        <w:gridCol w:w="900"/>
        <w:gridCol w:w="3600"/>
      </w:tblGrid>
      <w:tr>
        <w:trPr>
          <w:tblHeader/>
        </w:trPr>
        <w:tc>
          <w:tcPr>
            <w:tcW w:type="dxa" w:w="15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17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Value (as reported, incl. unit)</w:t>
            </w:r>
          </w:p>
        </w:tc>
        <w:tc>
          <w:tcPr>
            <w:tcW w:type="dxa" w:w="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Dispersion</w:t>
            </w:r>
          </w:p>
        </w:tc>
        <w:tc>
          <w:tcPr>
            <w:tcW w:type="dxa" w:w="135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Species / population / matrix</w:t>
            </w:r>
          </w:p>
        </w:tc>
        <w:tc>
          <w:tcPr>
            <w:tcW w:type="dxa" w:w="13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Dose / route / formulation</w:t>
            </w:r>
          </w:p>
        </w:tc>
        <w:tc>
          <w:tcPr>
            <w:tcW w:type="dxa" w:w="1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Dosing context / n / method</w:t>
            </w:r>
          </w:p>
        </w:tc>
        <w:tc>
          <w:tcPr>
            <w:tcW w:type="dxa" w:w="18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Source location</w:t>
            </w:r>
          </w:p>
        </w:tc>
        <w:tc>
          <w:tcPr>
            <w:tcW w:type="dxa" w:w="9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Conf.</w:t>
            </w:r>
          </w:p>
        </w:tc>
        <w:tc>
          <w:tcPr>
            <w:tcW w:type="dxa" w:w="36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Comments</w:t>
            </w:r>
          </w:p>
        </w:tc>
      </w:tr>
      <w:tr>
        <w:tc>
          <w:tcPr>
            <w:tcW w:type="dxa" w:w="15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F1. Biologics (proteins, mAbs, peptides)</w:t>
            </w:r>
          </w:p>
        </w:tc>
        <w:tc>
          <w:tcPr>
            <w:tcW w:type="dxa" w:w="17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9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3600"/>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GT-02287 is a small molecule.</w:t>
            </w:r>
          </w:p>
        </w:tc>
      </w:tr>
      <w:tr>
        <w:tc>
          <w:tcPr>
            <w:tcW w:type="dxa" w:w="15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F2. Oligonucleotides, ADCs, cell/gene therapy</w:t>
            </w:r>
          </w:p>
        </w:tc>
        <w:tc>
          <w:tcPr>
            <w:tcW w:type="dxa" w:w="17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N/A</w:t>
            </w:r>
          </w:p>
        </w:tc>
        <w:tc>
          <w:tcPr>
            <w:tcW w:type="dxa" w:w="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5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3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4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18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9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w:t>
            </w:r>
          </w:p>
        </w:tc>
        <w:tc>
          <w:tcPr>
            <w:tcW w:type="dxa" w:w="36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5"/>
                <w:szCs w:val="15"/>
              </w:rPr>
              <w:t xml:space="preserve">GT-02287 is a small molecule.</w:t>
            </w:r>
          </w:p>
        </w:tc>
      </w:tr>
    </w:tbl>
    <w:p>
      <w:pPr>
        <w:spacing w:after="160" w:before="0" w:line="260"/>
      </w:pPr>
      <w:r>
        <w:rPr>
          <w:rFonts w:ascii="Calibri" w:cs="Calibri" w:eastAsia="Calibri" w:hAnsi="Calibri"/>
          <w:sz w:val="20"/>
          <w:szCs w:val="20"/>
        </w:rPr>
        <w:t xml:space="preserve"/>
      </w:r>
    </w:p>
    <w:p>
      <w:pPr>
        <w:sectPr>
          <w:pgSz w:w="15840" w:h="12240" w:orient="landscape"/>
          <w:pgMar w:top="720" w:right="720" w:bottom="720" w:left="720" w:header="708" w:footer="708" w:gutter="0"/>
          <w:pgNumType/>
          <w:docGrid w:linePitch="360"/>
        </w:sectPr>
      </w:pPr>
    </w:p>
    <w:p>
      <w:pPr>
        <w:pStyle w:val="Heading1"/>
        <w:pBdr>
          <w:bottom w:val="single" w:color="1F3864" w:sz="12" w:space="4"/>
        </w:pBdr>
        <w:spacing w:after="160" w:before="360"/>
      </w:pPr>
      <w:r>
        <w:rPr>
          <w:rFonts w:ascii="Calibri" w:cs="Calibri" w:eastAsia="Calibri" w:hAnsi="Calibri"/>
          <w:b/>
          <w:bCs/>
          <w:color w:val="1F3864"/>
          <w:sz w:val="30"/>
          <w:szCs w:val="30"/>
        </w:rPr>
        <w:t xml:space="preserve">Output 2 - Gap Report</w:t>
      </w:r>
    </w:p>
    <w:p>
      <w:pPr>
        <w:spacing w:after="180" w:before="0" w:line="260"/>
      </w:pPr>
      <w:r>
        <w:rPr>
          <w:rFonts w:ascii="Calibri" w:cs="Calibri" w:eastAsia="Calibri" w:hAnsi="Calibri"/>
          <w:i/>
          <w:iCs/>
          <w:color w:val="595959"/>
          <w:sz w:val="18"/>
          <w:szCs w:val="18"/>
        </w:rPr>
        <w:t xml:space="preserve">Every taxonomy parameter returned as NR, grouped by section, so the shape of the missing envelope is visible at a glance. Parameters marked CRITICAL are those whose absence materially changes what can be concluded or recommended.</w:t>
      </w:r>
    </w:p>
    <w:p>
      <w:pPr>
        <w:pStyle w:val="Heading2"/>
        <w:spacing w:after="120" w:before="280"/>
      </w:pPr>
      <w:r>
        <w:rPr>
          <w:rFonts w:ascii="Calibri" w:cs="Calibri" w:eastAsia="Calibri" w:hAnsi="Calibri"/>
          <w:b/>
          <w:bCs/>
          <w:color w:val="2E5A88"/>
          <w:sz w:val="24"/>
          <w:szCs w:val="24"/>
        </w:rPr>
        <w:t xml:space="preserve">A. Compound ID and physicochemical</w:t>
      </w:r>
    </w:p>
    <w:p>
      <w:pPr>
        <w:pStyle w:val="ListParagraph"/>
        <w:numPr>
          <w:ilvl w:val="0"/>
          <w:numId w:val="2"/>
        </w:numPr>
        <w:spacing w:after="90" w:before="0" w:line="260"/>
      </w:pPr>
      <w:r>
        <w:rPr>
          <w:rFonts w:ascii="Calibri" w:cs="Calibri" w:eastAsia="Calibri" w:hAnsi="Calibri"/>
          <w:sz w:val="19"/>
          <w:szCs w:val="19"/>
        </w:rPr>
        <w:t xml:space="preserve">CRITICAL - Chemical structure, IUPAC name, molecular formula, molecular weight, SMILES, InChI</w:t>
      </w:r>
    </w:p>
    <w:p>
      <w:pPr>
        <w:pStyle w:val="ListParagraph"/>
        <w:numPr>
          <w:ilvl w:val="0"/>
          <w:numId w:val="2"/>
        </w:numPr>
        <w:spacing w:after="90" w:before="0" w:line="260"/>
      </w:pPr>
      <w:r>
        <w:rPr>
          <w:rFonts w:ascii="Calibri" w:cs="Calibri" w:eastAsia="Calibri" w:hAnsi="Calibri"/>
          <w:sz w:val="19"/>
          <w:szCs w:val="19"/>
        </w:rPr>
        <w:t xml:space="preserve">CRITICAL - CAS number, UNII, ChEMBL / DrugBank / PubChem / KEGG identifiers (no registry entry exists)</w:t>
      </w:r>
    </w:p>
    <w:p>
      <w:pPr>
        <w:pStyle w:val="ListParagraph"/>
        <w:numPr>
          <w:ilvl w:val="0"/>
          <w:numId w:val="2"/>
        </w:numPr>
        <w:spacing w:after="90" w:before="0" w:line="260"/>
      </w:pPr>
      <w:r>
        <w:rPr>
          <w:rFonts w:ascii="Calibri" w:cs="Calibri" w:eastAsia="Calibri" w:hAnsi="Calibri"/>
          <w:sz w:val="19"/>
          <w:szCs w:val="19"/>
        </w:rPr>
        <w:t xml:space="preserve">CRITICAL - Aqueous and biorelevant (FaSSIF / FeSSIF / SGF) solubility, numeric. Only the qualitative statement "low aqueous solubility" exists</w:t>
      </w:r>
    </w:p>
    <w:p>
      <w:pPr>
        <w:pStyle w:val="ListParagraph"/>
        <w:numPr>
          <w:ilvl w:val="0"/>
          <w:numId w:val="2"/>
        </w:numPr>
        <w:spacing w:after="90" w:before="0" w:line="260"/>
      </w:pPr>
      <w:r>
        <w:rPr>
          <w:rFonts w:ascii="Calibri" w:cs="Calibri" w:eastAsia="Calibri" w:hAnsi="Calibri"/>
          <w:sz w:val="19"/>
          <w:szCs w:val="19"/>
        </w:rPr>
        <w:t xml:space="preserve">CRITICAL - logP / logD; pKa for each ionisable group</w:t>
      </w:r>
    </w:p>
    <w:p>
      <w:pPr>
        <w:pStyle w:val="ListParagraph"/>
        <w:numPr>
          <w:ilvl w:val="0"/>
          <w:numId w:val="2"/>
        </w:numPr>
        <w:spacing w:after="90" w:before="0" w:line="260"/>
      </w:pPr>
      <w:r>
        <w:rPr>
          <w:rFonts w:ascii="Calibri" w:cs="Calibri" w:eastAsia="Calibri" w:hAnsi="Calibri"/>
          <w:sz w:val="19"/>
          <w:szCs w:val="19"/>
        </w:rPr>
        <w:t xml:space="preserve">TPSA; hydrogen-bond donors and acceptors; rotatable bonds</w:t>
      </w:r>
    </w:p>
    <w:p>
      <w:pPr>
        <w:pStyle w:val="ListParagraph"/>
        <w:numPr>
          <w:ilvl w:val="0"/>
          <w:numId w:val="2"/>
        </w:numPr>
        <w:spacing w:after="90" w:before="0" w:line="260"/>
      </w:pPr>
      <w:r>
        <w:rPr>
          <w:rFonts w:ascii="Calibri" w:cs="Calibri" w:eastAsia="Calibri" w:hAnsi="Calibri"/>
          <w:sz w:val="19"/>
          <w:szCs w:val="19"/>
        </w:rPr>
        <w:t xml:space="preserve">BCS class; DCS class; permeability class and basis</w:t>
      </w:r>
    </w:p>
    <w:p>
      <w:pPr>
        <w:pStyle w:val="ListParagraph"/>
        <w:numPr>
          <w:ilvl w:val="0"/>
          <w:numId w:val="2"/>
        </w:numPr>
        <w:spacing w:after="90" w:before="0" w:line="260"/>
      </w:pPr>
      <w:r>
        <w:rPr>
          <w:rFonts w:ascii="Calibri" w:cs="Calibri" w:eastAsia="Calibri" w:hAnsi="Calibri"/>
          <w:sz w:val="19"/>
          <w:szCs w:val="19"/>
        </w:rPr>
        <w:t xml:space="preserve">Melting point; polymorph / salt / co-crystal form; crystallinity; hygroscopicity</w:t>
      </w:r>
    </w:p>
    <w:p>
      <w:pPr>
        <w:pStyle w:val="ListParagraph"/>
        <w:numPr>
          <w:ilvl w:val="0"/>
          <w:numId w:val="2"/>
        </w:numPr>
        <w:spacing w:after="90" w:before="0" w:line="260"/>
      </w:pPr>
      <w:r>
        <w:rPr>
          <w:rFonts w:ascii="Calibri" w:cs="Calibri" w:eastAsia="Calibri" w:hAnsi="Calibri"/>
          <w:sz w:val="19"/>
          <w:szCs w:val="19"/>
        </w:rPr>
        <w:t xml:space="preserve">Chemical stability: pH-stability profile, photostability, oxidation and hydrolysis liabilities</w:t>
      </w:r>
    </w:p>
    <w:p>
      <w:pPr>
        <w:pStyle w:val="ListParagraph"/>
        <w:numPr>
          <w:ilvl w:val="0"/>
          <w:numId w:val="2"/>
        </w:numPr>
        <w:spacing w:after="90" w:before="0" w:line="260"/>
      </w:pPr>
      <w:r>
        <w:rPr>
          <w:rFonts w:ascii="Calibri" w:cs="Calibri" w:eastAsia="Calibri" w:hAnsi="Calibri"/>
          <w:sz w:val="19"/>
          <w:szCs w:val="19"/>
        </w:rPr>
        <w:t xml:space="preserve">Chirality / stereochemistry; enantiomeric purity</w:t>
      </w:r>
    </w:p>
    <w:p>
      <w:pPr>
        <w:pStyle w:val="Heading2"/>
        <w:spacing w:after="120" w:before="280"/>
      </w:pPr>
      <w:r>
        <w:rPr>
          <w:rFonts w:ascii="Calibri" w:cs="Calibri" w:eastAsia="Calibri" w:hAnsi="Calibri"/>
          <w:b/>
          <w:bCs/>
          <w:color w:val="2E5A88"/>
          <w:sz w:val="24"/>
          <w:szCs w:val="24"/>
        </w:rPr>
        <w:t xml:space="preserve">B. Formulation attributes</w:t>
      </w:r>
    </w:p>
    <w:p>
      <w:pPr>
        <w:pStyle w:val="ListParagraph"/>
        <w:numPr>
          <w:ilvl w:val="0"/>
          <w:numId w:val="2"/>
        </w:numPr>
        <w:spacing w:after="90" w:before="0" w:line="260"/>
      </w:pPr>
      <w:r>
        <w:rPr>
          <w:rFonts w:ascii="Calibri" w:cs="Calibri" w:eastAsia="Calibri" w:hAnsi="Calibri"/>
          <w:sz w:val="19"/>
          <w:szCs w:val="19"/>
        </w:rPr>
        <w:t xml:space="preserve">CRITICAL - Formulation composition: API strength, excipients and grades, % w/w. Nothing disclosed for any clinical or preclinical formulation</w:t>
      </w:r>
    </w:p>
    <w:p>
      <w:pPr>
        <w:pStyle w:val="ListParagraph"/>
        <w:numPr>
          <w:ilvl w:val="0"/>
          <w:numId w:val="2"/>
        </w:numPr>
        <w:spacing w:after="90" w:before="0" w:line="260"/>
      </w:pPr>
      <w:r>
        <w:rPr>
          <w:rFonts w:ascii="Calibri" w:cs="Calibri" w:eastAsia="Calibri" w:hAnsi="Calibri"/>
          <w:sz w:val="19"/>
          <w:szCs w:val="19"/>
        </w:rPr>
        <w:t xml:space="preserve">CRITICAL - Result of the completed two-formulation relative-bioavailability crossover study</w:t>
      </w:r>
    </w:p>
    <w:p>
      <w:pPr>
        <w:pStyle w:val="ListParagraph"/>
        <w:numPr>
          <w:ilvl w:val="0"/>
          <w:numId w:val="2"/>
        </w:numPr>
        <w:spacing w:after="90" w:before="0" w:line="260"/>
      </w:pPr>
      <w:r>
        <w:rPr>
          <w:rFonts w:ascii="Calibri" w:cs="Calibri" w:eastAsia="Calibri" w:hAnsi="Calibri"/>
          <w:sz w:val="19"/>
          <w:szCs w:val="19"/>
        </w:rPr>
        <w:t xml:space="preserve">Enabling technology (none disclosed - no ASD, lipid system, cyclodextrin, nanosuspension or prodrug ever mentioned)</w:t>
      </w:r>
    </w:p>
    <w:p>
      <w:pPr>
        <w:pStyle w:val="ListParagraph"/>
        <w:numPr>
          <w:ilvl w:val="0"/>
          <w:numId w:val="2"/>
        </w:numPr>
        <w:spacing w:after="90" w:before="0" w:line="260"/>
      </w:pPr>
      <w:r>
        <w:rPr>
          <w:rFonts w:ascii="Calibri" w:cs="Calibri" w:eastAsia="Calibri" w:hAnsi="Calibri"/>
          <w:sz w:val="19"/>
          <w:szCs w:val="19"/>
        </w:rPr>
        <w:t xml:space="preserve">Particle size distribution (D10 / D50 / D90); polydispersity index; zeta potential</w:t>
      </w:r>
    </w:p>
    <w:p>
      <w:pPr>
        <w:pStyle w:val="ListParagraph"/>
        <w:numPr>
          <w:ilvl w:val="0"/>
          <w:numId w:val="2"/>
        </w:numPr>
        <w:spacing w:after="90" w:before="0" w:line="260"/>
      </w:pPr>
      <w:r>
        <w:rPr>
          <w:rFonts w:ascii="Calibri" w:cs="Calibri" w:eastAsia="Calibri" w:hAnsi="Calibri"/>
          <w:sz w:val="19"/>
          <w:szCs w:val="19"/>
        </w:rPr>
        <w:t xml:space="preserve">Dissolution profile (medium, apparatus, % released vs time; f2 similarity); disintegration time</w:t>
      </w:r>
    </w:p>
    <w:p>
      <w:pPr>
        <w:pStyle w:val="ListParagraph"/>
        <w:numPr>
          <w:ilvl w:val="0"/>
          <w:numId w:val="2"/>
        </w:numPr>
        <w:spacing w:after="90" w:before="0" w:line="260"/>
      </w:pPr>
      <w:r>
        <w:rPr>
          <w:rFonts w:ascii="Calibri" w:cs="Calibri" w:eastAsia="Calibri" w:hAnsi="Calibri"/>
          <w:sz w:val="19"/>
          <w:szCs w:val="19"/>
        </w:rPr>
        <w:t xml:space="preserve">pH; osmolality; viscosity; density; drug loading</w:t>
      </w:r>
    </w:p>
    <w:p>
      <w:pPr>
        <w:pStyle w:val="ListParagraph"/>
        <w:numPr>
          <w:ilvl w:val="0"/>
          <w:numId w:val="2"/>
        </w:numPr>
        <w:spacing w:after="90" w:before="0" w:line="260"/>
      </w:pPr>
      <w:r>
        <w:rPr>
          <w:rFonts w:ascii="Calibri" w:cs="Calibri" w:eastAsia="Calibri" w:hAnsi="Calibri"/>
          <w:sz w:val="19"/>
          <w:szCs w:val="19"/>
        </w:rPr>
        <w:t xml:space="preserve">Preservative / antioxidant / surfactant content</w:t>
      </w:r>
    </w:p>
    <w:p>
      <w:pPr>
        <w:pStyle w:val="ListParagraph"/>
        <w:numPr>
          <w:ilvl w:val="0"/>
          <w:numId w:val="2"/>
        </w:numPr>
        <w:spacing w:after="90" w:before="0" w:line="260"/>
      </w:pPr>
      <w:r>
        <w:rPr>
          <w:rFonts w:ascii="Calibri" w:cs="Calibri" w:eastAsia="Calibri" w:hAnsi="Calibri"/>
          <w:sz w:val="19"/>
          <w:szCs w:val="19"/>
        </w:rPr>
        <w:t xml:space="preserve">Stability data (condition, duration, assay %, impurity / degradant %); freeze-thaw tolerance</w:t>
      </w:r>
    </w:p>
    <w:p>
      <w:pPr>
        <w:pStyle w:val="ListParagraph"/>
        <w:numPr>
          <w:ilvl w:val="0"/>
          <w:numId w:val="2"/>
        </w:numPr>
        <w:spacing w:after="90" w:before="0" w:line="260"/>
      </w:pPr>
      <w:r>
        <w:rPr>
          <w:rFonts w:ascii="Calibri" w:cs="Calibri" w:eastAsia="Calibri" w:hAnsi="Calibri"/>
          <w:sz w:val="19"/>
          <w:szCs w:val="19"/>
        </w:rPr>
        <w:t xml:space="preserve">Storage conditions; shelf life; in-use stability; container closure</w:t>
      </w:r>
    </w:p>
    <w:p>
      <w:pPr>
        <w:pStyle w:val="ListParagraph"/>
        <w:numPr>
          <w:ilvl w:val="0"/>
          <w:numId w:val="2"/>
        </w:numPr>
        <w:spacing w:after="90" w:before="0" w:line="260"/>
      </w:pPr>
      <w:r>
        <w:rPr>
          <w:rFonts w:ascii="Calibri" w:cs="Calibri" w:eastAsia="Calibri" w:hAnsi="Calibri"/>
          <w:sz w:val="19"/>
          <w:szCs w:val="19"/>
        </w:rPr>
        <w:t xml:space="preserve">Dosage form confirmation from a primary registry source (oral suspension is evidenced only via a secondary source)</w:t>
      </w:r>
    </w:p>
    <w:p>
      <w:pPr>
        <w:pStyle w:val="Heading2"/>
        <w:spacing w:after="120" w:before="280"/>
      </w:pPr>
      <w:r>
        <w:rPr>
          <w:rFonts w:ascii="Calibri" w:cs="Calibri" w:eastAsia="Calibri" w:hAnsi="Calibri"/>
          <w:b/>
          <w:bCs/>
          <w:color w:val="2E5A88"/>
          <w:sz w:val="24"/>
          <w:szCs w:val="24"/>
        </w:rPr>
        <w:t xml:space="preserve">C1 / C2. Absorption and exposure</w:t>
      </w:r>
    </w:p>
    <w:p>
      <w:pPr>
        <w:pStyle w:val="ListParagraph"/>
        <w:numPr>
          <w:ilvl w:val="0"/>
          <w:numId w:val="2"/>
        </w:numPr>
        <w:spacing w:after="90" w:before="0" w:line="260"/>
      </w:pPr>
      <w:r>
        <w:rPr>
          <w:rFonts w:ascii="Calibri" w:cs="Calibri" w:eastAsia="Calibri" w:hAnsi="Calibri"/>
          <w:sz w:val="19"/>
          <w:szCs w:val="19"/>
        </w:rPr>
        <w:t xml:space="preserve">CRITICAL - Food effect: fed / fasted AUC and Cmax ratio with confidence interval. The study was run; the result has never been disclosed</w:t>
      </w:r>
    </w:p>
    <w:p>
      <w:pPr>
        <w:pStyle w:val="ListParagraph"/>
        <w:numPr>
          <w:ilvl w:val="0"/>
          <w:numId w:val="2"/>
        </w:numPr>
        <w:spacing w:after="90" w:before="0" w:line="260"/>
      </w:pPr>
      <w:r>
        <w:rPr>
          <w:rFonts w:ascii="Calibri" w:cs="Calibri" w:eastAsia="Calibri" w:hAnsi="Calibri"/>
          <w:sz w:val="19"/>
          <w:szCs w:val="19"/>
        </w:rPr>
        <w:t xml:space="preserve">CRITICAL - Human AUC0-t, AUC0-inf and AUC0-tau with units. Only a graph axis range exists</w:t>
      </w:r>
    </w:p>
    <w:p>
      <w:pPr>
        <w:pStyle w:val="ListParagraph"/>
        <w:numPr>
          <w:ilvl w:val="0"/>
          <w:numId w:val="2"/>
        </w:numPr>
        <w:spacing w:after="90" w:before="0" w:line="260"/>
      </w:pPr>
      <w:r>
        <w:rPr>
          <w:rFonts w:ascii="Calibri" w:cs="Calibri" w:eastAsia="Calibri" w:hAnsi="Calibri"/>
          <w:sz w:val="19"/>
          <w:szCs w:val="19"/>
        </w:rPr>
        <w:t xml:space="preserve">CRITICAL - pH-dependent absorption and the effect of acid-reducing agents (highly material in this population)</w:t>
      </w:r>
    </w:p>
    <w:p>
      <w:pPr>
        <w:pStyle w:val="ListParagraph"/>
        <w:numPr>
          <w:ilvl w:val="0"/>
          <w:numId w:val="2"/>
        </w:numPr>
        <w:spacing w:after="90" w:before="0" w:line="260"/>
      </w:pPr>
      <w:r>
        <w:rPr>
          <w:rFonts w:ascii="Calibri" w:cs="Calibri" w:eastAsia="Calibri" w:hAnsi="Calibri"/>
          <w:sz w:val="19"/>
          <w:szCs w:val="19"/>
        </w:rPr>
        <w:t xml:space="preserve">Human Tmax; human absolute or relative bioavailability</w:t>
      </w:r>
    </w:p>
    <w:p>
      <w:pPr>
        <w:pStyle w:val="ListParagraph"/>
        <w:numPr>
          <w:ilvl w:val="0"/>
          <w:numId w:val="2"/>
        </w:numPr>
        <w:spacing w:after="90" w:before="0" w:line="260"/>
      </w:pPr>
      <w:r>
        <w:rPr>
          <w:rFonts w:ascii="Calibri" w:cs="Calibri" w:eastAsia="Calibri" w:hAnsi="Calibri"/>
          <w:sz w:val="19"/>
          <w:szCs w:val="19"/>
        </w:rPr>
        <w:t xml:space="preserve">Absorption rate constant ka; fraction absorbed fa; gut and hepatic availability Fg, Fh</w:t>
      </w:r>
    </w:p>
    <w:p>
      <w:pPr>
        <w:pStyle w:val="ListParagraph"/>
        <w:numPr>
          <w:ilvl w:val="0"/>
          <w:numId w:val="2"/>
        </w:numPr>
        <w:spacing w:after="90" w:before="0" w:line="260"/>
      </w:pPr>
      <w:r>
        <w:rPr>
          <w:rFonts w:ascii="Calibri" w:cs="Calibri" w:eastAsia="Calibri" w:hAnsi="Calibri"/>
          <w:sz w:val="19"/>
          <w:szCs w:val="19"/>
        </w:rPr>
        <w:t xml:space="preserve">Cmin / Ctrough / Cavg at steady state; time to steady state</w:t>
      </w:r>
    </w:p>
    <w:p>
      <w:pPr>
        <w:pStyle w:val="ListParagraph"/>
        <w:numPr>
          <w:ilvl w:val="0"/>
          <w:numId w:val="2"/>
        </w:numPr>
        <w:spacing w:after="90" w:before="0" w:line="260"/>
      </w:pPr>
      <w:r>
        <w:rPr>
          <w:rFonts w:ascii="Calibri" w:cs="Calibri" w:eastAsia="Calibri" w:hAnsi="Calibri"/>
          <w:sz w:val="19"/>
          <w:szCs w:val="19"/>
        </w:rPr>
        <w:t xml:space="preserve">Accumulation ratio Rac(AUC) and Rac(Cmax); peak-trough fluctuation (protocol-specified but unpublished)</w:t>
      </w:r>
    </w:p>
    <w:p>
      <w:pPr>
        <w:pStyle w:val="ListParagraph"/>
        <w:numPr>
          <w:ilvl w:val="0"/>
          <w:numId w:val="2"/>
        </w:numPr>
        <w:spacing w:after="90" w:before="0" w:line="260"/>
      </w:pPr>
      <w:r>
        <w:rPr>
          <w:rFonts w:ascii="Calibri" w:cs="Calibri" w:eastAsia="Calibri" w:hAnsi="Calibri"/>
          <w:sz w:val="19"/>
          <w:szCs w:val="19"/>
        </w:rPr>
        <w:t xml:space="preserve">Absorption site / regional absorption; gastric-emptying dependence</w:t>
      </w:r>
    </w:p>
    <w:p>
      <w:pPr>
        <w:pStyle w:val="ListParagraph"/>
        <w:numPr>
          <w:ilvl w:val="0"/>
          <w:numId w:val="2"/>
        </w:numPr>
        <w:spacing w:after="90" w:before="0" w:line="260"/>
      </w:pPr>
      <w:r>
        <w:rPr>
          <w:rFonts w:ascii="Calibri" w:cs="Calibri" w:eastAsia="Calibri" w:hAnsi="Calibri"/>
          <w:sz w:val="19"/>
          <w:szCs w:val="19"/>
        </w:rPr>
        <w:t xml:space="preserve">Species attribution for the single reported bioavailability figure of 36% (flagged AMBIG)</w:t>
      </w:r>
    </w:p>
    <w:p>
      <w:pPr>
        <w:pStyle w:val="Heading2"/>
        <w:spacing w:after="120" w:before="280"/>
      </w:pPr>
      <w:r>
        <w:rPr>
          <w:rFonts w:ascii="Calibri" w:cs="Calibri" w:eastAsia="Calibri" w:hAnsi="Calibri"/>
          <w:b/>
          <w:bCs/>
          <w:color w:val="2E5A88"/>
          <w:sz w:val="24"/>
          <w:szCs w:val="24"/>
        </w:rPr>
        <w:t xml:space="preserve">C3. Distribution</w:t>
      </w:r>
    </w:p>
    <w:p>
      <w:pPr>
        <w:pStyle w:val="ListParagraph"/>
        <w:numPr>
          <w:ilvl w:val="0"/>
          <w:numId w:val="2"/>
        </w:numPr>
        <w:spacing w:after="90" w:before="0" w:line="260"/>
      </w:pPr>
      <w:r>
        <w:rPr>
          <w:rFonts w:ascii="Calibri" w:cs="Calibri" w:eastAsia="Calibri" w:hAnsi="Calibri"/>
          <w:sz w:val="19"/>
          <w:szCs w:val="19"/>
        </w:rPr>
        <w:t xml:space="preserve">CRITICAL - Plasma protein binding: numeric % bound or fu, binding protein identity, concentration dependence. Only "high protein binding" is stated</w:t>
      </w:r>
    </w:p>
    <w:p>
      <w:pPr>
        <w:pStyle w:val="ListParagraph"/>
        <w:numPr>
          <w:ilvl w:val="0"/>
          <w:numId w:val="2"/>
        </w:numPr>
        <w:spacing w:after="90" w:before="0" w:line="260"/>
      </w:pPr>
      <w:r>
        <w:rPr>
          <w:rFonts w:ascii="Calibri" w:cs="Calibri" w:eastAsia="Calibri" w:hAnsi="Calibri"/>
          <w:sz w:val="19"/>
          <w:szCs w:val="19"/>
        </w:rPr>
        <w:t xml:space="preserve">CRITICAL - Kp,uu (brain). Together with fu this is the pivot of the whole improvement strategy</w:t>
      </w:r>
    </w:p>
    <w:p>
      <w:pPr>
        <w:pStyle w:val="ListParagraph"/>
        <w:numPr>
          <w:ilvl w:val="0"/>
          <w:numId w:val="2"/>
        </w:numPr>
        <w:spacing w:after="90" w:before="0" w:line="260"/>
      </w:pPr>
      <w:r>
        <w:rPr>
          <w:rFonts w:ascii="Calibri" w:cs="Calibri" w:eastAsia="Calibri" w:hAnsi="Calibri"/>
          <w:sz w:val="19"/>
          <w:szCs w:val="19"/>
        </w:rPr>
        <w:t xml:space="preserve">Volumes of distribution: Vd, Vc, Vss, Vz</w:t>
      </w:r>
    </w:p>
    <w:p>
      <w:pPr>
        <w:pStyle w:val="ListParagraph"/>
        <w:numPr>
          <w:ilvl w:val="0"/>
          <w:numId w:val="2"/>
        </w:numPr>
        <w:spacing w:after="90" w:before="0" w:line="260"/>
      </w:pPr>
      <w:r>
        <w:rPr>
          <w:rFonts w:ascii="Calibri" w:cs="Calibri" w:eastAsia="Calibri" w:hAnsi="Calibri"/>
          <w:sz w:val="19"/>
          <w:szCs w:val="19"/>
        </w:rPr>
        <w:t xml:space="preserve">Blood-to-plasma ratio (Kb/p)</w:t>
      </w:r>
    </w:p>
    <w:p>
      <w:pPr>
        <w:pStyle w:val="ListParagraph"/>
        <w:numPr>
          <w:ilvl w:val="0"/>
          <w:numId w:val="2"/>
        </w:numPr>
        <w:spacing w:after="90" w:before="0" w:line="260"/>
      </w:pPr>
      <w:r>
        <w:rPr>
          <w:rFonts w:ascii="Calibri" w:cs="Calibri" w:eastAsia="Calibri" w:hAnsi="Calibri"/>
          <w:sz w:val="19"/>
          <w:szCs w:val="19"/>
        </w:rPr>
        <w:t xml:space="preserve">Tissue:plasma Kp by tissue; QWBA findings (a rat mass-balance study was completed; no data released)</w:t>
      </w:r>
    </w:p>
    <w:p>
      <w:pPr>
        <w:pStyle w:val="ListParagraph"/>
        <w:numPr>
          <w:ilvl w:val="0"/>
          <w:numId w:val="2"/>
        </w:numPr>
        <w:spacing w:after="90" w:before="0" w:line="260"/>
      </w:pPr>
      <w:r>
        <w:rPr>
          <w:rFonts w:ascii="Calibri" w:cs="Calibri" w:eastAsia="Calibri" w:hAnsi="Calibri"/>
          <w:sz w:val="19"/>
          <w:szCs w:val="19"/>
        </w:rPr>
        <w:t xml:space="preserve">A printed numeric brain:plasma ratio (only "greater than one" and "2-8 times")</w:t>
      </w:r>
    </w:p>
    <w:p>
      <w:pPr>
        <w:pStyle w:val="ListParagraph"/>
        <w:numPr>
          <w:ilvl w:val="0"/>
          <w:numId w:val="2"/>
        </w:numPr>
        <w:spacing w:after="90" w:before="0" w:line="260"/>
      </w:pPr>
      <w:r>
        <w:rPr>
          <w:rFonts w:ascii="Calibri" w:cs="Calibri" w:eastAsia="Calibri" w:hAnsi="Calibri"/>
          <w:sz w:val="19"/>
          <w:szCs w:val="19"/>
        </w:rPr>
        <w:t xml:space="preserve">Placental transfer; milk excretion; melanin binding</w:t>
      </w:r>
    </w:p>
    <w:p>
      <w:pPr>
        <w:pStyle w:val="Heading2"/>
        <w:spacing w:after="120" w:before="280"/>
      </w:pPr>
      <w:r>
        <w:rPr>
          <w:rFonts w:ascii="Calibri" w:cs="Calibri" w:eastAsia="Calibri" w:hAnsi="Calibri"/>
          <w:b/>
          <w:bCs/>
          <w:color w:val="2E5A88"/>
          <w:sz w:val="24"/>
          <w:szCs w:val="24"/>
        </w:rPr>
        <w:t xml:space="preserve">C4 / C5. Metabolism and excretion</w:t>
      </w:r>
    </w:p>
    <w:p>
      <w:pPr>
        <w:pStyle w:val="ListParagraph"/>
        <w:numPr>
          <w:ilvl w:val="0"/>
          <w:numId w:val="2"/>
        </w:numPr>
        <w:spacing w:after="90" w:before="0" w:line="260"/>
      </w:pPr>
      <w:r>
        <w:rPr>
          <w:rFonts w:ascii="Calibri" w:cs="Calibri" w:eastAsia="Calibri" w:hAnsi="Calibri"/>
          <w:sz w:val="19"/>
          <w:szCs w:val="19"/>
        </w:rPr>
        <w:t xml:space="preserve">CRITICAL - Human terminal half-life (preclinical only: approximately 2 h mouse, 3 h rat, 5 h dog)</w:t>
      </w:r>
    </w:p>
    <w:p>
      <w:pPr>
        <w:pStyle w:val="ListParagraph"/>
        <w:numPr>
          <w:ilvl w:val="0"/>
          <w:numId w:val="2"/>
        </w:numPr>
        <w:spacing w:after="90" w:before="0" w:line="260"/>
      </w:pPr>
      <w:r>
        <w:rPr>
          <w:rFonts w:ascii="Calibri" w:cs="Calibri" w:eastAsia="Calibri" w:hAnsi="Calibri"/>
          <w:sz w:val="19"/>
          <w:szCs w:val="19"/>
        </w:rPr>
        <w:t xml:space="preserve">CRITICAL - Metabolic pathways; enzymes and fractional contribution (fm) for CYPs, UGTs, AO, FMO, CES, SULT</w:t>
      </w:r>
    </w:p>
    <w:p>
      <w:pPr>
        <w:pStyle w:val="ListParagraph"/>
        <w:numPr>
          <w:ilvl w:val="0"/>
          <w:numId w:val="2"/>
        </w:numPr>
        <w:spacing w:after="90" w:before="0" w:line="260"/>
      </w:pPr>
      <w:r>
        <w:rPr>
          <w:rFonts w:ascii="Calibri" w:cs="Calibri" w:eastAsia="Calibri" w:hAnsi="Calibri"/>
          <w:sz w:val="19"/>
          <w:szCs w:val="19"/>
        </w:rPr>
        <w:t xml:space="preserve">Total clearance CL or CL/F; hepatic extraction ratio; MRT; kel</w:t>
      </w:r>
    </w:p>
    <w:p>
      <w:pPr>
        <w:pStyle w:val="ListParagraph"/>
        <w:numPr>
          <w:ilvl w:val="0"/>
          <w:numId w:val="2"/>
        </w:numPr>
        <w:spacing w:after="90" w:before="0" w:line="260"/>
      </w:pPr>
      <w:r>
        <w:rPr>
          <w:rFonts w:ascii="Calibri" w:cs="Calibri" w:eastAsia="Calibri" w:hAnsi="Calibri"/>
          <w:sz w:val="19"/>
          <w:szCs w:val="19"/>
        </w:rPr>
        <w:t xml:space="preserve">Metabolite identity, activity and exposure (metabolite:parent AUC ratio); MIST coverage</w:t>
      </w:r>
    </w:p>
    <w:p>
      <w:pPr>
        <w:pStyle w:val="ListParagraph"/>
        <w:numPr>
          <w:ilvl w:val="0"/>
          <w:numId w:val="2"/>
        </w:numPr>
        <w:spacing w:after="90" w:before="0" w:line="260"/>
      </w:pPr>
      <w:r>
        <w:rPr>
          <w:rFonts w:ascii="Calibri" w:cs="Calibri" w:eastAsia="Calibri" w:hAnsi="Calibri"/>
          <w:sz w:val="19"/>
          <w:szCs w:val="19"/>
        </w:rPr>
        <w:t xml:space="preserve">First-pass magnitude; enterohepatic recirculation</w:t>
      </w:r>
    </w:p>
    <w:p>
      <w:pPr>
        <w:pStyle w:val="ListParagraph"/>
        <w:numPr>
          <w:ilvl w:val="0"/>
          <w:numId w:val="2"/>
        </w:numPr>
        <w:spacing w:after="90" w:before="0" w:line="260"/>
      </w:pPr>
      <w:r>
        <w:rPr>
          <w:rFonts w:ascii="Calibri" w:cs="Calibri" w:eastAsia="Calibri" w:hAnsi="Calibri"/>
          <w:sz w:val="19"/>
          <w:szCs w:val="19"/>
        </w:rPr>
        <w:t xml:space="preserve">Mass balance: % dose in urine, faeces, bile, expired air; % excreted unchanged</w:t>
      </w:r>
    </w:p>
    <w:p>
      <w:pPr>
        <w:pStyle w:val="ListParagraph"/>
        <w:numPr>
          <w:ilvl w:val="0"/>
          <w:numId w:val="2"/>
        </w:numPr>
        <w:spacing w:after="90" w:before="0" w:line="260"/>
      </w:pPr>
      <w:r>
        <w:rPr>
          <w:rFonts w:ascii="Calibri" w:cs="Calibri" w:eastAsia="Calibri" w:hAnsi="Calibri"/>
          <w:sz w:val="19"/>
          <w:szCs w:val="19"/>
        </w:rPr>
        <w:t xml:space="preserve">Renal clearance CLr; fe; filtration vs secretion vs reabsorption; biliary clearance; dialysability</w:t>
      </w:r>
    </w:p>
    <w:p>
      <w:pPr>
        <w:pStyle w:val="Heading2"/>
        <w:spacing w:after="120" w:before="280"/>
      </w:pPr>
      <w:r>
        <w:rPr>
          <w:rFonts w:ascii="Calibri" w:cs="Calibri" w:eastAsia="Calibri" w:hAnsi="Calibri"/>
          <w:b/>
          <w:bCs/>
          <w:color w:val="2E5A88"/>
          <w:sz w:val="24"/>
          <w:szCs w:val="24"/>
        </w:rPr>
        <w:t xml:space="preserve">C6 / C7. Modelling, variability and special populations</w:t>
      </w:r>
    </w:p>
    <w:p>
      <w:pPr>
        <w:pStyle w:val="ListParagraph"/>
        <w:numPr>
          <w:ilvl w:val="0"/>
          <w:numId w:val="2"/>
        </w:numPr>
        <w:spacing w:after="90" w:before="0" w:line="260"/>
      </w:pPr>
      <w:r>
        <w:rPr>
          <w:rFonts w:ascii="Calibri" w:cs="Calibri" w:eastAsia="Calibri" w:hAnsi="Calibri"/>
          <w:sz w:val="19"/>
          <w:szCs w:val="19"/>
        </w:rPr>
        <w:t xml:space="preserve">CRITICAL - DDI as victim and as perpetrator. No interaction study of any kind reported, in a population defined by polypharmacy</w:t>
      </w:r>
    </w:p>
    <w:p>
      <w:pPr>
        <w:pStyle w:val="ListParagraph"/>
        <w:numPr>
          <w:ilvl w:val="0"/>
          <w:numId w:val="2"/>
        </w:numPr>
        <w:spacing w:after="90" w:before="0" w:line="260"/>
      </w:pPr>
      <w:r>
        <w:rPr>
          <w:rFonts w:ascii="Calibri" w:cs="Calibri" w:eastAsia="Calibri" w:hAnsi="Calibri"/>
          <w:sz w:val="19"/>
          <w:szCs w:val="19"/>
        </w:rPr>
        <w:t xml:space="preserve">Compartmental model structure; PopPK estimates with inter-individual variability and RSE; covariates; PBPK</w:t>
      </w:r>
    </w:p>
    <w:p>
      <w:pPr>
        <w:pStyle w:val="ListParagraph"/>
        <w:numPr>
          <w:ilvl w:val="0"/>
          <w:numId w:val="2"/>
        </w:numPr>
        <w:spacing w:after="90" w:before="0" w:line="260"/>
      </w:pPr>
      <w:r>
        <w:rPr>
          <w:rFonts w:ascii="Calibri" w:cs="Calibri" w:eastAsia="Calibri" w:hAnsi="Calibri"/>
          <w:sz w:val="19"/>
          <w:szCs w:val="19"/>
        </w:rPr>
        <w:t xml:space="preserve">Between-subject and within-subject variability on AUC and Cmax (no CV% published for any parameter)</w:t>
      </w:r>
    </w:p>
    <w:p>
      <w:pPr>
        <w:pStyle w:val="ListParagraph"/>
        <w:numPr>
          <w:ilvl w:val="0"/>
          <w:numId w:val="2"/>
        </w:numPr>
        <w:spacing w:after="90" w:before="0" w:line="260"/>
      </w:pPr>
      <w:r>
        <w:rPr>
          <w:rFonts w:ascii="Calibri" w:cs="Calibri" w:eastAsia="Calibri" w:hAnsi="Calibri"/>
          <w:sz w:val="19"/>
          <w:szCs w:val="19"/>
        </w:rPr>
        <w:t xml:space="preserve">Renal impairment; hepatic impairment exposure ratios</w:t>
      </w:r>
    </w:p>
    <w:p>
      <w:pPr>
        <w:pStyle w:val="ListParagraph"/>
        <w:numPr>
          <w:ilvl w:val="0"/>
          <w:numId w:val="2"/>
        </w:numPr>
        <w:spacing w:after="90" w:before="0" w:line="260"/>
      </w:pPr>
      <w:r>
        <w:rPr>
          <w:rFonts w:ascii="Calibri" w:cs="Calibri" w:eastAsia="Calibri" w:hAnsi="Calibri"/>
          <w:sz w:val="19"/>
          <w:szCs w:val="19"/>
        </w:rPr>
        <w:t xml:space="preserve">Age, body weight / BMI, sex, pregnancy effects</w:t>
      </w:r>
    </w:p>
    <w:p>
      <w:pPr>
        <w:pStyle w:val="ListParagraph"/>
        <w:numPr>
          <w:ilvl w:val="0"/>
          <w:numId w:val="2"/>
        </w:numPr>
        <w:spacing w:after="90" w:before="0" w:line="260"/>
      </w:pPr>
      <w:r>
        <w:rPr>
          <w:rFonts w:ascii="Calibri" w:cs="Calibri" w:eastAsia="Calibri" w:hAnsi="Calibri"/>
          <w:sz w:val="19"/>
          <w:szCs w:val="19"/>
        </w:rPr>
        <w:t xml:space="preserve">Pharmacogenomics (CYP2D6 / 2C19 phenotype effects)</w:t>
      </w:r>
    </w:p>
    <w:p>
      <w:pPr>
        <w:pStyle w:val="ListParagraph"/>
        <w:numPr>
          <w:ilvl w:val="0"/>
          <w:numId w:val="2"/>
        </w:numPr>
        <w:spacing w:after="90" w:before="0" w:line="260"/>
      </w:pPr>
      <w:r>
        <w:rPr>
          <w:rFonts w:ascii="Calibri" w:cs="Calibri" w:eastAsia="Calibri" w:hAnsi="Calibri"/>
          <w:sz w:val="19"/>
          <w:szCs w:val="19"/>
        </w:rPr>
        <w:t xml:space="preserve">Smoking, ethnicity and disease-state effects</w:t>
      </w:r>
    </w:p>
    <w:p>
      <w:pPr>
        <w:pStyle w:val="Heading2"/>
        <w:spacing w:after="120" w:before="280"/>
      </w:pPr>
      <w:r>
        <w:rPr>
          <w:rFonts w:ascii="Calibri" w:cs="Calibri" w:eastAsia="Calibri" w:hAnsi="Calibri"/>
          <w:b/>
          <w:bCs/>
          <w:color w:val="2E5A88"/>
          <w:sz w:val="24"/>
          <w:szCs w:val="24"/>
        </w:rPr>
        <w:t xml:space="preserve">D. Pharmacodynamics</w:t>
      </w:r>
    </w:p>
    <w:p>
      <w:pPr>
        <w:pStyle w:val="ListParagraph"/>
        <w:numPr>
          <w:ilvl w:val="0"/>
          <w:numId w:val="2"/>
        </w:numPr>
        <w:spacing w:after="90" w:before="0" w:line="260"/>
      </w:pPr>
      <w:r>
        <w:rPr>
          <w:rFonts w:ascii="Calibri" w:cs="Calibri" w:eastAsia="Calibri" w:hAnsi="Calibri"/>
          <w:sz w:val="19"/>
          <w:szCs w:val="19"/>
        </w:rPr>
        <w:t xml:space="preserve">CRITICAL - Numeric EC50 / IC50 / Kd / Ki for GCase. Only the qualitative "one-digit micromolar" range exists</w:t>
      </w:r>
    </w:p>
    <w:p>
      <w:pPr>
        <w:pStyle w:val="ListParagraph"/>
        <w:numPr>
          <w:ilvl w:val="0"/>
          <w:numId w:val="2"/>
        </w:numPr>
        <w:spacing w:after="90" w:before="0" w:line="260"/>
      </w:pPr>
      <w:r>
        <w:rPr>
          <w:rFonts w:ascii="Calibri" w:cs="Calibri" w:eastAsia="Calibri" w:hAnsi="Calibri"/>
          <w:sz w:val="19"/>
          <w:szCs w:val="19"/>
        </w:rPr>
        <w:t xml:space="preserve">CRITICAL - Exposure-response relationship for any endpoint. Only one dose cohort was assayed for GCase activity, so no curve exists to anchor Phase 2 dose selection</w:t>
      </w:r>
    </w:p>
    <w:p>
      <w:pPr>
        <w:pStyle w:val="ListParagraph"/>
        <w:numPr>
          <w:ilvl w:val="0"/>
          <w:numId w:val="2"/>
        </w:numPr>
        <w:spacing w:after="90" w:before="0" w:line="260"/>
      </w:pPr>
      <w:r>
        <w:rPr>
          <w:rFonts w:ascii="Calibri" w:cs="Calibri" w:eastAsia="Calibri" w:hAnsi="Calibri"/>
          <w:sz w:val="19"/>
          <w:szCs w:val="19"/>
        </w:rPr>
        <w:t xml:space="preserve">Numeric KD from SPR; numeric delta Tm from nanoDSF (both assays were run; only qualitative dose-responsiveness reported)</w:t>
      </w:r>
    </w:p>
    <w:p>
      <w:pPr>
        <w:pStyle w:val="ListParagraph"/>
        <w:numPr>
          <w:ilvl w:val="0"/>
          <w:numId w:val="2"/>
        </w:numPr>
        <w:spacing w:after="90" w:before="0" w:line="260"/>
      </w:pPr>
      <w:r>
        <w:rPr>
          <w:rFonts w:ascii="Calibri" w:cs="Calibri" w:eastAsia="Calibri" w:hAnsi="Calibri"/>
          <w:sz w:val="19"/>
          <w:szCs w:val="19"/>
        </w:rPr>
        <w:t xml:space="preserve">kon / koff; residence time; Emax / Imax; Hill coefficient</w:t>
      </w:r>
    </w:p>
    <w:p>
      <w:pPr>
        <w:pStyle w:val="ListParagraph"/>
        <w:numPr>
          <w:ilvl w:val="0"/>
          <w:numId w:val="2"/>
        </w:numPr>
        <w:spacing w:after="90" w:before="0" w:line="260"/>
      </w:pPr>
      <w:r>
        <w:rPr>
          <w:rFonts w:ascii="Calibri" w:cs="Calibri" w:eastAsia="Calibri" w:hAnsi="Calibri"/>
          <w:sz w:val="19"/>
          <w:szCs w:val="19"/>
        </w:rPr>
        <w:t xml:space="preserve">Selectivity margin vs off-targets; off-target screening panel</w:t>
      </w:r>
    </w:p>
    <w:p>
      <w:pPr>
        <w:pStyle w:val="ListParagraph"/>
        <w:numPr>
          <w:ilvl w:val="0"/>
          <w:numId w:val="2"/>
        </w:numPr>
        <w:spacing w:after="90" w:before="0" w:line="260"/>
      </w:pPr>
      <w:r>
        <w:rPr>
          <w:rFonts w:ascii="Calibri" w:cs="Calibri" w:eastAsia="Calibri" w:hAnsi="Calibri"/>
          <w:sz w:val="19"/>
          <w:szCs w:val="19"/>
        </w:rPr>
        <w:t xml:space="preserve">Receptor occupancy vs concentration; occupancy at Cmax and Ctrough</w:t>
      </w:r>
    </w:p>
    <w:p>
      <w:pPr>
        <w:pStyle w:val="ListParagraph"/>
        <w:numPr>
          <w:ilvl w:val="0"/>
          <w:numId w:val="2"/>
        </w:numPr>
        <w:spacing w:after="90" w:before="0" w:line="260"/>
      </w:pPr>
      <w:r>
        <w:rPr>
          <w:rFonts w:ascii="Calibri" w:cs="Calibri" w:eastAsia="Calibri" w:hAnsi="Calibri"/>
          <w:sz w:val="19"/>
          <w:szCs w:val="19"/>
        </w:rPr>
        <w:t xml:space="preserve">PK/PD model type; in vivo EC50; free-drug-adjusted potency; hysteresis</w:t>
      </w:r>
    </w:p>
    <w:p>
      <w:pPr>
        <w:pStyle w:val="ListParagraph"/>
        <w:numPr>
          <w:ilvl w:val="0"/>
          <w:numId w:val="2"/>
        </w:numPr>
        <w:spacing w:after="90" w:before="0" w:line="260"/>
      </w:pPr>
      <w:r>
        <w:rPr>
          <w:rFonts w:ascii="Calibri" w:cs="Calibri" w:eastAsia="Calibri" w:hAnsi="Calibri"/>
          <w:sz w:val="19"/>
          <w:szCs w:val="19"/>
        </w:rPr>
        <w:t xml:space="preserve">Clinical NfL data; DaTscan or any imaging endpoint; human glucosylceramide quantification</w:t>
      </w:r>
    </w:p>
    <w:p>
      <w:pPr>
        <w:pStyle w:val="ListParagraph"/>
        <w:numPr>
          <w:ilvl w:val="0"/>
          <w:numId w:val="2"/>
        </w:numPr>
        <w:spacing w:after="90" w:before="0" w:line="260"/>
      </w:pPr>
      <w:r>
        <w:rPr>
          <w:rFonts w:ascii="Calibri" w:cs="Calibri" w:eastAsia="Calibri" w:hAnsi="Calibri"/>
          <w:sz w:val="19"/>
          <w:szCs w:val="19"/>
        </w:rPr>
        <w:t xml:space="preserve">Tolerance / tachyphylaxis / sensitisation; rebound on withdrawal (partial preclinical washout data only)</w:t>
      </w:r>
    </w:p>
    <w:p>
      <w:pPr>
        <w:pStyle w:val="Heading2"/>
        <w:spacing w:after="120" w:before="280"/>
      </w:pPr>
      <w:r>
        <w:rPr>
          <w:rFonts w:ascii="Calibri" w:cs="Calibri" w:eastAsia="Calibri" w:hAnsi="Calibri"/>
          <w:b/>
          <w:bCs/>
          <w:color w:val="2E5A88"/>
          <w:sz w:val="24"/>
          <w:szCs w:val="24"/>
        </w:rPr>
        <w:t xml:space="preserve">E. ADMET, safety pharmacology and toxicology</w:t>
      </w:r>
    </w:p>
    <w:p>
      <w:pPr>
        <w:pStyle w:val="ListParagraph"/>
        <w:numPr>
          <w:ilvl w:val="0"/>
          <w:numId w:val="2"/>
        </w:numPr>
        <w:spacing w:after="90" w:before="0" w:line="260"/>
      </w:pPr>
      <w:r>
        <w:rPr>
          <w:rFonts w:ascii="Calibri" w:cs="Calibri" w:eastAsia="Calibri" w:hAnsi="Calibri"/>
          <w:sz w:val="19"/>
          <w:szCs w:val="19"/>
        </w:rPr>
        <w:t xml:space="preserve">CRITICAL - Caco-2 / MDCK Papp and efflux ratio. Without this, solubility-limited and efflux-limited absorption cannot be distinguished from public data</w:t>
      </w:r>
    </w:p>
    <w:p>
      <w:pPr>
        <w:pStyle w:val="ListParagraph"/>
        <w:numPr>
          <w:ilvl w:val="0"/>
          <w:numId w:val="2"/>
        </w:numPr>
        <w:spacing w:after="90" w:before="0" w:line="260"/>
      </w:pPr>
      <w:r>
        <w:rPr>
          <w:rFonts w:ascii="Calibri" w:cs="Calibri" w:eastAsia="Calibri" w:hAnsi="Calibri"/>
          <w:sz w:val="19"/>
          <w:szCs w:val="19"/>
        </w:rPr>
        <w:t xml:space="preserve">CRITICAL - P-gp / BCRP substrate status; all transporter substrate and inhibition data</w:t>
      </w:r>
    </w:p>
    <w:p>
      <w:pPr>
        <w:pStyle w:val="ListParagraph"/>
        <w:numPr>
          <w:ilvl w:val="0"/>
          <w:numId w:val="2"/>
        </w:numPr>
        <w:spacing w:after="90" w:before="0" w:line="260"/>
      </w:pPr>
      <w:r>
        <w:rPr>
          <w:rFonts w:ascii="Calibri" w:cs="Calibri" w:eastAsia="Calibri" w:hAnsi="Calibri"/>
          <w:sz w:val="19"/>
          <w:szCs w:val="19"/>
        </w:rPr>
        <w:t xml:space="preserve">CRITICAL - NOAEL / LOAEL with exposure at NOAEL; target organs; safety margins vs clinical exposure; MTD; DLT</w:t>
      </w:r>
    </w:p>
    <w:p>
      <w:pPr>
        <w:pStyle w:val="ListParagraph"/>
        <w:numPr>
          <w:ilvl w:val="0"/>
          <w:numId w:val="2"/>
        </w:numPr>
        <w:spacing w:after="90" w:before="0" w:line="260"/>
      </w:pPr>
      <w:r>
        <w:rPr>
          <w:rFonts w:ascii="Calibri" w:cs="Calibri" w:eastAsia="Calibri" w:hAnsi="Calibri"/>
          <w:sz w:val="19"/>
          <w:szCs w:val="19"/>
        </w:rPr>
        <w:t xml:space="preserve">Microsomal and hepatocyte CLint by species; in vitro half-life; IVIVE</w:t>
      </w:r>
    </w:p>
    <w:p>
      <w:pPr>
        <w:pStyle w:val="ListParagraph"/>
        <w:numPr>
          <w:ilvl w:val="0"/>
          <w:numId w:val="2"/>
        </w:numPr>
        <w:spacing w:after="90" w:before="0" w:line="260"/>
      </w:pPr>
      <w:r>
        <w:rPr>
          <w:rFonts w:ascii="Calibri" w:cs="Calibri" w:eastAsia="Calibri" w:hAnsi="Calibri"/>
          <w:sz w:val="19"/>
          <w:szCs w:val="19"/>
        </w:rPr>
        <w:t xml:space="preserve">Plasma / blood / matrix stability</w:t>
      </w:r>
    </w:p>
    <w:p>
      <w:pPr>
        <w:pStyle w:val="ListParagraph"/>
        <w:numPr>
          <w:ilvl w:val="0"/>
          <w:numId w:val="2"/>
        </w:numPr>
        <w:spacing w:after="90" w:before="0" w:line="260"/>
      </w:pPr>
      <w:r>
        <w:rPr>
          <w:rFonts w:ascii="Calibri" w:cs="Calibri" w:eastAsia="Calibri" w:hAnsi="Calibri"/>
          <w:sz w:val="19"/>
          <w:szCs w:val="19"/>
        </w:rPr>
        <w:t xml:space="preserve">CYP inhibition (reversible IC50 / Ki; time-dependent kinact / KI); CYP induction (fold, EC50, Emax; PXR / AhR)</w:t>
      </w:r>
    </w:p>
    <w:p>
      <w:pPr>
        <w:pStyle w:val="ListParagraph"/>
        <w:numPr>
          <w:ilvl w:val="0"/>
          <w:numId w:val="2"/>
        </w:numPr>
        <w:spacing w:after="90" w:before="0" w:line="260"/>
      </w:pPr>
      <w:r>
        <w:rPr>
          <w:rFonts w:ascii="Calibri" w:cs="Calibri" w:eastAsia="Calibri" w:hAnsi="Calibri"/>
          <w:sz w:val="19"/>
          <w:szCs w:val="19"/>
        </w:rPr>
        <w:t xml:space="preserve">Reactive metabolite signals (GSH trapping, covalent binding)</w:t>
      </w:r>
    </w:p>
    <w:p>
      <w:pPr>
        <w:pStyle w:val="ListParagraph"/>
        <w:numPr>
          <w:ilvl w:val="0"/>
          <w:numId w:val="2"/>
        </w:numPr>
        <w:spacing w:after="90" w:before="0" w:line="260"/>
      </w:pPr>
      <w:r>
        <w:rPr>
          <w:rFonts w:ascii="Calibri" w:cs="Calibri" w:eastAsia="Calibri" w:hAnsi="Calibri"/>
          <w:sz w:val="19"/>
          <w:szCs w:val="19"/>
        </w:rPr>
        <w:t xml:space="preserve">hERG IC50; Nav1.5 / Cav1.2; in vivo QTc and hERG margin vs free Cmax (ECGs collected; no result published)</w:t>
      </w:r>
    </w:p>
    <w:p>
      <w:pPr>
        <w:pStyle w:val="ListParagraph"/>
        <w:numPr>
          <w:ilvl w:val="0"/>
          <w:numId w:val="2"/>
        </w:numPr>
        <w:spacing w:after="90" w:before="0" w:line="260"/>
      </w:pPr>
      <w:r>
        <w:rPr>
          <w:rFonts w:ascii="Calibri" w:cs="Calibri" w:eastAsia="Calibri" w:hAnsi="Calibri"/>
          <w:sz w:val="19"/>
          <w:szCs w:val="19"/>
        </w:rPr>
        <w:t xml:space="preserve">CNS, respiratory and cardiovascular core-battery findings</w:t>
      </w:r>
    </w:p>
    <w:p>
      <w:pPr>
        <w:pStyle w:val="ListParagraph"/>
        <w:numPr>
          <w:ilvl w:val="0"/>
          <w:numId w:val="2"/>
        </w:numPr>
        <w:spacing w:after="90" w:before="0" w:line="260"/>
      </w:pPr>
      <w:r>
        <w:rPr>
          <w:rFonts w:ascii="Calibri" w:cs="Calibri" w:eastAsia="Calibri" w:hAnsi="Calibri"/>
          <w:sz w:val="19"/>
          <w:szCs w:val="19"/>
        </w:rPr>
        <w:t xml:space="preserve">Genotoxicity (Ames, micronucleus, chromosomal aberration); cytotoxicity CC50; phospholipidosis</w:t>
      </w:r>
    </w:p>
    <w:p>
      <w:pPr>
        <w:pStyle w:val="ListParagraph"/>
        <w:numPr>
          <w:ilvl w:val="0"/>
          <w:numId w:val="2"/>
        </w:numPr>
        <w:spacing w:after="90" w:before="0" w:line="260"/>
      </w:pPr>
      <w:r>
        <w:rPr>
          <w:rFonts w:ascii="Calibri" w:cs="Calibri" w:eastAsia="Calibri" w:hAnsi="Calibri"/>
          <w:sz w:val="19"/>
          <w:szCs w:val="19"/>
        </w:rPr>
        <w:t xml:space="preserve">Hepatotoxicity signals; phototoxicity; haemolysis</w:t>
      </w:r>
    </w:p>
    <w:p>
      <w:pPr>
        <w:pStyle w:val="ListParagraph"/>
        <w:numPr>
          <w:ilvl w:val="0"/>
          <w:numId w:val="2"/>
        </w:numPr>
        <w:spacing w:after="90" w:before="0" w:line="260"/>
      </w:pPr>
      <w:r>
        <w:rPr>
          <w:rFonts w:ascii="Calibri" w:cs="Calibri" w:eastAsia="Calibri" w:hAnsi="Calibri"/>
          <w:sz w:val="19"/>
          <w:szCs w:val="19"/>
        </w:rPr>
        <w:t xml:space="preserve">Reproductive / developmental toxicity; juvenile toxicity; carcinogenicity; immunotoxicity</w:t>
      </w:r>
    </w:p>
    <w:p>
      <w:pPr>
        <w:pStyle w:val="ListParagraph"/>
        <w:numPr>
          <w:ilvl w:val="0"/>
          <w:numId w:val="2"/>
        </w:numPr>
        <w:spacing w:after="90" w:before="0" w:line="260"/>
      </w:pPr>
      <w:r>
        <w:rPr>
          <w:rFonts w:ascii="Calibri" w:cs="Calibri" w:eastAsia="Calibri" w:hAnsi="Calibri"/>
          <w:sz w:val="19"/>
          <w:szCs w:val="19"/>
        </w:rPr>
        <w:t xml:space="preserve">Basis of maximum recommended starting dose (MRSD / MABEL)</w:t>
      </w:r>
    </w:p>
    <w:p>
      <w:pPr>
        <w:pStyle w:val="Heading2"/>
        <w:spacing w:after="120" w:before="280"/>
      </w:pPr>
      <w:r>
        <w:rPr>
          <w:rFonts w:ascii="Calibri" w:cs="Calibri" w:eastAsia="Calibri" w:hAnsi="Calibri"/>
          <w:b/>
          <w:bCs/>
          <w:color w:val="2E5A88"/>
          <w:sz w:val="24"/>
          <w:szCs w:val="24"/>
        </w:rPr>
        <w:t xml:space="preserve">F. Modality-specific extensions</w:t>
      </w:r>
    </w:p>
    <w:p>
      <w:pPr>
        <w:pStyle w:val="ListParagraph"/>
        <w:numPr>
          <w:ilvl w:val="0"/>
          <w:numId w:val="2"/>
        </w:numPr>
        <w:spacing w:after="90" w:before="0" w:line="260"/>
      </w:pPr>
      <w:r>
        <w:rPr>
          <w:rFonts w:ascii="Calibri" w:cs="Calibri" w:eastAsia="Calibri" w:hAnsi="Calibri"/>
          <w:sz w:val="19"/>
          <w:szCs w:val="19"/>
        </w:rPr>
        <w:t xml:space="preserve">N/A throughout - GT-02287 is a small molecule. Sections F1 (biologics) and F2 (oligonucleotides, ADCs, cell and gene therapy) do not apply.</w:t>
      </w:r>
    </w:p>
    <w:p>
      <w:r>
        <w:br w:type="page"/>
      </w:r>
    </w:p>
    <w:p>
      <w:pPr>
        <w:pStyle w:val="Heading1"/>
        <w:pBdr>
          <w:bottom w:val="single" w:color="1F3864" w:sz="12" w:space="4"/>
        </w:pBdr>
        <w:spacing w:after="160" w:before="360"/>
      </w:pPr>
      <w:r>
        <w:rPr>
          <w:rFonts w:ascii="Calibri" w:cs="Calibri" w:eastAsia="Calibri" w:hAnsi="Calibri"/>
          <w:b/>
          <w:bCs/>
          <w:color w:val="1F3864"/>
          <w:sz w:val="30"/>
          <w:szCs w:val="30"/>
        </w:rPr>
        <w:t xml:space="preserve">Section 3 - Diagnosis and Improvement Plan (GRAS-First)</w:t>
      </w:r>
    </w:p>
    <w:p>
      <w:pPr>
        <w:pStyle w:val="Heading2"/>
        <w:spacing w:after="120" w:before="280"/>
      </w:pPr>
      <w:r>
        <w:rPr>
          <w:rFonts w:ascii="Calibri" w:cs="Calibri" w:eastAsia="Calibri" w:hAnsi="Calibri"/>
          <w:b/>
          <w:bCs/>
          <w:color w:val="2E5A88"/>
          <w:sz w:val="24"/>
          <w:szCs w:val="24"/>
        </w:rPr>
        <w:t xml:space="preserve">3.1 Developability flags</w:t>
      </w:r>
    </w:p>
    <w:p>
      <w:pPr>
        <w:spacing w:after="120" w:before="0" w:line="260"/>
      </w:pPr>
      <w:r>
        <w:rPr>
          <w:rFonts w:ascii="Calibri" w:cs="Calibri" w:eastAsia="Calibri" w:hAnsi="Calibri"/>
          <w:sz w:val="20"/>
          <w:szCs w:val="20"/>
        </w:rPr>
        <w:t xml:space="preserve">Assessed against the framework's default flags, plus two developability flags specific to this asset that the default list does not cover.</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4200"/>
        <w:gridCol w:w="3400"/>
      </w:tblGrid>
      <w:tr>
        <w:trPr>
          <w:tblHeader/>
        </w:trPr>
        <w:tc>
          <w:tcPr>
            <w:tcW w:type="dxa" w:w="32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Parameter</w:t>
            </w:r>
          </w:p>
        </w:tc>
        <w:tc>
          <w:tcPr>
            <w:tcW w:type="dxa" w:w="42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Status</w:t>
            </w:r>
          </w:p>
        </w:tc>
        <w:tc>
          <w:tcPr>
            <w:tcW w:type="dxa" w:w="34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Flag</w:t>
            </w:r>
          </w:p>
        </w:tc>
      </w:tr>
      <w:tr>
        <w:tc>
          <w:tcPr>
            <w:tcW w:type="dxa" w:w="3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Oral bioavailability F</w:t>
            </w:r>
          </w:p>
        </w:tc>
        <w:tc>
          <w:tcPr>
            <w:tcW w:type="dxa" w:w="4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36% (species not stated); no human absolute F</w:t>
            </w:r>
          </w:p>
        </w:tc>
        <w:tc>
          <w:tcPr>
            <w:tcW w:type="dxa" w:w="34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AMBIG - above the 20% threshold but unverifiable</w:t>
            </w:r>
          </w:p>
        </w:tc>
      </w:tr>
      <w:tr>
        <w:tc>
          <w:tcPr>
            <w:tcW w:type="dxa" w:w="3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Aqueous / biorelevant solubility</w:t>
            </w:r>
          </w:p>
        </w:tc>
        <w:tc>
          <w:tcPr>
            <w:tcW w:type="dxa" w:w="4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"Low" (qualitative); no numeric value</w:t>
            </w:r>
          </w:p>
        </w:tc>
        <w:tc>
          <w:tcPr>
            <w:tcW w:type="dxa" w:w="34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FLAGGED - dissolution-limited exposure probable</w:t>
            </w:r>
          </w:p>
        </w:tc>
      </w:tr>
      <w:tr>
        <w:tc>
          <w:tcPr>
            <w:tcW w:type="dxa" w:w="3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Caco-2 / MDCK Papp; efflux ratio</w:t>
            </w:r>
          </w:p>
        </w:tc>
        <w:tc>
          <w:tcPr>
            <w:tcW w:type="dxa" w:w="4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NR</w:t>
            </w:r>
          </w:p>
        </w:tc>
        <w:tc>
          <w:tcPr>
            <w:tcW w:type="dxa" w:w="34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CANNOT ASSESS - competing root cause unexcluded</w:t>
            </w:r>
          </w:p>
        </w:tc>
      </w:tr>
      <w:tr>
        <w:tc>
          <w:tcPr>
            <w:tcW w:type="dxa" w:w="3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Terminal half-life vs dosing interval</w:t>
            </w:r>
          </w:p>
        </w:tc>
        <w:tc>
          <w:tcPr>
            <w:tcW w:type="dxa" w:w="4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2-5 h preclinical; human NR; dosed once daily</w:t>
            </w:r>
          </w:p>
        </w:tc>
        <w:tc>
          <w:tcPr>
            <w:tcW w:type="dxa" w:w="34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FLAGGED, then RECLASSIFIED - see IP-5</w:t>
            </w:r>
          </w:p>
        </w:tc>
      </w:tr>
      <w:tr>
        <w:tc>
          <w:tcPr>
            <w:tcW w:type="dxa" w:w="3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Kp,uu (brain) / CNS penetration</w:t>
            </w:r>
          </w:p>
        </w:tc>
        <w:tc>
          <w:tcPr>
            <w:tcW w:type="dxa" w:w="4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NR. Total CSF:plasma = 0.0036 (derived)</w:t>
            </w:r>
          </w:p>
        </w:tc>
        <w:tc>
          <w:tcPr>
            <w:tcW w:type="dxa" w:w="34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APPARENT FLAG - probably a false positive, see Insight 1</w:t>
            </w:r>
          </w:p>
        </w:tc>
      </w:tr>
      <w:tr>
        <w:tc>
          <w:tcPr>
            <w:tcW w:type="dxa" w:w="3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Hepatic extraction ratio; fm for a single CYP</w:t>
            </w:r>
          </w:p>
        </w:tc>
        <w:tc>
          <w:tcPr>
            <w:tcW w:type="dxa" w:w="4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NR</w:t>
            </w:r>
          </w:p>
        </w:tc>
        <w:tc>
          <w:tcPr>
            <w:tcW w:type="dxa" w:w="34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CANNOT ASSESS</w:t>
            </w:r>
          </w:p>
        </w:tc>
      </w:tr>
      <w:tr>
        <w:tc>
          <w:tcPr>
            <w:tcW w:type="dxa" w:w="3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Fraction unchanged / metabolic clearance</w:t>
            </w:r>
          </w:p>
        </w:tc>
        <w:tc>
          <w:tcPr>
            <w:tcW w:type="dxa" w:w="4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NR</w:t>
            </w:r>
          </w:p>
        </w:tc>
        <w:tc>
          <w:tcPr>
            <w:tcW w:type="dxa" w:w="34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CANNOT ASSESS</w:t>
            </w:r>
          </w:p>
        </w:tc>
      </w:tr>
      <w:tr>
        <w:tc>
          <w:tcPr>
            <w:tcW w:type="dxa" w:w="3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Dosage form (additional flag)</w:t>
            </w:r>
          </w:p>
        </w:tc>
        <w:tc>
          <w:tcPr>
            <w:tcW w:type="dxa" w:w="42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Body-weight-scaled oral suspension, ~0.6-1.6 g/day</w:t>
            </w:r>
          </w:p>
        </w:tc>
        <w:tc>
          <w:tcPr>
            <w:tcW w:type="dxa" w:w="34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FLAGGED - no viable Phase 3 or commercial presentation</w:t>
            </w:r>
          </w:p>
        </w:tc>
      </w:tr>
      <w:tr>
        <w:tc>
          <w:tcPr>
            <w:tcW w:type="dxa" w:w="3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GI tolerability (additional flag)</w:t>
            </w:r>
          </w:p>
        </w:tc>
        <w:tc>
          <w:tcPr>
            <w:tcW w:type="dxa" w:w="42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Nausea 32% in MAD at ~1 g/day</w:t>
            </w:r>
          </w:p>
        </w:tc>
        <w:tc>
          <w:tcPr>
            <w:tcW w:type="dxa" w:w="34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FLAGGED - adherence risk in a multi-year therapy</w:t>
            </w:r>
          </w:p>
        </w:tc>
      </w:tr>
    </w:tbl>
    <w:p>
      <w:pPr>
        <w:pStyle w:val="Heading2"/>
        <w:spacing w:after="120" w:before="280"/>
      </w:pPr>
      <w:r>
        <w:rPr>
          <w:rFonts w:ascii="Calibri" w:cs="Calibri" w:eastAsia="Calibri" w:hAnsi="Calibri"/>
          <w:b/>
          <w:bCs/>
          <w:color w:val="2E5A88"/>
          <w:sz w:val="24"/>
          <w:szCs w:val="24"/>
        </w:rPr>
        <w:t xml:space="preserve">3.2 Bioenhancer position statement - why the framework's top-ranked Tier-1 agents are rejected here</w:t>
      </w:r>
    </w:p>
    <w:p>
      <w:pPr>
        <w:spacing w:after="120" w:before="0" w:line="260"/>
      </w:pPr>
      <w:r>
        <w:rPr>
          <w:rFonts w:ascii="Calibri" w:cs="Calibri" w:eastAsia="Calibri" w:hAnsi="Calibri"/>
          <w:sz w:val="20"/>
          <w:szCs w:val="20"/>
        </w:rPr>
        <w:t xml:space="preserve">The framework ranks GRAS bioenhancers - piperine, naringin, quercetin, curcumin - at the top of Tier 1, and for good reason: they are cheap, food-derived, well characterised, and genuinely effective at raising exposure of poorly bioavailable drugs. For GT-02287 they are the wrong choice, and the reasoning is worth stating explicitly because it is a case where following the letter of the strategy order would produce a worse programme than following its intent.</w:t>
      </w:r>
    </w:p>
    <w:p>
      <w:pPr>
        <w:spacing w:after="120" w:before="0" w:line="260"/>
      </w:pPr>
      <w:r>
        <w:rPr>
          <w:rFonts w:ascii="Calibri" w:cs="Calibri" w:eastAsia="Calibri" w:hAnsi="Calibri"/>
          <w:sz w:val="20"/>
          <w:szCs w:val="20"/>
        </w:rPr>
        <w:t xml:space="preserve">First, the enhancement mechanism and the safety liability are the same mechanism. Piperine, naringin and quercetin work by inhibiting CYP3A4, UGTs and P-glycoprotein. There is no version of the benefit that does not also carry the interaction risk.</w:t>
      </w:r>
    </w:p>
    <w:p>
      <w:pPr>
        <w:spacing w:after="120" w:before="0" w:line="260"/>
      </w:pPr>
      <w:r>
        <w:rPr>
          <w:rFonts w:ascii="Calibri" w:cs="Calibri" w:eastAsia="Calibri" w:hAnsi="Calibri"/>
          <w:sz w:val="20"/>
          <w:szCs w:val="20"/>
        </w:rPr>
        <w:t xml:space="preserve">Second, the population is close to a worst case for that risk. Parkinson's patients are elderly, are on levodopa/carbidopa plus frequently a COMT inhibitor, an MAO-B inhibitor, a dopamine agonist or amantadine, and carry the comorbidity medication burden typical of their age group. Co-formulating a CYP3A4 and P-gp inhibitor at a fixed ratio does not create one manageable interaction - it creates an uncontrolled interaction surface across the whole concomitant-medication landscape, in a group with reduced physiological reserve.</w:t>
      </w:r>
    </w:p>
    <w:p>
      <w:pPr>
        <w:spacing w:after="120" w:before="0" w:line="260"/>
      </w:pPr>
      <w:r>
        <w:rPr>
          <w:rFonts w:ascii="Calibri" w:cs="Calibri" w:eastAsia="Calibri" w:hAnsi="Calibri"/>
          <w:sz w:val="20"/>
          <w:szCs w:val="20"/>
        </w:rPr>
        <w:t xml:space="preserve">Third, the exposure is chronic and lifelong. Interaction liabilities that are tolerable for a 7-day anti-infective course are not tolerable across years of continuous dosing.</w:t>
      </w:r>
    </w:p>
    <w:p>
      <w:pPr>
        <w:spacing w:after="120" w:before="0" w:line="260"/>
      </w:pPr>
      <w:r>
        <w:rPr>
          <w:rFonts w:ascii="Calibri" w:cs="Calibri" w:eastAsia="Calibri" w:hAnsi="Calibri"/>
          <w:sz w:val="20"/>
          <w:szCs w:val="20"/>
        </w:rPr>
        <w:t xml:space="preserve">Fourth, there is a regulatory cost. A drug co-formulated with a metabolic inhibitor is likely to be regulated as a fixed-dose combination rather than as a reformulation, which adds a full interaction and clinical programme and changes the approval path - precisely the outcome the GRAS-first bias exists to avoid.</w:t>
      </w:r>
    </w:p>
    <w:p>
      <w:pPr>
        <w:spacing w:after="120" w:before="0" w:line="260"/>
      </w:pPr>
      <w:r>
        <w:rPr>
          <w:rFonts w:ascii="Calibri" w:cs="Calibri" w:eastAsia="Calibri" w:hAnsi="Calibri"/>
          <w:sz w:val="20"/>
          <w:szCs w:val="20"/>
        </w:rPr>
        <w:t xml:space="preserve">Fifth, and decisively, it is unnecessary. The barrier here is solubility, and solubility is addressable with pharmacologically inert excipients. The correct reading of GRAS-first for this programme is to take the inert half of the Tier-1 toolbox - lecithin and phospholipids, medium- and long-chain glycerides, sucrose esters, food-grade acids - and leave the metabolic inhibitors alone. That is not a departure from the strategy order; it is what the strategy order is for.</w:t>
      </w:r>
    </w:p>
    <w:p>
      <w:pPr>
        <w:pStyle w:val="Heading2"/>
        <w:spacing w:after="120" w:before="280"/>
      </w:pPr>
      <w:r>
        <w:rPr>
          <w:rFonts w:ascii="Calibri" w:cs="Calibri" w:eastAsia="Calibri" w:hAnsi="Calibri"/>
          <w:b/>
          <w:bCs/>
          <w:color w:val="2E5A88"/>
          <w:sz w:val="24"/>
          <w:szCs w:val="24"/>
        </w:rPr>
        <w:t xml:space="preserve">3.3 Improvement plans</w:t>
      </w:r>
    </w:p>
    <w:p>
      <w:pPr>
        <w:spacing w:after="160" w:before="0" w:line="260"/>
      </w:pPr>
      <w:r>
        <w:rPr>
          <w:rFonts w:ascii="Calibri" w:cs="Calibri" w:eastAsia="Calibri" w:hAnsi="Calibri"/>
          <w:i/>
          <w:iCs/>
          <w:color w:val="595959"/>
          <w:sz w:val="18"/>
          <w:szCs w:val="18"/>
        </w:rPr>
        <w:t xml:space="preserve">One plan per deficient parameter, in priority order. Each follows the framework's column schema, rendered vertically for legibility.</w:t>
      </w:r>
    </w:p>
    <w:p>
      <w:pPr>
        <w:pStyle w:val="Heading3"/>
        <w:spacing w:after="100" w:before="200"/>
      </w:pPr>
      <w:r>
        <w:rPr>
          <w:rFonts w:ascii="Calibri" w:cs="Calibri" w:eastAsia="Calibri" w:hAnsi="Calibri"/>
          <w:b/>
          <w:bCs/>
          <w:color w:val="1F3864"/>
          <w:sz w:val="21"/>
          <w:szCs w:val="21"/>
        </w:rPr>
        <w:t xml:space="preserve">IP-1. Aqueous solubility / dissolution-limited exposure</w:t>
      </w:r>
    </w:p>
    <w:p>
      <w:pPr>
        <w:spacing w:after="100" w:before="0" w:line="260"/>
      </w:pPr>
      <w:r>
        <w:rPr>
          <w:rFonts w:ascii="Calibri" w:cs="Calibri" w:eastAsia="Calibri" w:hAnsi="Calibri"/>
          <w:b/>
          <w:bCs/>
          <w:sz w:val="20"/>
          <w:szCs w:val="20"/>
        </w:rPr>
        <w:t xml:space="preserve">Tier: </w:t>
      </w:r>
      <w:r>
        <w:rPr>
          <w:rFonts w:ascii="Calibri" w:cs="Calibri" w:eastAsia="Calibri" w:hAnsi="Calibri"/>
          <w:sz w:val="20"/>
          <w:szCs w:val="20"/>
        </w:rPr>
        <w:t xml:space="preserve">Tier 1 (GRAS) then Tier 2 (excipient/enabling). No Tier 3 required.   </w:t>
      </w:r>
      <w:r>
        <w:rPr>
          <w:rFonts w:ascii="Calibri" w:cs="Calibri" w:eastAsia="Calibri" w:hAnsi="Calibri"/>
          <w:b/>
          <w:bCs/>
          <w:sz w:val="20"/>
          <w:szCs w:val="20"/>
        </w:rPr>
        <w:t xml:space="preserve">Confidence: </w:t>
      </w:r>
      <w:r>
        <w:rPr>
          <w:rFonts w:ascii="Calibri" w:cs="Calibri" w:eastAsia="Calibri" w:hAnsi="Calibri"/>
          <w:sz w:val="20"/>
          <w:szCs w:val="20"/>
        </w:rPr>
        <w:t xml:space="preserve">High that solubility is the rate-limiting barrier; Medium-High on the specific technology ranking.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300"/>
      </w:tblGrid>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Deficient parameter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Aqueous solubility. Company-stated as "low" with no numeric value anywhere in the public record; no BCS/DCS classification; no biorelevant (FaSSIF/FeSSIF) solubility; no dissolution profile.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Current value vs target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Current: qualitative "low aqueous solubility" (corporate deck, Jan 2025 slide 19 footnote). Target: biorelevant solubility high enough to give a dose number (Do) below 1 at the clinical dose. At 13.5 mg/kg/day across the Phase 1b weight window of 45-120 kg, the administered dose is roughly 0.6-1.6 g/day (analyst-derived from published mg/kg and the protocol weight range, not a published figure). At ~1 g in 250 mL that requires a FaSSIF solubility of the order of 4 mg/mL - a demanding target that almost certainly is not being met by the current suspension.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Root-cause hypothesis (true rate-limiting barrier)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The rate limiter is dissolution/solubility in intestinal fluid at a high absolute dose, not permeability and not metabolism. Four independent lines of evidence converge: (1) the company itself attributes low CSF levels to "low aqueous solubility and high protein binding"; (2) the clinical dosage form is a suspension - solid particles that must dissolve in vivo - rather than a solution or a solubilised capsule; (3) a dedicated 2-way crossover relative-bioavailability study comparing two oral suspension formulations was run in Q2 2025, which is a study you only run when formulation performance is materially affecting exposure; (4) a food-effect arm was designed into the first-in-human study. Note the competing hypothesis - efflux-limited absorption - cannot be excluded from public data because no Caco-2/MDCK efflux ratio has ever been published. Rodent brain:plasma of 2-8 argues against strong P-gp involvement at the blood-brain barrier but says nothing about intestinal BCRP.</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Ranked strategies (GRAS/formulation first)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1. TIER 1 - GRAS lipid solubilisation: lecithin/phospholipids, medium-chain glycerides (e.g. caprylic/capric mono- and diglycerides), long-chain glycerides and oleic acid, sucrose esters. 2. TIER 2a - spray-dried amorphous solid dispersion (ASD) in HPMCAS (alternatives HPMC, PVP-VA, Soluplus) at 20-40% drug load, compressed to a tablet. HIGHEST-VALUE OPTION. 3. TIER 2b - lipid-based SMEDDS/SNEDDS pre-concentrate (Capmul MCM, Maisine CC, lecithin, polysorbate 80). 4. TIER 2c - nanocrystal suspension (media-milled; lecithin / poloxamer 188 / polysorbate 80 / HPMC stabilisers). LOWEST-RISK, FASTEST. 5. TIER 2d - cyclodextrin complexation (HP-beta-CD, SBE-beta-CD, gamma-CD). ASSESS AND LIKELY REJECT. 6. TIER 3 - salt or co-crystal screen. NOT RECOMMENDED at this stage.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Mechanism of enhancement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Lipids: incorporation into bile-salt mixed micelles raises the solubilisation capacity of intestinal fluid and maintains the dissolved drug reservoir; long-chain lipids additionally promote chylomicron-associated intestinal lymphatic transport, which bypasses the portal circulation and hepatic first pass. ASD: removes crystal-lattice energy so the drug dissolves as a high-energy amorphous form, generating supersaturation; the polymer inhibits nucleation and crystal growth, sustaining that supersaturation through the absorptive window. HPMCAS is specifically chosen because its own ionisation is pH-dependent - it stays largely undissolved at gastric pH and releases in the small intestine, which decouples the product from gastric pH and from food-driven gastric changes. SMEDDS: the drug is presented already dissolved, so the dissolution step is eliminated entirely. Nanocrystals: dissolution rate scales with surface area (Noyes-Whitney) and sub-micron particles gain a modest apparent solubility increase (Ostwald-Freundlich). Cyclodextrin: 1:1 or 1:2 inclusion complexation carries drug in true solution.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Expected direction and magnitude</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Direction: all four increase and stabilise exposure. Magnitude CANNOT be quantified from public data because no solubility value, no efflux ratio, and no food-effect ratio have been published - the dose number that would set the ceiling is unknown. Directionally, ASD and SMEDDS approaches on high-dose BCS II compounds have delivered several-fold exposure increases in named precedents (below), and nanocrystals have delivered food-effect elimination rather than large absolute exposure gains. Treat every magnitude as a hypothesis requiring in vitro (biorelevant dissolution, non-sink) then in vivo confirmation for this specific compound. Do not commit to a fold-change in any plan document.</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Precedent (named)</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ASD/HPMCAS at high dose: posaconazole - the marketed oral suspension had erratic, food- and gastric-pH-dependent absorption; the HPMCAS-based delayed-release tablet substantially raised and stabilised exposure and largely removed the food and pH dependence. Also ivacaftor (spray-dried HPMCAS dispersion) and vemurafenib (HPMCAS co-precipitate), both high-dose, poorly soluble, ASD-enabled tablets. SMEDDS: ciclosporin - the reformulation from the original oil solution to a microemulsion pre-concentrate cut variability and removed bile-dependence; also ritonavir/lopinavir soft-gel and tablet. Nanocrystals: aprepitant, developed as a nanocrystal specifically to control a food effect; fenofibrate and sirolimus nanocrystal products likewise.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Regulatory, DDI and food-interaction caveats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None of the tier-1/tier-2 agents proposed here inhibit a CYP enzyme or an efflux transporter, so none creates a drug-drug or food-drug interaction liability and none risks the product being reclassified as a fixed-dose combination. That is deliberate - see the Bioenhancer Position Statement below. Practical caveats: polysorbate 80 and high surfactant loads can cause GI intolerance at the gram scale, which matters given the existing 32% nausea rate; lipid vehicles at ~1 g/day drug may require an impractical number of capsules unless drug solubility in the vehicle exceeds roughly 100 mg/g; HPMCAS is well precedented in the FDA Inactive Ingredient Database at high oral loads but ASD physical stability (recrystallisation on storage) must be demonstrated across the shelf life. Any change of dosage form requires a relative-bioavailability bridging study, and if made after pivotal data start, a formal biopharmaceutics bridge.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Why cyclodextrin is de-prioritised</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At roughly 1 g/day of drug with typical 1:1 to 1:2 host:guest complexation, the required cyclodextrin mass is of the order of several grams per day (the precise figure depends on the molecular weight and stability constant, neither of which is public). That is an impractical excipient burden for a chronic oral product and carries an osmotic/laxative liability. Recommend a rapid phase-solubility screen to measure the stability constant; pursue only if it is unusually high.</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Why no Tier-3 structural change</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Tier 3 (salt, co-crystal, prodrug, analogue) is explicitly not recommended. Amorphous solid dispersion technology routinely handles gram-scale, poorly soluble weak bases, so tiers 1-2 are predicted to be sufficient; a structural change would restart the composition-of-matter, toxicology and clinical bridging path and forfeit the six-month rodent and nine-month non-rodent chronic toxicology packages already completed on the parent molecule. The one exception worth a cheap parallel look is a salt-form screen if the molecule has an ionisable centre and is currently dosed as a free base - a salt is a well-trodden, low-risk change - but the structure is undisclosed so this cannot be assessed from outside.</w:t>
            </w:r>
          </w:p>
        </w:tc>
      </w:tr>
    </w:tbl>
    <w:p>
      <w:pPr>
        <w:spacing w:after="200" w:before="0" w:line="260"/>
      </w:pPr>
      <w:r>
        <w:rPr>
          <w:rFonts w:ascii="Calibri" w:cs="Calibri" w:eastAsia="Calibri" w:hAnsi="Calibri"/>
          <w:sz w:val="20"/>
          <w:szCs w:val="20"/>
        </w:rPr>
        <w:t xml:space="preserve"/>
      </w:r>
    </w:p>
    <w:p>
      <w:pPr>
        <w:pStyle w:val="Heading3"/>
        <w:spacing w:after="100" w:before="200"/>
      </w:pPr>
      <w:r>
        <w:rPr>
          <w:rFonts w:ascii="Calibri" w:cs="Calibri" w:eastAsia="Calibri" w:hAnsi="Calibri"/>
          <w:b/>
          <w:bCs/>
          <w:color w:val="1F3864"/>
          <w:sz w:val="21"/>
          <w:szCs w:val="21"/>
        </w:rPr>
        <w:t xml:space="preserve">IP-2. Body-weight-scaled oral suspension - no fixed-dose solid form</w:t>
      </w:r>
    </w:p>
    <w:p>
      <w:pPr>
        <w:spacing w:after="100" w:before="0" w:line="260"/>
      </w:pPr>
      <w:r>
        <w:rPr>
          <w:rFonts w:ascii="Calibri" w:cs="Calibri" w:eastAsia="Calibri" w:hAnsi="Calibri"/>
          <w:b/>
          <w:bCs/>
          <w:sz w:val="20"/>
          <w:szCs w:val="20"/>
        </w:rPr>
        <w:t xml:space="preserve">Tier: </w:t>
      </w:r>
      <w:r>
        <w:rPr>
          <w:rFonts w:ascii="Calibri" w:cs="Calibri" w:eastAsia="Calibri" w:hAnsi="Calibri"/>
          <w:sz w:val="20"/>
          <w:szCs w:val="20"/>
        </w:rPr>
        <w:t xml:space="preserve">Tier 2 (enabling formulation). Same technical solution as IP-1.   </w:t>
      </w:r>
      <w:r>
        <w:rPr>
          <w:rFonts w:ascii="Calibri" w:cs="Calibri" w:eastAsia="Calibri" w:hAnsi="Calibri"/>
          <w:b/>
          <w:bCs/>
          <w:sz w:val="20"/>
          <w:szCs w:val="20"/>
        </w:rPr>
        <w:t xml:space="preserve">Confidence: </w:t>
      </w:r>
      <w:r>
        <w:rPr>
          <w:rFonts w:ascii="Calibri" w:cs="Calibri" w:eastAsia="Calibri" w:hAnsi="Calibri"/>
          <w:sz w:val="20"/>
          <w:szCs w:val="20"/>
        </w:rPr>
        <w:t xml:space="preserve">High that a solid fixed-dose form is required before Phase 3; Medium-High on the technology choice.</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300"/>
      </w:tblGrid>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Deficient parameter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Dosage form and dosing paradigm. GT-02287 is dosed as an oral suspension at 13.5 mg/kg/day (allowable range 11.3-15.0 mg/kg, with a reduced-dose option of 11 mg/kg, range 7.5-13.1). There is no fixed-dose presentation and no mg strength anywhere in the public record.</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Current value vs target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Current: weight-scaled liquid suspension, approximately 0.6-1.6 g/day across the enrolled weight range (analyst-derived). Target: two or three fixed solid strengths covering the population with simple weight bands or a single flat dose, in a tablet or capsule.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Root-cause hypothesis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Milligram-per-kilogram liquid dosing is what a programme uses when it cannot yet rely on a fixed dose - either because exposure variability is high enough that body-weight normalisation is doing real work, or because no solid form with acceptable and reproducible bioavailability exists yet. Both readings point back to the same root cause as IP-1. Note the corroborating signal: the Phase 2a design still describes only "High Dose" and "Mid Dose" arms with no milligram values disclosed, and the mg/kg paradigm has been carried forward rather than replaced.</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Why this matters more than it looks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This is a candidate chronic, disease-modifying therapy for Parkinson's disease - the intended treatment duration is years to decades. The chronic toxicology package (six-month rodent, nine-month non-rodent) was explicitly built to enable dosing beyond twelve months. A weight-scaled liquid suspension is a poor match for that use: it requires measurement of a volume by patients whose cardinal symptom is tremor and who frequently develop dysphagia and cognitive impairment; it introduces caregiver measurement error; it carries palatability and in-use stability burdens; and it is a weak commercial presentation. Tolerability and convenience are not cosmetic in a disease-modification setting - adherence over years is what converts modelled benefit into real benefit.</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Ranked strategies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1. The HPMCAS spray-dried ASD tablet from IP-1 solves both problems at once and is the primary recommendation. 2. If ASD development is slow, an intermediate lipid-filled hard capsule (SMEDDS) provides a unit-dose solid presentation sooner, at the cost of capsule count. 3. A nanocrystal-based tablet (media-milled, granulated, compressed) is the conservative fallback and has the smallest bridging risk from the current nanoparticle-free suspension. 4. Do NOT simply compress the existing crystalline material into a tablet - a high-dose crystalline tablet of a poorly soluble drug will almost certainly under-perform the suspension.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Mechanism</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As IP-1. The additional mechanism specific to this deficiency is manufacturability: an ASD intermediate is a free-flowing powder that can be granulated and compressed at 20-40% drug load, making a 250-500 mg-strength tablet feasible; nothing else in the toolbox gives both the exposure gain and the solid form.</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Precedent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Posaconazole again: the oral-suspension-to-ASD-tablet transition is the direct precedent and it happened post-approval, at considerable cost. Doing it before Phase 3 is far cheaper. Also relevant: numerous oncology and antiviral programmes that moved from a paediatric-style suspension to an ASD tablet between Phase 1 and Phase 3.</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Regulatory caveats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Establish an in vitro / in vivo relationship (IVIVR) during the Phase 2 formulation work using biorelevant, non-sink dissolution. If an IVIVR is in place, the Phase 3 tablet can be bridged to the Phase 2 suspension with a relative-bioavailability study rather than repeating clinical efficacy work. Doing this bridging BEFORE the pivotal study starts is the single highest-leverage sequencing decision available to the programme. Changing form after pivotal enrolment begins is materially more expensive and risks a formal biopharmaceutics review issue.</w:t>
            </w:r>
          </w:p>
        </w:tc>
      </w:tr>
    </w:tbl>
    <w:p>
      <w:pPr>
        <w:spacing w:after="200" w:before="0" w:line="260"/>
      </w:pPr>
      <w:r>
        <w:rPr>
          <w:rFonts w:ascii="Calibri" w:cs="Calibri" w:eastAsia="Calibri" w:hAnsi="Calibri"/>
          <w:sz w:val="20"/>
          <w:szCs w:val="20"/>
        </w:rPr>
        <w:t xml:space="preserve"/>
      </w:r>
    </w:p>
    <w:p>
      <w:pPr>
        <w:pStyle w:val="Heading3"/>
        <w:spacing w:after="100" w:before="200"/>
      </w:pPr>
      <w:r>
        <w:rPr>
          <w:rFonts w:ascii="Calibri" w:cs="Calibri" w:eastAsia="Calibri" w:hAnsi="Calibri"/>
          <w:b/>
          <w:bCs/>
          <w:color w:val="1F3864"/>
          <w:sz w:val="21"/>
          <w:szCs w:val="21"/>
        </w:rPr>
        <w:t xml:space="preserve">IP-3. Free fraction and CNS free exposure - diagnose before treating</w:t>
      </w:r>
    </w:p>
    <w:p>
      <w:pPr>
        <w:spacing w:after="100" w:before="0" w:line="260"/>
      </w:pPr>
      <w:r>
        <w:rPr>
          <w:rFonts w:ascii="Calibri" w:cs="Calibri" w:eastAsia="Calibri" w:hAnsi="Calibri"/>
          <w:b/>
          <w:bCs/>
          <w:sz w:val="20"/>
          <w:szCs w:val="20"/>
        </w:rPr>
        <w:t xml:space="preserve">Tier: </w:t>
      </w:r>
      <w:r>
        <w:rPr>
          <w:rFonts w:ascii="Calibri" w:cs="Calibri" w:eastAsia="Calibri" w:hAnsi="Calibri"/>
          <w:sz w:val="20"/>
          <w:szCs w:val="20"/>
        </w:rPr>
        <w:t xml:space="preserve">Measurement first. Formulation action is conditional on the result.   </w:t>
      </w:r>
      <w:r>
        <w:rPr>
          <w:rFonts w:ascii="Calibri" w:cs="Calibri" w:eastAsia="Calibri" w:hAnsi="Calibri"/>
          <w:b/>
          <w:bCs/>
          <w:sz w:val="20"/>
          <w:szCs w:val="20"/>
        </w:rPr>
        <w:t xml:space="preserve">Confidence: </w:t>
      </w:r>
      <w:r>
        <w:rPr>
          <w:rFonts w:ascii="Calibri" w:cs="Calibri" w:eastAsia="Calibri" w:hAnsi="Calibri"/>
          <w:sz w:val="20"/>
          <w:szCs w:val="20"/>
        </w:rPr>
        <w:t xml:space="preserve">High that the measurement is the correct next step; Medium-High on the predicted result.</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300"/>
      </w:tblGrid>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Deficient parameter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Plasma free fraction (fu) and brain unbound partition coefficient (Kp,uu). Both are NR. The only related datum is the company's qualitative "high protein binding".</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Current value vs target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Current: human CSF 3.1 ng/mL (range 1.7-4.9) against a mean plasma Cmax of 850 ng/mL, giving a total CSF:plasma ratio of 0.0036 (analyst-derived; not a published value). Taken naively against the framework's default flag of Kp,uu below 0.3, this reads as a severe CNS-penetration failure. Target: a measured Kp,uu, which is the only number that can tell you whether that reading is correct.</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Root-cause hypothesis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The 0.0036 ratio is very probably a plasma-protein-binding artefact, not a blood-brain-barrier problem. CSF is essentially protein-free, so CSF concentration approximates unbound plasma concentration at steady state. If "high protein binding" means fu of roughly 0.3-0.5%, then a total CSF:plasma ratio of 0.0036 is exactly what free-drug theory predicts for a compound with Kp,uu of about 1 - that is, unrestricted CNS access. The rodent data support this reading: total brain concentrations are 2-8 times total plasma, which is difficult to reconcile with meaningful active efflux at the blood-brain barrier. See Insight 1 for the full reasoning chain.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Ranked strategies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0. MEASURE FIRST: equilibrium dialysis for plasma fu (human, rat, mouse, dog) and brain-homogenate fu,brain; compute Kp,uu = (C_brain x fu,brain) / (C_plasma x fu,plasma). Pair with an MDCK-MDR1 and a BCRP-transfected bidirectional assay to get an efflux ratio. This is a matter of weeks and a few tens of thousands of dollars. 1. IF Kp,uu is at or above about 0.3 (predicted): spend nothing on CNS delivery. Direct the entire formulation budget to raising total systemic exposure per IP-1, because free brain concentration will rise proportionally. 2. IF Kp,uu is below 0.3 with an efflux ratio above 2: only then does the CNS toolbox apply - polysorbate-80-coated lipid nanocarriers exploiting apolipoprotein-mediated transcytosis, GRAS flavonoid efflux modulation (quercetin), lipid nanoemulsions, or intranasal nose-to-brain delivery.</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Mechanism</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Free-drug theory: only unbound drug crosses membranes and engages the target, and at steady state unbound concentrations equilibrate across the blood-brain barrier unless a transporter imposes a gradient. Kp,uu is the direct measure of whether such a gradient exists. Total-concentration ratios such as CSF:plasma or brain:plasma confound binding differences with transport and routinely mislead in exactly this way.</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Expected direction and magnitude</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No formulation change is proposed here, so no magnitude is claimed. The value of this action is diagnostic: it determines which of two entirely non-overlapping formulation programmes the company should fund.</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Explicit warning</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Do NOT deploy blood-brain-barrier delivery technology, and above all do not co-administer a P-gp-inhibiting bioenhancer, before Kp,uu is known. Inhibiting a transporter that is not imposing a gradient adds drug-drug interaction liability, regulatory complexity and cost for no pharmacological gain - and in an elderly polypharmacy population that trade is clearly negative.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Precedent for the reasoning</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The free-drug / Kp,uu framework is the standard modern approach to CNS drug design and has repeatedly reclassified compounds that looked brain-impenetrant on total-concentration ratios as having unrestricted brain access once binding was accounted for. The specific pattern here - very low total CSF:plasma alongside brain:plasma above 1 - is a classic signature of high plasma protein binding combined with high brain tissue binding rather than of efflux.</w:t>
            </w:r>
          </w:p>
        </w:tc>
      </w:tr>
    </w:tbl>
    <w:p>
      <w:pPr>
        <w:spacing w:after="200" w:before="0" w:line="260"/>
      </w:pPr>
      <w:r>
        <w:rPr>
          <w:rFonts w:ascii="Calibri" w:cs="Calibri" w:eastAsia="Calibri" w:hAnsi="Calibri"/>
          <w:sz w:val="20"/>
          <w:szCs w:val="20"/>
        </w:rPr>
        <w:t xml:space="preserve"/>
      </w:r>
    </w:p>
    <w:p>
      <w:pPr>
        <w:pStyle w:val="Heading3"/>
        <w:spacing w:after="100" w:before="200"/>
      </w:pPr>
      <w:r>
        <w:rPr>
          <w:rFonts w:ascii="Calibri" w:cs="Calibri" w:eastAsia="Calibri" w:hAnsi="Calibri"/>
          <w:b/>
          <w:bCs/>
          <w:color w:val="1F3864"/>
          <w:sz w:val="21"/>
          <w:szCs w:val="21"/>
        </w:rPr>
        <w:t xml:space="preserve">IP-4. Gastrointestinal tolerability - nausea in 32% of MAD subjects</w:t>
      </w:r>
    </w:p>
    <w:p>
      <w:pPr>
        <w:spacing w:after="100" w:before="0" w:line="260"/>
      </w:pPr>
      <w:r>
        <w:rPr>
          <w:rFonts w:ascii="Calibri" w:cs="Calibri" w:eastAsia="Calibri" w:hAnsi="Calibri"/>
          <w:b/>
          <w:bCs/>
          <w:sz w:val="20"/>
          <w:szCs w:val="20"/>
        </w:rPr>
        <w:t xml:space="preserve">Tier: </w:t>
      </w:r>
      <w:r>
        <w:rPr>
          <w:rFonts w:ascii="Calibri" w:cs="Calibri" w:eastAsia="Calibri" w:hAnsi="Calibri"/>
          <w:sz w:val="20"/>
          <w:szCs w:val="20"/>
        </w:rPr>
        <w:t xml:space="preserve">Tier 2 (excipient/formulation). Addressed as a by-product of IP-1.   </w:t>
      </w:r>
      <w:r>
        <w:rPr>
          <w:rFonts w:ascii="Calibri" w:cs="Calibri" w:eastAsia="Calibri" w:hAnsi="Calibri"/>
          <w:b/>
          <w:bCs/>
          <w:sz w:val="20"/>
          <w:szCs w:val="20"/>
        </w:rPr>
        <w:t xml:space="preserve">Confidence: </w:t>
      </w:r>
      <w:r>
        <w:rPr>
          <w:rFonts w:ascii="Calibri" w:cs="Calibri" w:eastAsia="Calibri" w:hAnsi="Calibri"/>
          <w:sz w:val="20"/>
          <w:szCs w:val="20"/>
        </w:rPr>
        <w:t xml:space="preserve">Medium. The aetiology of the nausea has not been published.</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300"/>
      </w:tblGrid>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Deficient parameter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Gastrointestinal tolerability. Nausea was the most common multiple-ascending-dose adverse event at 32%, with abdominal pain and diarrhoea at 8% each. All events were Grade 1-2 with no discontinuations, but the rate is high for a therapy intended for years of continuous use.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Current value vs target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Current: 32% nausea in healthy volunteers at approximately 1 g/day for 14 days. Target: a rate low enough to sustain multi-year adherence. No formal target has been published by the sponsor.</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Root-cause hypothesis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Most likely a high local concentration of dissolving and undissolved drug in the stomach and proximal small intestine at a gram-scale suspension dose, compounded by the surfactant and vehicle load such a suspension requires, and possibly by the taste of an amine-containing molecule. Competing hypotheses that cannot be excluded from public data: a centrally mediated on-target effect, or an effect of a metabolite. The published data do not permit discrimination - no per-cohort adverse-event breakdown has been released, so the dose-response relationship for nausea is unknown.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Ranked strategies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1. Reduce the administered mass by raising bioavailability (IP-1). If an enabling formulation delivers the same exposure at half to a third of the current dose, that is the cheapest possible tolerability intervention and requires no new pharmacology or new excipient risk. 2. Shift dissolution distal to the stomach using an enteric-grade HPMCAS (MG or HG) ASD or an enteric coat - the same excipient already recommended in IP-1 does double duty. 3. Taste-masking with gamma-cyclodextrin or a polymer coat if palatability contributes. 4. Dose with food if the food-effect data support it - but see Insight 5 before committing to that instruction.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Mechanism</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Local mucosal irritation and emetic signalling scale with local luminal concentration and with the mass of poorly soluble particulate presented to the gastric and duodenal mucosa. Both lowering the total mass and moving the dissolution window distally reduce peak local concentration at the sites where nausea is triggered.</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Expected direction and magnitude</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Direction: improvement. Magnitude unquantifiable without a published dose-adverse-event relationship. State as a hypothesis requiring confirmation in the Phase 2 formulation cohort.</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Precedent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Dose reduction through enabling formulation as a tolerability strategy is well precedented across poorly soluble oncology and anti-infective agents; enteric HPMCAS delayed release specifically reduced upper-GI local exposure in the posaconazole tablet.</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Caveat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If the nausea proves to be centrally mediated or on-target, formulation will not fix it and the correct levers become titration, dose splitting, or antiemetic co-therapy. Establishing the dose-adverse-event relationship from the existing Phase 1 dataset - which the sponsor already holds - should precede any formulation investment aimed at tolerability.</w:t>
            </w:r>
          </w:p>
        </w:tc>
      </w:tr>
    </w:tbl>
    <w:p>
      <w:pPr>
        <w:spacing w:after="200" w:before="0" w:line="260"/>
      </w:pPr>
      <w:r>
        <w:rPr>
          <w:rFonts w:ascii="Calibri" w:cs="Calibri" w:eastAsia="Calibri" w:hAnsi="Calibri"/>
          <w:sz w:val="20"/>
          <w:szCs w:val="20"/>
        </w:rPr>
        <w:t xml:space="preserve"/>
      </w:r>
    </w:p>
    <w:p>
      <w:pPr>
        <w:pStyle w:val="Heading3"/>
        <w:spacing w:after="100" w:before="200"/>
      </w:pPr>
      <w:r>
        <w:rPr>
          <w:rFonts w:ascii="Calibri" w:cs="Calibri" w:eastAsia="Calibri" w:hAnsi="Calibri"/>
          <w:b/>
          <w:bCs/>
          <w:color w:val="1F3864"/>
          <w:sz w:val="21"/>
          <w:szCs w:val="21"/>
        </w:rPr>
        <w:t xml:space="preserve">IP-5. Half-life versus once-daily dosing, and pH-dependent absorption variability</w:t>
      </w:r>
    </w:p>
    <w:p>
      <w:pPr>
        <w:spacing w:after="100" w:before="0" w:line="260"/>
      </w:pPr>
      <w:r>
        <w:rPr>
          <w:rFonts w:ascii="Calibri" w:cs="Calibri" w:eastAsia="Calibri" w:hAnsi="Calibri"/>
          <w:b/>
          <w:bCs/>
          <w:sz w:val="20"/>
          <w:szCs w:val="20"/>
        </w:rPr>
        <w:t xml:space="preserve">Tier: </w:t>
      </w:r>
      <w:r>
        <w:rPr>
          <w:rFonts w:ascii="Calibri" w:cs="Calibri" w:eastAsia="Calibri" w:hAnsi="Calibri"/>
          <w:sz w:val="20"/>
          <w:szCs w:val="20"/>
        </w:rPr>
        <w:t xml:space="preserve">Measurement first; then Tier 1/Tier 2 if confirmed. Warning against a premature extended-release programme.   </w:t>
      </w:r>
      <w:r>
        <w:rPr>
          <w:rFonts w:ascii="Calibri" w:cs="Calibri" w:eastAsia="Calibri" w:hAnsi="Calibri"/>
          <w:b/>
          <w:bCs/>
          <w:sz w:val="20"/>
          <w:szCs w:val="20"/>
        </w:rPr>
        <w:t xml:space="preserve">Confidence: </w:t>
      </w:r>
      <w:r>
        <w:rPr>
          <w:rFonts w:ascii="Calibri" w:cs="Calibri" w:eastAsia="Calibri" w:hAnsi="Calibri"/>
          <w:sz w:val="20"/>
          <w:szCs w:val="20"/>
        </w:rPr>
        <w:t xml:space="preserve">Medium-High on the pH-variability risk; Medium on whether a duration gap exists at all.</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8300"/>
      </w:tblGrid>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Deficient parameter</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Human terminal half-life (NR), accumulation ratio (NR, though protocol-specified), trough concentration (NR), and pH-dependent absorption / acid-reducing-agent effect (NR). Preclinical half-life is approximately 2 h in mouse, 3 h in rat and 5 h in dog; the drug is dosed once daily in humans.</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Current value vs target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Current: unknown human half-life against a 24-hour dosing interval. Target: demonstrate that the pharmacodynamic effect is maintained across the full interval - which, notably, the existing data suggest it already is.</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Root-cause hypothesis and the counter-argument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 naive reading of a 2-5 hour preclinical half-life against once-daily dosing flags a duration problem and points to an extended-release formulation. That reading is probably wrong, and this is the framework's "reclassify the barrier" case running in reverse. Two published observations argue the pharmacodynamic effect substantially outlives plasma exposure: GCase activity was still increasing 12 hours post-dose on Day 14 in the multiple-ascending-dose cohort, and in the mouse model improvements in disease markers and in motor and cognitive function persisted at least 9 days after the compound was withdrawn. For a chaperone that acts by stabilising and trafficking an enzyme with its own turnover half-life, the enzyme pool - not the plasma concentration - is the pharmacodynamically relevant reservoir. Building an extended-release formulation to fix a half-life that is not limiting would be an expensive solution to a non-problem, and worse, extended release of a solubility-limited drug into the distal gut typically LOSES exposure because there is less fluid and less bile-salt solubilisation there.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Ranked strategies</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0. MEASURE FIRST: publish or internally analyse the human t1/2, Rac(AUC), Rac(Cmax) and Cmin already collected in the Phase 1b, and relate the GCase-activity time course to trough rather than to Cmax. This settles the question with data the sponsor already owns. 1. IF no duration gap is confirmed (predicted): do nothing. Keep once-daily immediate release and put the effort into IP-1. 2. IF a duration gap is confirmed: HPMC extended-release matrix or ion-exchange-resin complexation, but these MUST be co-developed with the solubility enabling technology, not sequenced after it - an ASD-in-ER-matrix or a lipid-based controlled-release system, never a plain ER matrix of crystalline drug. 3. SEPARATELY AND UNCONDITIONALLY: address pH-dependent absorption risk.</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pH-dependent absorption - a distinct and probably real problem</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If GT-02287 is a weak base - the disclosed patent genus carries a basic tertiary amine, though the specific structure is unconfirmed - its solubility will fall sharply as gastric pH rises. That matters unusually much in this population: Parkinson's patients have a high prevalence of delayed gastric emptying and gastroparesis, frequent proton-pump-inhibitor and H2-antagonist use, and elevated Helicobacter pylori prevalence. Every one of those raises gastric pH or destabilises transit, and each would translate directly into exposure variability for a weak base dosed as a suspension. TIER 1/2 FIXES: acidic microenvironment modifiers (citric, tartaric, fumaric acid) incorporated in the dosage form to buffer the local dissolution environment; or, better, an HPMCAS-based ASD, which decouples release from gastric pH entirely because the polymer controls where dissolution occurs. Note that the ASD recommended in IP-1 already delivers this benefit at no incremental cost - a genuine two-for-one.</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Precedent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Weak bases with clinically significant proton-pump-inhibitor interactions and consequent label restrictions are common (several kinase inhibitors carry explicit acid-reducing-agent warnings). Posaconazole is again the cleanest precedent for the fix: the ASD delayed-release tablet substantially removed the gastric-pH dependence that plagued the suspension.</w:t>
            </w:r>
          </w:p>
        </w:tc>
      </w:tr>
      <w:tr>
        <w:tc>
          <w:tcPr>
            <w:tcW w:type="dxa" w:w="25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Regulatory caveat</w:t>
            </w:r>
          </w:p>
        </w:tc>
        <w:tc>
          <w:tcPr>
            <w:tcW w:type="dxa" w:w="83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 formal acid-reducing-agent interaction study will be expected before filing for any weak base absorbed in the upper GI tract. Running it early - and, if the result is bad, fixing it with formulation before Phase 3 - is far cheaper than carrying a label restriction into a population that uses proton-pump inhibitors heavily.</w:t>
            </w:r>
          </w:p>
        </w:tc>
      </w:tr>
    </w:tbl>
    <w:p>
      <w:pPr>
        <w:spacing w:after="200" w:before="0" w:line="260"/>
      </w:pPr>
      <w:r>
        <w:rPr>
          <w:rFonts w:ascii="Calibri" w:cs="Calibri" w:eastAsia="Calibri" w:hAnsi="Calibri"/>
          <w:sz w:val="20"/>
          <w:szCs w:val="20"/>
        </w:rPr>
        <w:t xml:space="preserve"/>
      </w:r>
    </w:p>
    <w:p>
      <w:pPr>
        <w:pStyle w:val="Heading2"/>
        <w:spacing w:after="120" w:before="280"/>
      </w:pPr>
      <w:r>
        <w:rPr>
          <w:rFonts w:ascii="Calibri" w:cs="Calibri" w:eastAsia="Calibri" w:hAnsi="Calibri"/>
          <w:b/>
          <w:bCs/>
          <w:color w:val="2E5A88"/>
          <w:sz w:val="24"/>
          <w:szCs w:val="24"/>
        </w:rPr>
        <w:t xml:space="preserve">3.4 Recommended sequence</w:t>
      </w:r>
    </w:p>
    <w:p>
      <w:pPr>
        <w:pStyle w:val="ListParagraph"/>
        <w:numPr>
          <w:ilvl w:val="0"/>
          <w:numId w:val="2"/>
        </w:numPr>
        <w:spacing w:after="90" w:before="0" w:line="260"/>
      </w:pPr>
      <w:r>
        <w:rPr>
          <w:rFonts w:ascii="Calibri" w:cs="Calibri" w:eastAsia="Calibri" w:hAnsi="Calibri"/>
          <w:sz w:val="19"/>
          <w:szCs w:val="19"/>
        </w:rPr>
        <w:t xml:space="preserve">WEEKS 0-8, measurement, low cost, no formulation commitment: plasma and brain-homogenate free fraction by equilibrium dialysis (giving Kp,uu); bidirectional MDCK-MDR1 and BCRP permeability with efflux ratio; biorelevant solubility in FaSSIF and FeSSIF; pKa and logD. In parallel, retrieve the two withheld internal datasets - the fed/fasted ratio and the relative-bioavailability crossover result - and the per-cohort adverse-event breakdown.</w:t>
      </w:r>
    </w:p>
    <w:p>
      <w:pPr>
        <w:pStyle w:val="ListParagraph"/>
        <w:numPr>
          <w:ilvl w:val="0"/>
          <w:numId w:val="2"/>
        </w:numPr>
        <w:spacing w:after="90" w:before="0" w:line="260"/>
      </w:pPr>
      <w:r>
        <w:rPr>
          <w:rFonts w:ascii="Calibri" w:cs="Calibri" w:eastAsia="Calibri" w:hAnsi="Calibri"/>
          <w:sz w:val="19"/>
          <w:szCs w:val="19"/>
        </w:rPr>
        <w:t xml:space="preserve">DECISION POINT: Kp,uu at or above 0.3 sends the entire effort to systemic exposure (IP-1 and IP-2). Kp,uu below 0.3 with an efflux ratio above 2 opens the CNS-delivery track instead. Do not commit formulation spend before this point.</w:t>
      </w:r>
    </w:p>
    <w:p>
      <w:pPr>
        <w:pStyle w:val="ListParagraph"/>
        <w:numPr>
          <w:ilvl w:val="0"/>
          <w:numId w:val="2"/>
        </w:numPr>
        <w:spacing w:after="90" w:before="0" w:line="260"/>
      </w:pPr>
      <w:r>
        <w:rPr>
          <w:rFonts w:ascii="Calibri" w:cs="Calibri" w:eastAsia="Calibri" w:hAnsi="Calibri"/>
          <w:sz w:val="19"/>
          <w:szCs w:val="19"/>
        </w:rPr>
        <w:t xml:space="preserve">MONTHS 2-8, prototyping: run an HPMCAS spray-dried amorphous solid dispersion, a lipid SMEDDS pre-concentrate and a media-milled nanosuspension in parallel; screen against biorelevant non-sink dissolution; take the best two into a rat or dog crossover measuring exposure and the fed/fasted difference. Score food-independence explicitly as a selection criterion (Insight 5), not as a tiebreaker.</w:t>
      </w:r>
    </w:p>
    <w:p>
      <w:pPr>
        <w:pStyle w:val="ListParagraph"/>
        <w:numPr>
          <w:ilvl w:val="0"/>
          <w:numId w:val="2"/>
        </w:numPr>
        <w:spacing w:after="90" w:before="0" w:line="260"/>
      </w:pPr>
      <w:r>
        <w:rPr>
          <w:rFonts w:ascii="Calibri" w:cs="Calibri" w:eastAsia="Calibri" w:hAnsi="Calibri"/>
          <w:sz w:val="19"/>
          <w:szCs w:val="19"/>
        </w:rPr>
        <w:t xml:space="preserve">MONTHS 6-12, bridging: establish an in vitro / in vivo relationship on the winning prototype and run the clinical relative-bioavailability bridge from the current suspension. Completing this before pivotal enrolment is the single highest-leverage sequencing decision available to the programme.</w:t>
      </w:r>
    </w:p>
    <w:p>
      <w:pPr>
        <w:pStyle w:val="ListParagraph"/>
        <w:numPr>
          <w:ilvl w:val="0"/>
          <w:numId w:val="2"/>
        </w:numPr>
        <w:spacing w:after="90" w:before="0" w:line="260"/>
      </w:pPr>
      <w:r>
        <w:rPr>
          <w:rFonts w:ascii="Calibri" w:cs="Calibri" w:eastAsia="Calibri" w:hAnsi="Calibri"/>
          <w:sz w:val="19"/>
          <w:szCs w:val="19"/>
        </w:rPr>
        <w:t xml:space="preserve">THROUGHOUT: no CYP- or transporter-inhibiting bioenhancer enters the formulation at any stage, for the reasons in 3.2.</w:t>
      </w:r>
    </w:p>
    <w:p>
      <w:r>
        <w:br w:type="page"/>
      </w:r>
    </w:p>
    <w:p>
      <w:pPr>
        <w:pStyle w:val="Heading1"/>
        <w:pBdr>
          <w:bottom w:val="single" w:color="1F3864" w:sz="12" w:space="4"/>
        </w:pBdr>
        <w:spacing w:after="160" w:before="360"/>
      </w:pPr>
      <w:r>
        <w:rPr>
          <w:rFonts w:ascii="Calibri" w:cs="Calibri" w:eastAsia="Calibri" w:hAnsi="Calibri"/>
          <w:b/>
          <w:bCs/>
          <w:color w:val="1F3864"/>
          <w:sz w:val="30"/>
          <w:szCs w:val="30"/>
        </w:rPr>
        <w:t xml:space="preserve">Section 4 - Insight Task: What Search Cannot Find</w:t>
      </w:r>
    </w:p>
    <w:p>
      <w:pPr>
        <w:spacing w:after="180" w:before="0" w:line="260"/>
      </w:pPr>
      <w:r>
        <w:rPr>
          <w:rFonts w:ascii="Calibri" w:cs="Calibri" w:eastAsia="Calibri" w:hAnsi="Calibri"/>
          <w:i/>
          <w:iCs/>
          <w:color w:val="595959"/>
          <w:sz w:val="18"/>
          <w:szCs w:val="18"/>
        </w:rPr>
        <w:t xml:space="preserve">Each item below is explicitly a hypothesis, not an established finding. Each gives its reasoning chain, a confidence level, and the experiment or dataset that would confirm or refute it.</w:t>
      </w:r>
    </w:p>
    <w:p>
      <w:pPr>
        <w:pStyle w:val="Heading3"/>
        <w:spacing w:after="100" w:before="200"/>
      </w:pPr>
      <w:r>
        <w:rPr>
          <w:rFonts w:ascii="Calibri" w:cs="Calibri" w:eastAsia="Calibri" w:hAnsi="Calibri"/>
          <w:b/>
          <w:bCs/>
          <w:color w:val="1F3864"/>
          <w:sz w:val="21"/>
          <w:szCs w:val="21"/>
        </w:rPr>
        <w:t xml:space="preserve">Insight 1. The low CSF number is being read as a brain-penetration result. It is almost certainly a free-fraction result.</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Medium-High</w:t>
      </w:r>
    </w:p>
    <w:p>
      <w:pPr>
        <w:spacing w:after="120" w:before="0" w:line="260"/>
      </w:pPr>
      <w:r>
        <w:rPr>
          <w:rFonts w:ascii="Calibri" w:cs="Calibri" w:eastAsia="Calibri" w:hAnsi="Calibri"/>
          <w:sz w:val="20"/>
          <w:szCs w:val="20"/>
        </w:rPr>
        <w:t xml:space="preserve">Human CSF concentration is 3.1 ng/mL against a mean plasma Cmax of 850 ng/mL - a total CSF:plasma ratio of 0.0036 (analyst-derived). Against the framework's default flag of Kp,uu below 0.3, that looks like a severe blood-brain-barrier failure, and it is the kind of number that pushes a programme toward expensive CNS-delivery technology.</w:t>
      </w:r>
    </w:p>
    <w:p>
      <w:pPr>
        <w:spacing w:after="120" w:before="0" w:line="260"/>
      </w:pPr>
      <w:r>
        <w:rPr>
          <w:rFonts w:ascii="Calibri" w:cs="Calibri" w:eastAsia="Calibri" w:hAnsi="Calibri"/>
          <w:sz w:val="20"/>
          <w:szCs w:val="20"/>
        </w:rPr>
        <w:t xml:space="preserve">The reasoning chain that says otherwise: CSF is essentially protein-free, so CSF concentration approximates unbound plasma concentration at steady state. The company states the compound has "high protein binding". If fu is of the order of 0.3-0.5% - entirely plausible for a lipophilic compound described as poorly water-soluble - then a total CSF:plasma ratio of 0.0036 is precisely what free-drug theory predicts for a molecule with Kp,uu near 1, i.e. unrestricted access to the brain. The rodent data point the same way: total brain concentrations are 2-8 times total plasma, which is hard to reconcile with meaningful active efflux and is the expected signature of high brain-tissue binding. The company's own footnote makes the connection almost explicitly - it attributes the low CSF levels to "low aqueous solubility and high protein binding", not to poor brain penetration.</w:t>
      </w:r>
    </w:p>
    <w:p>
      <w:pPr>
        <w:spacing w:after="120" w:before="0" w:line="260"/>
      </w:pPr>
      <w:r>
        <w:rPr>
          <w:rFonts w:ascii="Calibri" w:cs="Calibri" w:eastAsia="Calibri" w:hAnsi="Calibri"/>
          <w:sz w:val="20"/>
          <w:szCs w:val="20"/>
        </w:rPr>
        <w:t xml:space="preserve">Why it matters: these two diagnoses lead to completely non-overlapping formulation programmes. If Kp,uu is near 1, every dollar spent on nose-to-brain delivery, surfactant-coated nanocarriers, or blood-brain-barrier efflux inhibition is wasted, and the entire effort belongs on raising total systemic exposure. If Kp,uu is genuinely below 0.3, the opposite is true. The programme is currently unable to tell which, from public data.</w:t>
      </w:r>
    </w:p>
    <w:p>
      <w:pPr>
        <w:spacing w:after="120" w:before="0" w:line="260"/>
      </w:pPr>
      <w:r>
        <w:rPr>
          <w:rFonts w:ascii="Calibri" w:cs="Calibri" w:eastAsia="Calibri" w:hAnsi="Calibri"/>
          <w:sz w:val="20"/>
          <w:szCs w:val="20"/>
        </w:rPr>
        <w:t xml:space="preserve">Confirming or refuting experiment: equilibrium dialysis for plasma fu and brain-homogenate fu,brain in rat and human, giving Kp,uu = (C_brain x fu,brain) / (C_plasma x fu,plasma); paired with a bidirectional MDCK-MDR1 and BCRP assay for an efflux ratio. Kp,uu at or above 0.3 with an efflux ratio near 1 confirms the hypothesis. Kp,uu below 0.3 with an efflux ratio above 2 refutes it. Weeks of work, trivial cost, and it redirects a multi-year formulation strategy.</w:t>
      </w:r>
    </w:p>
    <w:p>
      <w:pPr>
        <w:pStyle w:val="Heading3"/>
        <w:spacing w:after="100" w:before="200"/>
      </w:pPr>
      <w:r>
        <w:rPr>
          <w:rFonts w:ascii="Calibri" w:cs="Calibri" w:eastAsia="Calibri" w:hAnsi="Calibri"/>
          <w:b/>
          <w:bCs/>
          <w:color w:val="1F3864"/>
          <w:sz w:val="21"/>
          <w:szCs w:val="21"/>
        </w:rPr>
        <w:t xml:space="preserve">Insight 2. Lysosomal ion trapping may reconcile an apparent thousand-fold gap between free CNS drug and cellular potency - and if so, plasma-based PK/PD will systematically mislead dose selection.</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w:t>
      </w:r>
    </w:p>
    <w:p>
      <w:pPr>
        <w:spacing w:after="120" w:before="0" w:line="260"/>
      </w:pPr>
      <w:r>
        <w:rPr>
          <w:rFonts w:ascii="Calibri" w:cs="Calibri" w:eastAsia="Calibri" w:hAnsi="Calibri"/>
          <w:sz w:val="20"/>
          <w:szCs w:val="20"/>
        </w:rPr>
        <w:t xml:space="preserve">The arithmetic that creates the puzzle: cellular EC50 is described as "one-digit micromolar", while human CSF concentration is 3.1 ng/mL. If the molecular weight is around 350 Da - a conditional assumption, since the structure is undisclosed; the disclosed patent genus of 2,4-diamino-1,3,5-triazines falls in that range - then 3.1 ng/mL is roughly 9 nM, some two to three orders of magnitude below the cellular EC50. Yet target engagement is real and measurable: GCase activity rose 53% in dried blood spots and CSF glucosylsphingosine fell 81% in patients with elevated baseline. Something must be concentrating drug at the site of action.</w:t>
      </w:r>
    </w:p>
    <w:p>
      <w:pPr>
        <w:spacing w:after="120" w:before="0" w:line="260"/>
      </w:pPr>
      <w:r>
        <w:rPr>
          <w:rFonts w:ascii="Calibri" w:cs="Calibri" w:eastAsia="Calibri" w:hAnsi="Calibri"/>
          <w:sz w:val="20"/>
          <w:szCs w:val="20"/>
        </w:rPr>
        <w:t xml:space="preserve">The candidate mechanism: GCase resides in the lysosome, at pH roughly 4.5-5.0. The disclosed chemical genus carries a basic tertiary amine (a benzyl(methyl)aminomethyl arm). Weak bases with pKa in the 7-9 range accumulate 100- to 1000-fold in lysosomes by pH partitioning - they diffuse in as the neutral species, protonate in the acidic lumen and become trapped. A 100-1000-fold concentration of a 9 nM extracellular free concentration puts lysosomal drug in the low micromolar range, which is exactly where the measured EC50 sits. The mechanism also offers a cleaner explanation for the 2-8 fold brain:plasma total ratio than tissue lipid binding alone, and it aligns the drug's accumulation compartment with its target's compartment - an unusually favourable coincidence for a chaperone.</w:t>
      </w:r>
    </w:p>
    <w:p>
      <w:pPr>
        <w:spacing w:after="120" w:before="0" w:line="260"/>
      </w:pPr>
      <w:r>
        <w:rPr>
          <w:rFonts w:ascii="Calibri" w:cs="Calibri" w:eastAsia="Calibri" w:hAnsi="Calibri"/>
          <w:sz w:val="20"/>
          <w:szCs w:val="20"/>
        </w:rPr>
        <w:t xml:space="preserve">Three consequences if true. (a) The pharmacodynamically relevant exposure metric is lysosomal, not plasma and not CSF - so a PK/PD model built on plasma will misestimate the exposure-response relationship and could drive the wrong Phase 2 dose. This matters now: the Phase 2a design specifies "High Dose" and "Mid Dose" arms whose milligram values have not been disclosed, and only a single dose cohort was ever assayed for GCase activity, so no exposure-response curve exists to anchor them. (b) There is a hidden interaction class no plasma-based drug-drug interaction study would ever detect: any co-medication that alkalinises lysosomes - chloroquine-like agents and a range of cationic amphiphilic drugs including several antidepressants and antipsychotics used in Parkinson's disease - would collapse the trapping gradient and blunt efficacy without changing plasma exposure at all. (c) It argues against a Cmax-driven dosing strategy and in favour of maintaining trough coverage, since trapping accumulates over time.</w:t>
      </w:r>
    </w:p>
    <w:p>
      <w:pPr>
        <w:spacing w:after="120" w:before="0" w:line="260"/>
      </w:pPr>
      <w:r>
        <w:rPr>
          <w:rFonts w:ascii="Calibri" w:cs="Calibri" w:eastAsia="Calibri" w:hAnsi="Calibri"/>
          <w:sz w:val="20"/>
          <w:szCs w:val="20"/>
        </w:rPr>
        <w:t xml:space="preserve">Confirming or refuting experiment: measure the intracellular and lysosomal accumulation ratio in patient fibroblasts or neurons with and without bafilomycin A1 or ammonium chloride. If accumulation and the GCase-activity effect both collapse on lysosomal alkalinisation, the hypothesis is confirmed. Independently, measure the compound's pKa and logD - currently both undisclosed - which alone would establish whether the trapping mechanism is even available to this molecule.</w:t>
      </w:r>
    </w:p>
    <w:p>
      <w:pPr>
        <w:spacing w:after="120" w:before="0" w:line="260"/>
      </w:pPr>
      <w:r>
        <w:rPr>
          <w:rFonts w:ascii="Calibri" w:cs="Calibri" w:eastAsia="Calibri" w:hAnsi="Calibri"/>
          <w:sz w:val="20"/>
          <w:szCs w:val="20"/>
        </w:rPr>
        <w:t xml:space="preserve">Confidence caveat: this rests on the scaffold assignment, which is circumstantial. The composition-of-matter link between GT-02287 and the Minoryx triazine genus is inferred from a patent-term match, not from a named disclosure.</w:t>
      </w:r>
    </w:p>
    <w:p>
      <w:pPr>
        <w:pStyle w:val="Heading3"/>
        <w:spacing w:after="100" w:before="200"/>
      </w:pPr>
      <w:r>
        <w:rPr>
          <w:rFonts w:ascii="Calibri" w:cs="Calibri" w:eastAsia="Calibri" w:hAnsi="Calibri"/>
          <w:b/>
          <w:bCs/>
          <w:color w:val="1F3864"/>
          <w:sz w:val="21"/>
          <w:szCs w:val="21"/>
        </w:rPr>
        <w:t xml:space="preserve">Insight 3. The two datasets Gain has not published are the two that define the formulation problem - and their absence is itself the signal.</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 (inference from absence, which is explicitly weaker than a reported value)</w:t>
      </w:r>
    </w:p>
    <w:p>
      <w:pPr>
        <w:spacing w:after="120" w:before="0" w:line="260"/>
      </w:pPr>
      <w:r>
        <w:rPr>
          <w:rFonts w:ascii="Calibri" w:cs="Calibri" w:eastAsia="Calibri" w:hAnsi="Calibri"/>
          <w:sz w:val="20"/>
          <w:szCs w:val="20"/>
        </w:rPr>
        <w:t xml:space="preserve">Two facts. First, the first-in-human study was designed to assess food effect - the FY2025 10-K describes it as evaluating "safety, tolerability, pharmacokinetics, and food effect", and a fed cohort appears in the single-ascending-dose design slide. No fed/fasted ratio has ever appeared in any filing, deck, poster or press release. Second, a dedicated Phase 1 open-label randomised 2-way crossover study comparing two oral suspension formulations was initiated in Q2 2025 and is listed as completed. No result has appeared from that either.</w:t>
      </w:r>
    </w:p>
    <w:p>
      <w:pPr>
        <w:spacing w:after="120" w:before="0" w:line="260"/>
      </w:pPr>
      <w:r>
        <w:rPr>
          <w:rFonts w:ascii="Calibri" w:cs="Calibri" w:eastAsia="Calibri" w:hAnsi="Calibri"/>
          <w:sz w:val="20"/>
          <w:szCs w:val="20"/>
        </w:rPr>
        <w:t xml:space="preserve">Set against a company that has published its GCase activity increase, its CSF concentrations, its full adverse-event table, its dose-linearity regression coefficients to four decimal places, and its exploratory MDS-UPDRS subgroup analyses. This is not an organisation that withholds PK data as a matter of policy. Companies publish PK wins.</w:t>
      </w:r>
    </w:p>
    <w:p>
      <w:pPr>
        <w:spacing w:after="120" w:before="0" w:line="260"/>
      </w:pPr>
      <w:r>
        <w:rPr>
          <w:rFonts w:ascii="Calibri" w:cs="Calibri" w:eastAsia="Calibri" w:hAnsi="Calibri"/>
          <w:sz w:val="20"/>
          <w:szCs w:val="20"/>
        </w:rPr>
        <w:t xml:space="preserve">The most parsimonious reading is a meaningful positive food effect and/or a formulation-sensitive exposure - both of which are diagnostic of dissolution- and solubility-limited absorption at a gram-scale dose, and both of which would confirm the IP-1 root-cause hypothesis. The fact that a second formulation was tested at all establishes that formulation performance was considered a live variable worth a dedicated clinical study.</w:t>
      </w:r>
    </w:p>
    <w:p>
      <w:pPr>
        <w:spacing w:after="120" w:before="0" w:line="260"/>
      </w:pPr>
      <w:r>
        <w:rPr>
          <w:rFonts w:ascii="Calibri" w:cs="Calibri" w:eastAsia="Calibri" w:hAnsi="Calibri"/>
          <w:sz w:val="20"/>
          <w:szCs w:val="20"/>
        </w:rPr>
        <w:t xml:space="preserve">This is explicitly reasoning from absence and is weaker than any reported value. It is included because of its leverage: these two datasets exist inside the company and would settle the central formulation question immediately. Obtaining them should precede any external formulation-strategy commitment.</w:t>
      </w:r>
    </w:p>
    <w:p>
      <w:pPr>
        <w:spacing w:after="120" w:before="0" w:line="260"/>
      </w:pPr>
      <w:r>
        <w:rPr>
          <w:rFonts w:ascii="Calibri" w:cs="Calibri" w:eastAsia="Calibri" w:hAnsi="Calibri"/>
          <w:sz w:val="20"/>
          <w:szCs w:val="20"/>
        </w:rPr>
        <w:t xml:space="preserve">Confirming or refuting: internal access to the fed/fasted AUC and Cmax ratios with confidence intervals, and to the relative-bioavailability crossover result. A fed/fasted AUC ratio above roughly 1.5 confirms dissolution-limited absorption. A ratio near 1.0 with equivalent performance between the two suspensions refutes the inference and would redirect attention to permeability or first-pass metabolism.</w:t>
      </w:r>
    </w:p>
    <w:p>
      <w:pPr>
        <w:pStyle w:val="Heading3"/>
        <w:spacing w:after="100" w:before="200"/>
      </w:pPr>
      <w:r>
        <w:rPr>
          <w:rFonts w:ascii="Calibri" w:cs="Calibri" w:eastAsia="Calibri" w:hAnsi="Calibri"/>
          <w:b/>
          <w:bCs/>
          <w:color w:val="1F3864"/>
          <w:sz w:val="21"/>
          <w:szCs w:val="21"/>
        </w:rPr>
        <w:t xml:space="preserve">Insight 4. Cross-drug analogy: this is the posaconazole problem, and posaconazole's solution transfers.</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Medium-High for the technology choice; the achievable magnitude is not transferable</w:t>
      </w:r>
    </w:p>
    <w:p>
      <w:pPr>
        <w:spacing w:after="120" w:before="0" w:line="260"/>
      </w:pPr>
      <w:r>
        <w:rPr>
          <w:rFonts w:ascii="Calibri" w:cs="Calibri" w:eastAsia="Calibri" w:hAnsi="Calibri"/>
          <w:sz w:val="20"/>
          <w:szCs w:val="20"/>
        </w:rPr>
        <w:t xml:space="preserve">Posaconazole launched as a poorly soluble oral suspension with erratic absorption that was strongly dependent on food and on gastric pH. The fix was not a bioenhancer, not a new molecule, and not a salt - it was an HPMCAS-based amorphous solid dispersion delayed-release tablet, which raised and stabilised exposure and largely decoupled it from food and gastric pH.</w:t>
      </w:r>
    </w:p>
    <w:p>
      <w:pPr>
        <w:spacing w:after="120" w:before="0" w:line="260"/>
      </w:pPr>
      <w:r>
        <w:rPr>
          <w:rFonts w:ascii="Calibri" w:cs="Calibri" w:eastAsia="Calibri" w:hAnsi="Calibri"/>
          <w:sz w:val="20"/>
          <w:szCs w:val="20"/>
        </w:rPr>
        <w:t xml:space="preserve">The mapping to GT-02287 is close on every axis that matters for formulation behaviour: poorly water-soluble by the sponsor's own statement; dosed as an oral suspension; a gram-scale daily dose; a food-effect study run but never reported; a formulation-comparison study run but never reported; and a probable weak base facing a population with unusually high proton-pump-inhibitor use and delayed gastric emptying.</w:t>
      </w:r>
    </w:p>
    <w:p>
      <w:pPr>
        <w:spacing w:after="120" w:before="0" w:line="260"/>
      </w:pPr>
      <w:r>
        <w:rPr>
          <w:rFonts w:ascii="Calibri" w:cs="Calibri" w:eastAsia="Calibri" w:hAnsi="Calibri"/>
          <w:sz w:val="20"/>
          <w:szCs w:val="20"/>
        </w:rPr>
        <w:t xml:space="preserve">The basis of the analogy is formulation behaviour, not chemical similarity - so what transfers is the technology selection and, importantly, the development sequence. What does NOT transfer is the magnitude: posaconazole's fold-change cannot be assumed for GT-02287 without a measured biorelevant solubility and dose number for this compound.</w:t>
      </w:r>
    </w:p>
    <w:p>
      <w:pPr>
        <w:spacing w:after="120" w:before="0" w:line="260"/>
      </w:pPr>
      <w:r>
        <w:rPr>
          <w:rFonts w:ascii="Calibri" w:cs="Calibri" w:eastAsia="Calibri" w:hAnsi="Calibri"/>
          <w:sz w:val="20"/>
          <w:szCs w:val="20"/>
        </w:rPr>
        <w:t xml:space="preserve">There is a second-order lesson in the precedent that is worth more than the first. Posaconazole made this transition AFTER approval, at large cost and with a period of suboptimal clinical performance in between. GT-02287 has the option to make it before Phase 3, when a relative-bioavailability bridge is sufficient and no efficacy work has to be repeated. That window is open now and closes when the pivotal study enrols its first patient.</w:t>
      </w:r>
    </w:p>
    <w:p>
      <w:pPr>
        <w:spacing w:after="120" w:before="0" w:line="260"/>
      </w:pPr>
      <w:r>
        <w:rPr>
          <w:rFonts w:ascii="Calibri" w:cs="Calibri" w:eastAsia="Calibri" w:hAnsi="Calibri"/>
          <w:sz w:val="20"/>
          <w:szCs w:val="20"/>
        </w:rPr>
        <w:t xml:space="preserve">Supporting analogies for the food-effect endpoint specifically: aprepitant and fenofibrate were both formulated as nanocrystals substantially to control food effects; sirolimus likewise. For the high-dose ASD tablet specifically: ivacaftor (spray-dried HPMCAS dispersion) and vemurafenib (HPMCAS co-precipitate).</w:t>
      </w:r>
    </w:p>
    <w:p>
      <w:pPr>
        <w:spacing w:after="120" w:before="0" w:line="260"/>
      </w:pPr>
      <w:r>
        <w:rPr>
          <w:rFonts w:ascii="Calibri" w:cs="Calibri" w:eastAsia="Calibri" w:hAnsi="Calibri"/>
          <w:sz w:val="20"/>
          <w:szCs w:val="20"/>
        </w:rPr>
        <w:t xml:space="preserve">Confirming or refuting: a biorelevant non-sink dissolution comparison of the current suspension against a prototype HPMCAS spray-dried dispersion in FaSSIF and FeSSIF, followed by a rat or dog crossover. If the ASD prototype sustains supersaturation and raises exposure while flattening the fed/fasted difference, the analogy holds.</w:t>
      </w:r>
    </w:p>
    <w:p>
      <w:pPr>
        <w:pStyle w:val="Heading3"/>
        <w:spacing w:after="100" w:before="200"/>
      </w:pPr>
      <w:r>
        <w:rPr>
          <w:rFonts w:ascii="Calibri" w:cs="Calibri" w:eastAsia="Calibri" w:hAnsi="Calibri"/>
          <w:b/>
          <w:bCs/>
          <w:color w:val="1F3864"/>
          <w:sz w:val="21"/>
          <w:szCs w:val="21"/>
        </w:rPr>
        <w:t xml:space="preserve">Insight 5. The obvious fix - 'take it with a fatty meal' - collides with levodopa, and that makes food-independence worth more in this indication than in almost any other.</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Medium-High on the interaction logic; magnitude depends on the unpublished food-effect result</w:t>
      </w:r>
    </w:p>
    <w:p>
      <w:pPr>
        <w:spacing w:after="120" w:before="0" w:line="260"/>
      </w:pPr>
      <w:r>
        <w:rPr>
          <w:rFonts w:ascii="Calibri" w:cs="Calibri" w:eastAsia="Calibri" w:hAnsi="Calibri"/>
          <w:sz w:val="20"/>
          <w:szCs w:val="20"/>
        </w:rPr>
        <w:t xml:space="preserve">The standard answer for a food-sensitive poorly soluble drug is to specify administration with food, ideally a high-fat meal, and move on. In Parkinson's disease that answer is much more costly than it looks, and the reason sits at the intersection of two literatures that a search of either one alone would not surface.</w:t>
      </w:r>
    </w:p>
    <w:p>
      <w:pPr>
        <w:spacing w:after="120" w:before="0" w:line="260"/>
      </w:pPr>
      <w:r>
        <w:rPr>
          <w:rFonts w:ascii="Calibri" w:cs="Calibri" w:eastAsia="Calibri" w:hAnsi="Calibri"/>
          <w:sz w:val="20"/>
          <w:szCs w:val="20"/>
        </w:rPr>
        <w:t xml:space="preserve">Levodopa is absorbed by the large neutral amino acid transporter LAT1 and competes directly with dietary protein for it. Patients on levodopa are therefore routinely counselled to dose 30-60 minutes before meals and to separate levodopa from protein-containing food - and many with motor fluctuations are on strict protein-redistribution regimens. Layer on top of that the delayed gastric emptying and gastroparesis that are common in Parkinson's disease and that already destabilise levodopa absorption.</w:t>
      </w:r>
    </w:p>
    <w:p>
      <w:pPr>
        <w:spacing w:after="120" w:before="0" w:line="260"/>
      </w:pPr>
      <w:r>
        <w:rPr>
          <w:rFonts w:ascii="Calibri" w:cs="Calibri" w:eastAsia="Calibri" w:hAnsi="Calibri"/>
          <w:sz w:val="20"/>
          <w:szCs w:val="20"/>
        </w:rPr>
        <w:t xml:space="preserve">A GT-02287 label requiring a fatty meal would therefore collide head-on with the timing constraints of the dominant symptomatic therapy in the same patients. In practice, patients resolve such conflicts by degrading adherence to one drug or the other - and for a disease-modifying agent whose entire value proposition is uninterrupted multi-year exposure, that is a direct hit on the outcome the drug is being developed to produce.</w:t>
      </w:r>
    </w:p>
    <w:p>
      <w:pPr>
        <w:spacing w:after="120" w:before="0" w:line="260"/>
      </w:pPr>
      <w:r>
        <w:rPr>
          <w:rFonts w:ascii="Calibri" w:cs="Calibri" w:eastAsia="Calibri" w:hAnsi="Calibri"/>
          <w:sz w:val="20"/>
          <w:szCs w:val="20"/>
        </w:rPr>
        <w:t xml:space="preserve">The consequence for formulation strategy: food-independence is worth materially more in this indication than the same property would be worth in most others. It is not a convenience feature to be traded away for development speed - it is a clinical-practicality requirement that should be scored explicitly when choosing between the enabling technologies in IP-1. An HPMCAS ASD, which decouples exposure from both food and gastric pH, wins on this criterion over a lipid-based system, which by design depends on a fed state to recruit bile salts and lymphatic transport. That is a non-obvious inversion of the usual ranking, where lipid systems are often preferred for their simplicity.</w:t>
      </w:r>
    </w:p>
    <w:p>
      <w:pPr>
        <w:spacing w:after="120" w:before="0" w:line="260"/>
      </w:pPr>
      <w:r>
        <w:rPr>
          <w:rFonts w:ascii="Calibri" w:cs="Calibri" w:eastAsia="Calibri" w:hAnsi="Calibri"/>
          <w:sz w:val="20"/>
          <w:szCs w:val="20"/>
        </w:rPr>
        <w:t xml:space="preserve">Confirming or refuting: the unpublished fed/fasted ratio determines whether the conflict is real. If the food effect is negligible, this consideration falls away entirely and lipid systems return to contention. If the food effect is substantial, food-independence should become a formal formulation selection criterion.</w:t>
      </w:r>
    </w:p>
    <w:p>
      <w:pPr>
        <w:pStyle w:val="Heading3"/>
        <w:spacing w:after="100" w:before="200"/>
      </w:pPr>
      <w:r>
        <w:rPr>
          <w:rFonts w:ascii="Calibri" w:cs="Calibri" w:eastAsia="Calibri" w:hAnsi="Calibri"/>
          <w:b/>
          <w:bCs/>
          <w:color w:val="1F3864"/>
          <w:sz w:val="21"/>
          <w:szCs w:val="21"/>
        </w:rPr>
        <w:t xml:space="preserve">Insight 6. Nausea at 32% is a formulation signal as much as a pharmacology signal, and in a disease-modification setting tolerability is efficacy.</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Medium</w:t>
      </w:r>
    </w:p>
    <w:p>
      <w:pPr>
        <w:spacing w:after="120" w:before="0" w:line="260"/>
      </w:pPr>
      <w:r>
        <w:rPr>
          <w:rFonts w:ascii="Calibri" w:cs="Calibri" w:eastAsia="Calibri" w:hAnsi="Calibri"/>
          <w:sz w:val="20"/>
          <w:szCs w:val="20"/>
        </w:rPr>
        <w:t xml:space="preserve">Nausea was the dominant multiple-ascending-dose adverse event, at 32%, in healthy volunteers taking roughly a gram a day of a suspension for 14 days. Every event was mild or moderate and nothing was discontinued, so on a conventional Phase 1 read this is unremarkable - which is exactly why it is easy to miss.</w:t>
      </w:r>
    </w:p>
    <w:p>
      <w:pPr>
        <w:spacing w:after="120" w:before="0" w:line="260"/>
      </w:pPr>
      <w:r>
        <w:rPr>
          <w:rFonts w:ascii="Calibri" w:cs="Calibri" w:eastAsia="Calibri" w:hAnsi="Calibri"/>
          <w:sz w:val="20"/>
          <w:szCs w:val="20"/>
        </w:rPr>
        <w:t xml:space="preserve">The reframing: this is a candidate disease-modifying therapy whose chronic toxicology package was deliberately built to support dosing beyond twelve months, aimed at a slowly progressive disease. Its benefit accrues only through sustained exposure over years. A drug taken at 60% adherence for five years delivers a fraction of its modelled benefit, and gastrointestinal intolerance is among the most reliable predictors of long-term non-adherence in elderly patients already carrying a heavy pill burden. In that setting tolerability is not a comfort endpoint - it is a determinant of effectiveness.</w:t>
      </w:r>
    </w:p>
    <w:p>
      <w:pPr>
        <w:spacing w:after="120" w:before="0" w:line="260"/>
      </w:pPr>
      <w:r>
        <w:rPr>
          <w:rFonts w:ascii="Calibri" w:cs="Calibri" w:eastAsia="Calibri" w:hAnsi="Calibri"/>
          <w:sz w:val="20"/>
          <w:szCs w:val="20"/>
        </w:rPr>
        <w:t xml:space="preserve">The connection to formulation: raising bioavailability lets the same exposure be delivered at a lower administered mass. That is the cheapest tolerability intervention in the toolbox because it requires no new pharmacology, no new excipient risk, and no new interaction surface - it falls out of work that IP-1 recommends anyway. An enteric-grade HPMCAS ASD adds a second, independent mechanism by moving dissolution distal to the stomach.</w:t>
      </w:r>
    </w:p>
    <w:p>
      <w:pPr>
        <w:spacing w:after="120" w:before="0" w:line="260"/>
      </w:pPr>
      <w:r>
        <w:rPr>
          <w:rFonts w:ascii="Calibri" w:cs="Calibri" w:eastAsia="Calibri" w:hAnsi="Calibri"/>
          <w:sz w:val="20"/>
          <w:szCs w:val="20"/>
        </w:rPr>
        <w:t xml:space="preserve">The competing hypothesis is that the nausea is centrally mediated or on-target, in which case formulation will not help. That question is answerable today from data the sponsor already holds: a per-cohort adverse-event breakdown across the four multiple-ascending-dose levels would establish the dose-nausea relationship. A steep dose-dependence favours the local-concentration explanation; a flat one favours a central mechanism. No such breakdown has been published.</w:t>
      </w:r>
    </w:p>
    <w:p>
      <w:pPr>
        <w:pStyle w:val="Heading3"/>
        <w:spacing w:after="100" w:before="200"/>
      </w:pPr>
      <w:r>
        <w:rPr>
          <w:rFonts w:ascii="Calibri" w:cs="Calibri" w:eastAsia="Calibri" w:hAnsi="Calibri"/>
          <w:b/>
          <w:bCs/>
          <w:color w:val="1F3864"/>
          <w:sz w:val="21"/>
          <w:szCs w:val="21"/>
        </w:rPr>
        <w:t xml:space="preserve">Insight 7. Contradictions, inconsistencies, and the single missing measurement that would most change the strategy.</w:t>
      </w:r>
    </w:p>
    <w:p>
      <w:pPr>
        <w:spacing w:after="100" w:before="0" w:line="260"/>
      </w:pPr>
      <w:r>
        <w:rPr>
          <w:rFonts w:ascii="Calibri" w:cs="Calibri" w:eastAsia="Calibri" w:hAnsi="Calibri"/>
          <w:b/>
          <w:bCs/>
          <w:sz w:val="20"/>
          <w:szCs w:val="20"/>
        </w:rPr>
        <w:t xml:space="preserve">Confidence: </w:t>
      </w:r>
      <w:r>
        <w:rPr>
          <w:rFonts w:ascii="Calibri" w:cs="Calibri" w:eastAsia="Calibri" w:hAnsi="Calibri"/>
          <w:i/>
          <w:iCs/>
          <w:sz w:val="20"/>
          <w:szCs w:val="20"/>
        </w:rPr>
        <w:t xml:space="preserve">High for the contradictions themselves</w:t>
      </w:r>
    </w:p>
    <w:p>
      <w:pPr>
        <w:spacing w:after="120" w:before="0" w:line="260"/>
      </w:pPr>
      <w:r>
        <w:rPr>
          <w:rFonts w:ascii="Calibri" w:cs="Calibri" w:eastAsia="Calibri" w:hAnsi="Calibri"/>
          <w:sz w:val="20"/>
          <w:szCs w:val="20"/>
        </w:rPr>
        <w:t xml:space="preserve">Internal inconsistencies across the public record, reported without reconciliation as the framework requires: (a) Phase 1 total enrolment is given as 72 in the 10-K (internally consistent with 40 single-ascending-dose plus 32 multiple-ascending-dose), as 79 in the March, April and May 2026 decks, and as 96 in the February 2026 deck, while the adverse-event table sums to 73 (55 active plus 18 placebo). The 10-K figure is the only internally consistent one. (b) The Phase 1 GCase activity increase is reported as approximately 30% (MDS 2024 press release), as "greater than 50%" (December 2024 8-K), and as approximately 53% (10-Ks and decks). (c) The fifth single-ascending-dose cohort reads as "15 mg/kg" in some deck versions and as "10 mg/kg fed" in others; both are arithmetically consistent with n=40, and the ambiguity matters because it determines whether a dose above 13.5 mg/kg was ever tested. (d) Oral bioavailability of 36% is reported without a stated species. (e) Phase 1b Day 90 MDS-UPDRS change is reported as -6.17, -2.20, -4.6 and +0.63 across sources with different denominators (n=6 subgroup, n=15, n=9, n=13 all evaluable), and the Day 150 group difference as both 4.8 and 6.7 points.</w:t>
      </w:r>
    </w:p>
    <w:p>
      <w:pPr>
        <w:spacing w:after="120" w:before="0" w:line="260"/>
      </w:pPr>
      <w:r>
        <w:rPr>
          <w:rFonts w:ascii="Calibri" w:cs="Calibri" w:eastAsia="Calibri" w:hAnsi="Calibri"/>
          <w:sz w:val="20"/>
          <w:szCs w:val="20"/>
        </w:rPr>
        <w:t xml:space="preserve">THE SINGLE MOST CONSEQUENTIAL MISSING MEASUREMENT is plasma free fraction (fu). It is the pivot on which the whole improvement strategy turns: with fu in hand, Kp,uu becomes computable, and the programme learns whether it has a CNS-delivery problem or a systemic-exposure problem. Those two diagnoses lead to entirely non-overlapping formulation programmes costing different amounts and taking different lengths of time. Every other missing parameter changes the details of the plan; this one changes which plan you are executing.</w:t>
      </w:r>
    </w:p>
    <w:p>
      <w:pPr>
        <w:spacing w:after="120" w:before="0" w:line="260"/>
      </w:pPr>
      <w:r>
        <w:rPr>
          <w:rFonts w:ascii="Calibri" w:cs="Calibri" w:eastAsia="Calibri" w:hAnsi="Calibri"/>
          <w:sz w:val="20"/>
          <w:szCs w:val="20"/>
        </w:rPr>
        <w:t xml:space="preserve">THE SECOND MOST CONSEQUENTIAL is a measured biorelevant solubility (FaSSIF and FeSSIF), together with the molecular weight needed to compute a dose number. These convert every recommendation in Section 3 from directional to quantitative - the dose number determines whether an amorphous solid dispersion can plausibly close the gap or whether the programme needs a lipid system, and it sets the realistic ceiling on any exposure improvement.</w:t>
      </w:r>
    </w:p>
    <w:p>
      <w:pPr>
        <w:spacing w:after="120" w:before="0" w:line="260"/>
      </w:pPr>
      <w:r>
        <w:rPr>
          <w:rFonts w:ascii="Calibri" w:cs="Calibri" w:eastAsia="Calibri" w:hAnsi="Calibri"/>
          <w:sz w:val="20"/>
          <w:szCs w:val="20"/>
        </w:rPr>
        <w:t xml:space="preserve">THE THIRD is a bidirectional permeability assay with efflux ratio, which is the only clean way to exclude efflux-limited absorption as a competing root cause for the low exposure - a possibility that cannot currently be ruled out from public data at all.</w:t>
      </w:r>
    </w:p>
    <w:p>
      <w:pPr>
        <w:spacing w:after="120" w:before="0" w:line="260"/>
      </w:pPr>
      <w:r>
        <w:rPr>
          <w:rFonts w:ascii="Calibri" w:cs="Calibri" w:eastAsia="Calibri" w:hAnsi="Calibri"/>
          <w:sz w:val="20"/>
          <w:szCs w:val="20"/>
        </w:rPr>
        <w:t xml:space="preserve">Also worth noting as a structural gap rather than a contradiction: no exposure-response relationship exists for any endpoint, because only the single highest dose cohort was ever assayed for GCase activity. The Phase 2a dose selection therefore rests on a single point estimate rather than a curve.</w:t>
      </w:r>
    </w:p>
    <w:p>
      <w:r>
        <w:br w:type="page"/>
      </w:r>
    </w:p>
    <w:p>
      <w:pPr>
        <w:pStyle w:val="Heading1"/>
        <w:pBdr>
          <w:bottom w:val="single" w:color="1F3864" w:sz="12" w:space="4"/>
        </w:pBdr>
        <w:spacing w:after="160" w:before="360"/>
      </w:pPr>
      <w:r>
        <w:rPr>
          <w:rFonts w:ascii="Calibri" w:cs="Calibri" w:eastAsia="Calibri" w:hAnsi="Calibri"/>
          <w:b/>
          <w:bCs/>
          <w:color w:val="1F3864"/>
          <w:sz w:val="30"/>
          <w:szCs w:val="30"/>
        </w:rPr>
        <w:t xml:space="preserve">Section 5 - Quality-Control Checklist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6100"/>
        <w:gridCol w:w="4000"/>
      </w:tblGrid>
      <w:tr>
        <w:trPr>
          <w:tblHeader/>
        </w:trPr>
        <w:tc>
          <w:tcPr>
            <w:tcW w:type="dxa" w:w="7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
            </w:r>
          </w:p>
        </w:tc>
        <w:tc>
          <w:tcPr>
            <w:tcW w:type="dxa" w:w="61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Check</w:t>
            </w:r>
          </w:p>
        </w:tc>
        <w:tc>
          <w:tcPr>
            <w:tcW w:type="dxa" w:w="4000"/>
            <w:shd w:fill="1F3864" w:color="auto" w:val="clear"/>
            <w:tcMar>
              <w:top w:type="dxa" w:w="60"/>
              <w:left w:type="dxa" w:w="90"/>
              <w:bottom w:type="dxa" w:w="60"/>
              <w:right w:type="dxa" w:w="90"/>
            </w:tcMar>
          </w:tcPr>
          <w:p>
            <w:pPr>
              <w:spacing w:after="0" w:before="0" w:line="230"/>
            </w:pPr>
            <w:r>
              <w:rPr>
                <w:rFonts w:ascii="Calibri" w:cs="Calibri" w:eastAsia="Calibri" w:hAnsi="Calibri"/>
                <w:b/>
                <w:bCs/>
                <w:color w:val="FFFFFF"/>
                <w:sz w:val="15"/>
                <w:szCs w:val="15"/>
              </w:rPr>
              <w:t xml:space="preserve">Status</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Every numeric value has a unit and a source location</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No value was averaged, derived, or imputed by the analyst</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the three analyst-derived quantities are confined to Sections 3 and 4 and are labelled at every appearance; none appears in the extraction table</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Each dose / cohort / species combination is a separate row</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human, mouse and rat CSF, brain and plasma values are separate rows; species-specific half-lives are separate rows</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Geometric vs arithmetic means are labelled</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val="false"/>
                <w:bCs w:val="false"/>
                <w:color w:val="000000"/>
                <w:sz w:val="17"/>
                <w:szCs w:val="17"/>
              </w:rPr>
              <w:t xml:space="preserve">NOT POSSIBLE - no source states which mean type was used for any human PK parameter. Flagged as a gap</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Modality-specific section completed or marked N/A</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Section F marked N/A (small molecule)</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Gap report covers all sections A-F</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Ambiguous items are flagged AMBIG with an explanatory comment</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bioavailability species, dosage-form sourcing, Phase 1 enrolment total, SAD fifth cohort</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GRAS-first strategy order observed</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Tier 1 GRAS solubilisers proposed first; Tier 3 structural change explicitly rejected with stated reasoning; the rejection of Tier-1 metabolic bioenhancers is argued in 3.2 rather than assumed</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Every recommendation names a mechanism</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Every recommendation cites a named precedent where one exists</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posaconazole, ivacaftor, vemurafenib, ciclosporin, ritonavir/lopinavir, aprepitant, fenofibrate, sirolimus</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Magnitudes quantified only where supported</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no fold-change is claimed for GT-02287; the absence of a measured solubility and dose number is stated as the reason</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Honest caveats on DDI, food interaction and regulatory status included</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see 3.2 and the caveat field of each plan</w:t>
            </w:r>
          </w:p>
        </w:tc>
      </w:tr>
      <w:tr>
        <w:tc>
          <w:tcPr>
            <w:tcW w:type="dxa" w:w="700"/>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Insights labelled as hypotheses with confidence and a confirming experiment</w:t>
            </w:r>
          </w:p>
        </w:tc>
        <w:tc>
          <w:tcPr>
            <w:tcW w:type="dxa" w:w="4000"/>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all seven</w:t>
            </w:r>
          </w:p>
        </w:tc>
      </w:tr>
      <w:tr>
        <w:tc>
          <w:tcPr>
            <w:tcW w:type="dxa" w:w="7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8"/>
                <w:szCs w:val="18"/>
              </w:rPr>
              <w:t xml:space="preserve">☑</w:t>
            </w:r>
          </w:p>
        </w:tc>
        <w:tc>
          <w:tcPr>
            <w:tcW w:type="dxa" w:w="6100"/>
            <w:shd w:fill="EDF1F7" w:color="auto" w:val="clear"/>
            <w:tcMar>
              <w:top w:type="dxa" w:w="60"/>
              <w:left w:type="dxa" w:w="90"/>
              <w:bottom w:type="dxa" w:w="60"/>
              <w:right w:type="dxa" w:w="90"/>
            </w:tcMar>
          </w:tcPr>
          <w:p>
            <w:pPr>
              <w:spacing w:after="0" w:before="0" w:line="230"/>
            </w:pPr>
            <w:r>
              <w:rPr>
                <w:rFonts w:ascii="Calibri" w:cs="Calibri" w:eastAsia="Calibri" w:hAnsi="Calibri"/>
                <w:color w:val="000000"/>
                <w:sz w:val="17"/>
                <w:szCs w:val="17"/>
              </w:rPr>
              <w:t xml:space="preserve">Contradictions and inconsistencies surfaced rather than reconciled</w:t>
            </w:r>
          </w:p>
        </w:tc>
        <w:tc>
          <w:tcPr>
            <w:tcW w:type="dxa" w:w="4000"/>
            <w:shd w:fill="EDF1F7" w:color="auto" w:val="clear"/>
            <w:tcMar>
              <w:top w:type="dxa" w:w="60"/>
              <w:left w:type="dxa" w:w="90"/>
              <w:bottom w:type="dxa" w:w="60"/>
              <w:right w:type="dxa" w:w="90"/>
            </w:tcMar>
          </w:tcPr>
          <w:p>
            <w:pPr>
              <w:spacing w:after="0" w:before="0" w:line="230"/>
            </w:pPr>
            <w:r>
              <w:rPr>
                <w:rFonts w:ascii="Calibri" w:cs="Calibri" w:eastAsia="Calibri" w:hAnsi="Calibri"/>
                <w:b/>
                <w:bCs/>
                <w:color w:val="000000"/>
                <w:sz w:val="17"/>
                <w:szCs w:val="17"/>
              </w:rPr>
              <w:t xml:space="preserve">PASS - see Insight 7</w:t>
            </w:r>
          </w:p>
        </w:tc>
      </w:tr>
    </w:tbl>
    <w:p>
      <w:pPr>
        <w:pStyle w:val="Heading1"/>
        <w:pBdr>
          <w:bottom w:val="single" w:color="1F3864" w:sz="12" w:space="4"/>
        </w:pBdr>
        <w:spacing w:after="160" w:before="360"/>
      </w:pPr>
      <w:r>
        <w:rPr>
          <w:rFonts w:ascii="Calibri" w:cs="Calibri" w:eastAsia="Calibri" w:hAnsi="Calibri"/>
          <w:b/>
          <w:bCs/>
          <w:color w:val="1F3864"/>
          <w:sz w:val="30"/>
          <w:szCs w:val="30"/>
        </w:rPr>
        <w:t xml:space="preserve">Sources</w:t>
      </w:r>
    </w:p>
    <w:p>
      <w:pPr>
        <w:pStyle w:val="Heading3"/>
        <w:spacing w:after="100" w:before="200"/>
      </w:pPr>
      <w:r>
        <w:rPr>
          <w:rFonts w:ascii="Calibri" w:cs="Calibri" w:eastAsia="Calibri" w:hAnsi="Calibri"/>
          <w:b/>
          <w:bCs/>
          <w:color w:val="1F3864"/>
          <w:sz w:val="21"/>
          <w:szCs w:val="21"/>
        </w:rPr>
        <w:t xml:space="preserve">Regulatory filings (SEC EDGAR, CIK 0001819411)</w:t>
      </w:r>
    </w:p>
    <w:p>
      <w:pPr>
        <w:pStyle w:val="ListParagraph"/>
        <w:numPr>
          <w:ilvl w:val="0"/>
          <w:numId w:val="2"/>
        </w:numPr>
        <w:spacing w:after="90" w:before="0" w:line="260"/>
      </w:pPr>
      <w:r>
        <w:rPr>
          <w:rFonts w:ascii="Calibri" w:cs="Calibri" w:eastAsia="Calibri" w:hAnsi="Calibri"/>
          <w:sz w:val="18"/>
          <w:szCs w:val="18"/>
        </w:rPr>
        <w:t xml:space="preserve">Gain Therapeutics, Inc. Form 10-K for FY2025 - sec.gov/Archives/edgar/data/1819411/000110465926035188/ganx-20251231x10k.htm</w:t>
      </w:r>
    </w:p>
    <w:p>
      <w:pPr>
        <w:pStyle w:val="ListParagraph"/>
        <w:numPr>
          <w:ilvl w:val="0"/>
          <w:numId w:val="2"/>
        </w:numPr>
        <w:spacing w:after="90" w:before="0" w:line="260"/>
      </w:pPr>
      <w:r>
        <w:rPr>
          <w:rFonts w:ascii="Calibri" w:cs="Calibri" w:eastAsia="Calibri" w:hAnsi="Calibri"/>
          <w:sz w:val="18"/>
          <w:szCs w:val="18"/>
        </w:rPr>
        <w:t xml:space="preserve">Form 10-K for FY2024 - sec.gov/Archives/edgar/data/1819411/000155837025003823/ganx-20241231x10k.htm</w:t>
      </w:r>
    </w:p>
    <w:p>
      <w:pPr>
        <w:pStyle w:val="ListParagraph"/>
        <w:numPr>
          <w:ilvl w:val="0"/>
          <w:numId w:val="2"/>
        </w:numPr>
        <w:spacing w:after="90" w:before="0" w:line="260"/>
      </w:pPr>
      <w:r>
        <w:rPr>
          <w:rFonts w:ascii="Calibri" w:cs="Calibri" w:eastAsia="Calibri" w:hAnsi="Calibri"/>
          <w:sz w:val="18"/>
          <w:szCs w:val="18"/>
        </w:rPr>
        <w:t xml:space="preserve">Form 10-K for FY2022 - sec.gov/Archives/edgar/data/1819411/000155837023004460/ganx-20221231x10k.htm</w:t>
      </w:r>
    </w:p>
    <w:p>
      <w:pPr>
        <w:pStyle w:val="ListParagraph"/>
        <w:numPr>
          <w:ilvl w:val="0"/>
          <w:numId w:val="2"/>
        </w:numPr>
        <w:spacing w:after="90" w:before="0" w:line="260"/>
      </w:pPr>
      <w:r>
        <w:rPr>
          <w:rFonts w:ascii="Calibri" w:cs="Calibri" w:eastAsia="Calibri" w:hAnsi="Calibri"/>
          <w:sz w:val="18"/>
          <w:szCs w:val="18"/>
        </w:rPr>
        <w:t xml:space="preserve">Form 10-K for FY2021 - sec.gov/Archives/edgar/data/1819411/000155837022004363/ganx-20211231x10k.htm</w:t>
      </w:r>
    </w:p>
    <w:p>
      <w:pPr>
        <w:pStyle w:val="ListParagraph"/>
        <w:numPr>
          <w:ilvl w:val="0"/>
          <w:numId w:val="2"/>
        </w:numPr>
        <w:spacing w:after="90" w:before="0" w:line="260"/>
      </w:pPr>
      <w:r>
        <w:rPr>
          <w:rFonts w:ascii="Calibri" w:cs="Calibri" w:eastAsia="Calibri" w:hAnsi="Calibri"/>
          <w:sz w:val="18"/>
          <w:szCs w:val="18"/>
        </w:rPr>
        <w:t xml:space="preserve">Form 8-K Exhibit 99.1, December 2024 (Phase 1b initiation) - sec.gov/Archives/edgar/data/1819411/000110465924131084/tm2431811d1_ex99-1.htm</w:t>
      </w:r>
    </w:p>
    <w:p>
      <w:pPr>
        <w:pStyle w:val="ListParagraph"/>
        <w:numPr>
          <w:ilvl w:val="0"/>
          <w:numId w:val="2"/>
        </w:numPr>
        <w:spacing w:after="90" w:before="0" w:line="260"/>
      </w:pPr>
      <w:r>
        <w:rPr>
          <w:rFonts w:ascii="Calibri" w:cs="Calibri" w:eastAsia="Calibri" w:hAnsi="Calibri"/>
          <w:sz w:val="18"/>
          <w:szCs w:val="18"/>
        </w:rPr>
        <w:t xml:space="preserve">Form 8-K Exhibit 99.1, 11 May 2026 (Phase 1b Day 150 interim) - sec.gov/Archives/edgar/data/1819411/000110465926058636/ganx-20260511xex99d1.htm</w:t>
      </w:r>
    </w:p>
    <w:p>
      <w:pPr>
        <w:pStyle w:val="Heading3"/>
        <w:spacing w:after="100" w:before="200"/>
      </w:pPr>
      <w:r>
        <w:rPr>
          <w:rFonts w:ascii="Calibri" w:cs="Calibri" w:eastAsia="Calibri" w:hAnsi="Calibri"/>
          <w:b/>
          <w:bCs/>
          <w:color w:val="1F3864"/>
          <w:sz w:val="21"/>
          <w:szCs w:val="21"/>
        </w:rPr>
        <w:t xml:space="preserve">Company corporate decks and conference materials</w:t>
      </w:r>
    </w:p>
    <w:p>
      <w:pPr>
        <w:pStyle w:val="ListParagraph"/>
        <w:numPr>
          <w:ilvl w:val="0"/>
          <w:numId w:val="2"/>
        </w:numPr>
        <w:spacing w:after="90" w:before="0" w:line="260"/>
      </w:pPr>
      <w:r>
        <w:rPr>
          <w:rFonts w:ascii="Calibri" w:cs="Calibri" w:eastAsia="Calibri" w:hAnsi="Calibri"/>
          <w:sz w:val="18"/>
          <w:szCs w:val="18"/>
        </w:rPr>
        <w:t xml:space="preserve">Corporate deck, January 2025 (slides 17-20: CNS exposure table, dose-linearity regression, Phase 1 design) - gaintherapeutics.com/wp-content/uploads/2025/01/1_January_Final_CorporateDeck-.pdf</w:t>
      </w:r>
    </w:p>
    <w:p>
      <w:pPr>
        <w:pStyle w:val="ListParagraph"/>
        <w:numPr>
          <w:ilvl w:val="0"/>
          <w:numId w:val="2"/>
        </w:numPr>
        <w:spacing w:after="90" w:before="0" w:line="260"/>
      </w:pPr>
      <w:r>
        <w:rPr>
          <w:rFonts w:ascii="Calibri" w:cs="Calibri" w:eastAsia="Calibri" w:hAnsi="Calibri"/>
          <w:sz w:val="18"/>
          <w:szCs w:val="18"/>
        </w:rPr>
        <w:t xml:space="preserve">Corporate deck, October 2025 (full Phase 1 adverse-event table) - gaintherapeutics.com/wp-content/uploads/2025/10/Corporate-Deck-GANX-October-2025.pdf</w:t>
      </w:r>
    </w:p>
    <w:p>
      <w:pPr>
        <w:pStyle w:val="ListParagraph"/>
        <w:numPr>
          <w:ilvl w:val="0"/>
          <w:numId w:val="2"/>
        </w:numPr>
        <w:spacing w:after="90" w:before="0" w:line="260"/>
      </w:pPr>
      <w:r>
        <w:rPr>
          <w:rFonts w:ascii="Calibri" w:cs="Calibri" w:eastAsia="Calibri" w:hAnsi="Calibri"/>
          <w:sz w:val="18"/>
          <w:szCs w:val="18"/>
        </w:rPr>
        <w:t xml:space="preserve">Corporate deck, January 2026 (slide 4 patent term; slide 13 CNS exposure; Phase 1b baseline) - gaintherapeutics.com/wp-content/uploads/2026/01/Corporate-Deck-GANX-Janaury-2026.pdf</w:t>
      </w:r>
    </w:p>
    <w:p>
      <w:pPr>
        <w:pStyle w:val="ListParagraph"/>
        <w:numPr>
          <w:ilvl w:val="0"/>
          <w:numId w:val="2"/>
        </w:numPr>
        <w:spacing w:after="90" w:before="0" w:line="260"/>
      </w:pPr>
      <w:r>
        <w:rPr>
          <w:rFonts w:ascii="Calibri" w:cs="Calibri" w:eastAsia="Calibri" w:hAnsi="Calibri"/>
          <w:sz w:val="18"/>
          <w:szCs w:val="18"/>
        </w:rPr>
        <w:t xml:space="preserve">Corporate deck, March 2026 (Phase 1b biomarker and MDS-UPDRS subgroup data; Phase 2a design) - gaintherapeutics.com/wp-content/uploads/2026/03/GANX-Corporate-Deck-March-2026-Final.pdf</w:t>
      </w:r>
    </w:p>
    <w:p>
      <w:pPr>
        <w:pStyle w:val="ListParagraph"/>
        <w:numPr>
          <w:ilvl w:val="0"/>
          <w:numId w:val="2"/>
        </w:numPr>
        <w:spacing w:after="90" w:before="0" w:line="260"/>
      </w:pPr>
      <w:r>
        <w:rPr>
          <w:rFonts w:ascii="Calibri" w:cs="Calibri" w:eastAsia="Calibri" w:hAnsi="Calibri"/>
          <w:sz w:val="18"/>
          <w:szCs w:val="18"/>
        </w:rPr>
        <w:t xml:space="preserve">MDS 2024 Phase 1 poster - gaintherapeutics.com/wp-content/uploads/2024/10/MDS2024_phase1.pdf</w:t>
      </w:r>
    </w:p>
    <w:p>
      <w:pPr>
        <w:pStyle w:val="ListParagraph"/>
        <w:numPr>
          <w:ilvl w:val="0"/>
          <w:numId w:val="2"/>
        </w:numPr>
        <w:spacing w:after="90" w:before="0" w:line="260"/>
      </w:pPr>
      <w:r>
        <w:rPr>
          <w:rFonts w:ascii="Calibri" w:cs="Calibri" w:eastAsia="Calibri" w:hAnsi="Calibri"/>
          <w:sz w:val="18"/>
          <w:szCs w:val="18"/>
        </w:rPr>
        <w:t xml:space="preserve">AD/PD 2025 Phase 1b design poster (PK parameter list, dosing ranges) - gaintherapeutics.com/wp-content/uploads/2025/04/ADPD-2025-Phase-1b-Design.pdf</w:t>
      </w:r>
    </w:p>
    <w:p>
      <w:pPr>
        <w:pStyle w:val="ListParagraph"/>
        <w:numPr>
          <w:ilvl w:val="0"/>
          <w:numId w:val="2"/>
        </w:numPr>
        <w:spacing w:after="90" w:before="0" w:line="260"/>
      </w:pPr>
      <w:r>
        <w:rPr>
          <w:rFonts w:ascii="Calibri" w:cs="Calibri" w:eastAsia="Calibri" w:hAnsi="Calibri"/>
          <w:sz w:val="18"/>
          <w:szCs w:val="18"/>
        </w:rPr>
        <w:t xml:space="preserve">AD/PD 2025 preclinical slides - gaintherapeutics.com/wp-content/uploads/2025/04/ADPD-2025-GT-02287-Pre-clinical-Slides.pdf</w:t>
      </w:r>
    </w:p>
    <w:p>
      <w:pPr>
        <w:pStyle w:val="ListParagraph"/>
        <w:numPr>
          <w:ilvl w:val="0"/>
          <w:numId w:val="2"/>
        </w:numPr>
        <w:spacing w:after="90" w:before="0" w:line="260"/>
      </w:pPr>
      <w:r>
        <w:rPr>
          <w:rFonts w:ascii="Calibri" w:cs="Calibri" w:eastAsia="Calibri" w:hAnsi="Calibri"/>
          <w:sz w:val="18"/>
          <w:szCs w:val="18"/>
        </w:rPr>
        <w:t xml:space="preserve">WORLDSymposium 2021 posters B and C (MDmix target-site identification; bioavailability; fold-activity) - gaintherapeutics.com/wp-content/uploads/2024/09/Poster_B.pdf and .../Poster_C.pdf</w:t>
      </w:r>
    </w:p>
    <w:p>
      <w:pPr>
        <w:pStyle w:val="ListParagraph"/>
        <w:numPr>
          <w:ilvl w:val="0"/>
          <w:numId w:val="2"/>
        </w:numPr>
        <w:spacing w:after="90" w:before="0" w:line="260"/>
      </w:pPr>
      <w:r>
        <w:rPr>
          <w:rFonts w:ascii="Calibri" w:cs="Calibri" w:eastAsia="Calibri" w:hAnsi="Calibri"/>
          <w:sz w:val="18"/>
          <w:szCs w:val="18"/>
        </w:rPr>
        <w:t xml:space="preserve">AD/PD 2022 poster (EC50 range, assay conditions, dosing vehicle statement) - gaintherapeutics.com/wp-content/uploads/2024/09/Gain_Tx_ADPD_Poster_2022.pdf</w:t>
      </w:r>
    </w:p>
    <w:p>
      <w:pPr>
        <w:pStyle w:val="ListParagraph"/>
        <w:numPr>
          <w:ilvl w:val="0"/>
          <w:numId w:val="2"/>
        </w:numPr>
        <w:spacing w:after="90" w:before="0" w:line="260"/>
      </w:pPr>
      <w:r>
        <w:rPr>
          <w:rFonts w:ascii="Calibri" w:cs="Calibri" w:eastAsia="Calibri" w:hAnsi="Calibri"/>
          <w:sz w:val="18"/>
          <w:szCs w:val="18"/>
        </w:rPr>
        <w:t xml:space="preserve">Neuroscience 2025 poster (mitochondrial pharmacology) - gaintherapeutics.com/wp-content/uploads/2025/11/Poster-Neuroscience-2025.pdf</w:t>
      </w:r>
    </w:p>
    <w:p>
      <w:pPr>
        <w:pStyle w:val="ListParagraph"/>
        <w:numPr>
          <w:ilvl w:val="0"/>
          <w:numId w:val="2"/>
        </w:numPr>
        <w:spacing w:after="90" w:before="0" w:line="260"/>
      </w:pPr>
      <w:r>
        <w:rPr>
          <w:rFonts w:ascii="Calibri" w:cs="Calibri" w:eastAsia="Calibri" w:hAnsi="Calibri"/>
          <w:sz w:val="18"/>
          <w:szCs w:val="18"/>
        </w:rPr>
        <w:t xml:space="preserve">SFN 2024 and FENS 2024 posters (washout durability, NfL, motor endpoints)</w:t>
      </w:r>
    </w:p>
    <w:p>
      <w:pPr>
        <w:pStyle w:val="Heading3"/>
        <w:spacing w:after="100" w:before="200"/>
      </w:pPr>
      <w:r>
        <w:rPr>
          <w:rFonts w:ascii="Calibri" w:cs="Calibri" w:eastAsia="Calibri" w:hAnsi="Calibri"/>
          <w:b/>
          <w:bCs/>
          <w:color w:val="1F3864"/>
          <w:sz w:val="21"/>
          <w:szCs w:val="21"/>
        </w:rPr>
        <w:t xml:space="preserve">Registry, patent and literature records</w:t>
      </w:r>
    </w:p>
    <w:p>
      <w:pPr>
        <w:pStyle w:val="ListParagraph"/>
        <w:numPr>
          <w:ilvl w:val="0"/>
          <w:numId w:val="2"/>
        </w:numPr>
        <w:spacing w:after="90" w:before="0" w:line="260"/>
      </w:pPr>
      <w:r>
        <w:rPr>
          <w:rFonts w:ascii="Calibri" w:cs="Calibri" w:eastAsia="Calibri" w:hAnsi="Calibri"/>
          <w:sz w:val="18"/>
          <w:szCs w:val="18"/>
        </w:rPr>
        <w:t xml:space="preserve">ClinicalTrials.gov NCT06732180 - Phase 1b, protocol GANX-001-V102, seven Australian sites</w:t>
      </w:r>
    </w:p>
    <w:p>
      <w:pPr>
        <w:pStyle w:val="ListParagraph"/>
        <w:numPr>
          <w:ilvl w:val="0"/>
          <w:numId w:val="2"/>
        </w:numPr>
        <w:spacing w:after="90" w:before="0" w:line="260"/>
      </w:pPr>
      <w:r>
        <w:rPr>
          <w:rFonts w:ascii="Calibri" w:cs="Calibri" w:eastAsia="Calibri" w:hAnsi="Calibri"/>
          <w:sz w:val="18"/>
          <w:szCs w:val="18"/>
        </w:rPr>
        <w:t xml:space="preserve">ClinicalTrials.gov NCT07280299 - Phase 2a, protocol GANX001V103, 48 weeks, n approximately 111</w:t>
      </w:r>
    </w:p>
    <w:p>
      <w:pPr>
        <w:pStyle w:val="ListParagraph"/>
        <w:numPr>
          <w:ilvl w:val="0"/>
          <w:numId w:val="2"/>
        </w:numPr>
        <w:spacing w:after="90" w:before="0" w:line="260"/>
      </w:pPr>
      <w:r>
        <w:rPr>
          <w:rFonts w:ascii="Calibri" w:cs="Calibri" w:eastAsia="Calibri" w:hAnsi="Calibri"/>
          <w:sz w:val="18"/>
          <w:szCs w:val="18"/>
        </w:rPr>
        <w:t xml:space="preserve">ANZCTR ACTRN12625000473460 - relative bioavailability of two oral suspension formulations (via PatSnap Synapse; NOT verified against ANZCTR, which served unrelated records on every attempt)</w:t>
      </w:r>
    </w:p>
    <w:p>
      <w:pPr>
        <w:pStyle w:val="ListParagraph"/>
        <w:numPr>
          <w:ilvl w:val="0"/>
          <w:numId w:val="2"/>
        </w:numPr>
        <w:spacing w:after="90" w:before="0" w:line="260"/>
      </w:pPr>
      <w:r>
        <w:rPr>
          <w:rFonts w:ascii="Calibri" w:cs="Calibri" w:eastAsia="Calibri" w:hAnsi="Calibri"/>
          <w:sz w:val="18"/>
          <w:szCs w:val="18"/>
        </w:rPr>
        <w:t xml:space="preserve">EU Clinical Trials Register / EudraCT: search for GT-02287 returns no studies. No EU CTIS, REec, AIFA or ISRCTN record found. No orphan, PRIME, Fast Track or Breakthrough designation found</w:t>
      </w:r>
    </w:p>
    <w:p>
      <w:pPr>
        <w:pStyle w:val="ListParagraph"/>
        <w:numPr>
          <w:ilvl w:val="0"/>
          <w:numId w:val="2"/>
        </w:numPr>
        <w:spacing w:after="90" w:before="0" w:line="260"/>
      </w:pPr>
      <w:r>
        <w:rPr>
          <w:rFonts w:ascii="Calibri" w:cs="Calibri" w:eastAsia="Calibri" w:hAnsi="Calibri"/>
          <w:sz w:val="18"/>
          <w:szCs w:val="18"/>
        </w:rPr>
        <w:t xml:space="preserve">WO2018122775A1 / US11174242B2 / US11739072B2 (Minoryx Therapeutics SL) - probable composition-of-matter genus, unconfirmed</w:t>
      </w:r>
    </w:p>
    <w:p>
      <w:pPr>
        <w:pStyle w:val="ListParagraph"/>
        <w:numPr>
          <w:ilvl w:val="0"/>
          <w:numId w:val="2"/>
        </w:numPr>
        <w:spacing w:after="90" w:before="0" w:line="260"/>
      </w:pPr>
      <w:r>
        <w:rPr>
          <w:rFonts w:ascii="Calibri" w:cs="Calibri" w:eastAsia="Calibri" w:hAnsi="Calibri"/>
          <w:sz w:val="18"/>
          <w:szCs w:val="18"/>
        </w:rPr>
        <w:t xml:space="preserve">WO2021105908A1 (GT Gain Therapeutics SA) - later GBA1 heteroaryl family</w:t>
      </w:r>
    </w:p>
    <w:p>
      <w:pPr>
        <w:pStyle w:val="ListParagraph"/>
        <w:numPr>
          <w:ilvl w:val="0"/>
          <w:numId w:val="2"/>
        </w:numPr>
        <w:spacing w:after="90" w:before="0" w:line="260"/>
      </w:pPr>
      <w:r>
        <w:rPr>
          <w:rFonts w:ascii="Calibri" w:cs="Calibri" w:eastAsia="Calibri" w:hAnsi="Calibri"/>
          <w:sz w:val="18"/>
          <w:szCs w:val="18"/>
        </w:rPr>
        <w:t xml:space="preserve">Pozzi et al., Movement Disorders 2026, DOI 10.1002/mds.70111 - IDENTIFIED, NOT RETRIEVED</w:t>
      </w:r>
    </w:p>
    <w:p>
      <w:pPr>
        <w:pStyle w:val="ListParagraph"/>
        <w:numPr>
          <w:ilvl w:val="0"/>
          <w:numId w:val="2"/>
        </w:numPr>
        <w:spacing w:after="90" w:before="0" w:line="260"/>
      </w:pPr>
      <w:r>
        <w:rPr>
          <w:rFonts w:ascii="Calibri" w:cs="Calibri" w:eastAsia="Calibri" w:hAnsi="Calibri"/>
          <w:sz w:val="18"/>
          <w:szCs w:val="18"/>
        </w:rPr>
        <w:t xml:space="preserve">Fregno et al., Int J Mol Sci 2025;26(9):4392, DOI 10.3390/ijms26094392 - IDENTIFIED, NOT RETRIEVED</w:t>
      </w:r>
    </w:p>
    <w:p>
      <w:pPr>
        <w:pStyle w:val="ListParagraph"/>
        <w:numPr>
          <w:ilvl w:val="0"/>
          <w:numId w:val="2"/>
        </w:numPr>
        <w:spacing w:after="90" w:before="0" w:line="260"/>
      </w:pPr>
      <w:r>
        <w:rPr>
          <w:rFonts w:ascii="Calibri" w:cs="Calibri" w:eastAsia="Calibri" w:hAnsi="Calibri"/>
          <w:sz w:val="18"/>
          <w:szCs w:val="18"/>
        </w:rPr>
        <w:t xml:space="preserve">Ciccaldo et al., Scientific Reports 15 (2025), DOI 10.1038/s41598-025-02346-8 - EC50 data for GT-02216, a different molecule, cited for orientation only</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2026-08-14T20:09:39.980Z</dcterms:created>
  <dcterms:modified xsi:type="dcterms:W3CDTF">2026-08-14T20:09:39.981Z</dcterms:modified>
</cp:coreProperties>
</file>

<file path=docProps/custom.xml><?xml version="1.0" encoding="utf-8"?>
<Properties xmlns="http://schemas.openxmlformats.org/officeDocument/2006/custom-properties" xmlns:vt="http://schemas.openxmlformats.org/officeDocument/2006/docPropsVTypes"/>
</file>