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qv1csuwdhjy" w:id="0"/>
      <w:bookmarkEnd w:id="0"/>
      <w:r w:rsidDel="00000000" w:rsidR="00000000" w:rsidRPr="00000000">
        <w:rPr>
          <w:rtl w:val="0"/>
        </w:rPr>
        <w:t xml:space="preserve">Self-Directed Formulation &amp; Manufacturing Charter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lxm18mefmw9" w:id="1"/>
      <w:bookmarkEnd w:id="1"/>
      <w:r w:rsidDel="00000000" w:rsidR="00000000" w:rsidRPr="00000000">
        <w:rPr>
          <w:rtl w:val="0"/>
        </w:rPr>
        <w:t xml:space="preserve">Marine Hull Primer Program — Companion to Attached Technical Envelope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A top U.S. Navy prime (masked) </w:t>
      </w:r>
      <w:r w:rsidDel="00000000" w:rsidR="00000000" w:rsidRPr="00000000">
        <w:rPr>
          <w:b w:val="1"/>
          <w:bCs w:val="1"/>
          <w:rtl w:val="0"/>
        </w:rPr>
        <w:t xml:space="preserve">Artifact class:</w:t>
      </w:r>
      <w:r w:rsidDel="00000000" w:rsidR="00000000" w:rsidRPr="00000000">
        <w:rPr>
          <w:rtl w:val="0"/>
        </w:rPr>
        <w:t xml:space="preserve"> Engine charter (objectives + constraints only — not a formulation instruction) </w:t>
      </w:r>
      <w:r w:rsidDel="00000000" w:rsidR="00000000" w:rsidRPr="00000000">
        <w:rPr>
          <w:b w:val="1"/>
          <w:bCs w:val="1"/>
          <w:rtl w:val="0"/>
        </w:rPr>
        <w:t xml:space="preserve">Seed inputs:</w:t>
      </w:r>
      <w:r w:rsidDel="00000000" w:rsidR="00000000" w:rsidRPr="00000000">
        <w:rPr>
          <w:rtl w:val="0"/>
        </w:rPr>
        <w:t xml:space="preserve"> This charter + the attached technical envelope. </w:t>
      </w:r>
      <w:r w:rsidDel="00000000" w:rsidR="00000000" w:rsidRPr="00000000">
        <w:rPr>
          <w:b w:val="1"/>
          <w:bCs w:val="1"/>
          <w:rtl w:val="0"/>
        </w:rPr>
        <w:t xml:space="preserve">Nothing else.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 (template-first; the envelope block is swappable for future partner programs)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0pc594cp0r2" w:id="2"/>
      <w:bookmarkEnd w:id="2"/>
      <w:r w:rsidDel="00000000" w:rsidR="00000000" w:rsidRPr="00000000">
        <w:rPr>
          <w:rtl w:val="0"/>
        </w:rPr>
        <w:t xml:space="preserve">1. Mandate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engine receives the attached technical envelope as its </w:t>
      </w:r>
      <w:r w:rsidDel="00000000" w:rsidR="00000000" w:rsidRPr="00000000">
        <w:rPr>
          <w:b w:val="1"/>
          <w:bCs w:val="1"/>
          <w:rtl w:val="0"/>
        </w:rPr>
        <w:t xml:space="preserve">sole problem statement</w:t>
      </w:r>
      <w:r w:rsidDel="00000000" w:rsidR="00000000" w:rsidRPr="00000000">
        <w:rPr>
          <w:rtl w:val="0"/>
        </w:rPr>
        <w:t xml:space="preserve"> and must return a complete, auditable, manufacturable </w:t>
      </w:r>
      <w:r w:rsidDel="00000000" w:rsidR="00000000" w:rsidRPr="00000000">
        <w:rPr>
          <w:b w:val="1"/>
          <w:bCs w:val="1"/>
          <w:rtl w:val="0"/>
        </w:rPr>
        <w:t xml:space="preserve">formulation-and-process blueprint</w:t>
      </w:r>
      <w:r w:rsidDel="00000000" w:rsidR="00000000" w:rsidRPr="00000000">
        <w:rPr>
          <w:rtl w:val="0"/>
        </w:rPr>
        <w:t xml:space="preserve"> that satisfies every requirement in that envelope. The blueprint is a </w:t>
      </w:r>
      <w:r w:rsidDel="00000000" w:rsidR="00000000" w:rsidRPr="00000000">
        <w:rPr>
          <w:b w:val="1"/>
          <w:bCs w:val="1"/>
          <w:rtl w:val="0"/>
        </w:rPr>
        <w:t xml:space="preserve">handoff package</w:t>
      </w:r>
      <w:r w:rsidDel="00000000" w:rsidR="00000000" w:rsidRPr="00000000">
        <w:rPr>
          <w:rtl w:val="0"/>
        </w:rPr>
        <w:t xml:space="preserve">: it must be directly executable by a contract research organization (CRO) or wet-lab to formulate, synthesize, and test the system in the real world — and the empirical results returned from that bench work feed back to </w:t>
      </w:r>
      <w:r w:rsidDel="00000000" w:rsidR="00000000" w:rsidRPr="00000000">
        <w:rPr>
          <w:b w:val="1"/>
          <w:bCs w:val="1"/>
          <w:rtl w:val="0"/>
        </w:rPr>
        <w:t xml:space="preserve">fine-tune the engine</w:t>
      </w:r>
      <w:r w:rsidDel="00000000" w:rsidR="00000000" w:rsidRPr="00000000">
        <w:rPr>
          <w:rtl w:val="0"/>
        </w:rPr>
        <w:t xml:space="preserve">, closing the loop between prediction and physical validation. The engine conducts its own exhaustive research — mastering coatings/polymer science, every line of the envelope, and the adjacent fields the envelope implies — and selects or constructs its own methods, models, datasets, and tools to do so. No prior formulations, candidate materials, internal datasets, or human-preferred models are supplied. This document provides </w:t>
      </w:r>
      <w:r w:rsidDel="00000000" w:rsidR="00000000" w:rsidRPr="00000000">
        <w:rPr>
          <w:b w:val="1"/>
          <w:bCs w:val="1"/>
          <w:rtl w:val="0"/>
        </w:rPr>
        <w:t xml:space="preserve">objectives and guardrails only</w:t>
      </w:r>
      <w:r w:rsidDel="00000000" w:rsidR="00000000" w:rsidRPr="00000000">
        <w:rPr>
          <w:rtl w:val="0"/>
        </w:rPr>
        <w:t xml:space="preserve">; the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is the engine's to discover.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nyovknbhdc0" w:id="3"/>
      <w:bookmarkEnd w:id="3"/>
      <w:r w:rsidDel="00000000" w:rsidR="00000000" w:rsidRPr="00000000">
        <w:rPr>
          <w:rtl w:val="0"/>
        </w:rPr>
        <w:t xml:space="preserve">2. Operating Principle — Zero Prior, Self-Directed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engine is to proceed as if approaching this class of problem for the first time. It must: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Derive the problem space from first principles plus the open literature, rather than from any pre-selected answer.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Independently determine which model(s), representations, datasets, simulations, and experimental references are appropriate — and construct novel methods of arbitrary sophistication where it judges existing ones insufficient.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Surface its own assumptions explicitly and treat every choice as a decision it must later justify.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one binding limit on this freedom (Section 6):</w:t>
      </w:r>
      <w:r w:rsidDel="00000000" w:rsidR="00000000" w:rsidRPr="00000000">
        <w:rPr>
          <w:rtl w:val="0"/>
        </w:rPr>
        <w:t xml:space="preserve"> however exotic the internal machinery, the </w:t>
      </w:r>
      <w:r w:rsidDel="00000000" w:rsidR="00000000" w:rsidRPr="00000000">
        <w:rPr>
          <w:i w:val="1"/>
          <w:iCs w:val="1"/>
          <w:rtl w:val="0"/>
        </w:rPr>
        <w:t xml:space="preserve">delivered recipe</w:t>
      </w:r>
      <w:r w:rsidDel="00000000" w:rsidR="00000000" w:rsidRPr="00000000">
        <w:rPr>
          <w:rtl w:val="0"/>
        </w:rPr>
        <w:t xml:space="preserve"> must be rendered human-interpretable, fully cited, reproducible, and lab-testable. Novelty in method is unbounded; opacity in the deliverable is not permitted.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wsr73x29f5i" w:id="4"/>
      <w:bookmarkEnd w:id="4"/>
      <w:r w:rsidDel="00000000" w:rsidR="00000000" w:rsidRPr="00000000">
        <w:rPr>
          <w:rtl w:val="0"/>
        </w:rPr>
        <w:t xml:space="preserve">3. Degrees of Freedom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— unbounded.</w:t>
      </w:r>
      <w:r w:rsidDel="00000000" w:rsidR="00000000" w:rsidRPr="00000000">
        <w:rPr>
          <w:rtl w:val="0"/>
        </w:rPr>
        <w:t xml:space="preserve"> Full latitude over approach, models, data, and tooling.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deliverable — bounded.</w:t>
      </w:r>
      <w:r w:rsidDel="00000000" w:rsidR="00000000" w:rsidRPr="00000000">
        <w:rPr>
          <w:rtl w:val="0"/>
        </w:rPr>
        <w:t xml:space="preserve"> Must conform exactly to the fixed envelope (Section 4) and meet all performance targets (Section 5).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— encouraged, quarantined.</w:t>
      </w:r>
      <w:r w:rsidDel="00000000" w:rsidR="00000000" w:rsidRPr="00000000">
        <w:rPr>
          <w:rtl w:val="0"/>
        </w:rPr>
        <w:t xml:space="preserve"> Superior chemistries, alternative feedstocks, or adjacent coating systems the engine finds along the way are valuable and must be reported — but in the </w:t>
      </w:r>
      <w:r w:rsidDel="00000000" w:rsidR="00000000" w:rsidRPr="00000000">
        <w:rPr>
          <w:b w:val="1"/>
          <w:bCs w:val="1"/>
          <w:rtl w:val="0"/>
        </w:rPr>
        <w:t xml:space="preserve">Discovery Annex</w:t>
      </w:r>
      <w:r w:rsidDel="00000000" w:rsidR="00000000" w:rsidRPr="00000000">
        <w:rPr>
          <w:rtl w:val="0"/>
        </w:rPr>
        <w:t xml:space="preserve"> (Section 8), never substituted into the compliant primary solution.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l92zfw5uld4" w:id="5"/>
      <w:bookmarkEnd w:id="5"/>
      <w:r w:rsidDel="00000000" w:rsidR="00000000" w:rsidRPr="00000000">
        <w:rPr>
          <w:rtl w:val="0"/>
        </w:rPr>
        <w:t xml:space="preserve">4. Fixed Constraints (binding — the recipe must satisfy all)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Two-component </w:t>
      </w:r>
      <w:r w:rsidDel="00000000" w:rsidR="00000000" w:rsidRPr="00000000">
        <w:rPr>
          <w:b w:val="1"/>
          <w:bCs w:val="1"/>
          <w:rtl w:val="0"/>
        </w:rPr>
        <w:t xml:space="preserve">epoxy-polyamide</w:t>
      </w:r>
      <w:r w:rsidDel="00000000" w:rsidR="00000000" w:rsidRPr="00000000">
        <w:rPr>
          <w:rtl w:val="0"/>
        </w:rPr>
        <w:t xml:space="preserve"> chemistry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Nominal </w:t>
      </w:r>
      <w:r w:rsidDel="00000000" w:rsidR="00000000" w:rsidRPr="00000000">
        <w:rPr>
          <w:b w:val="1"/>
          <w:bCs w:val="1"/>
          <w:rtl w:val="0"/>
        </w:rPr>
        <w:t xml:space="preserve">1:1 mix ratio by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Solvent-borne</w:t>
      </w:r>
      <w:r w:rsidDel="00000000" w:rsidR="00000000" w:rsidRPr="00000000">
        <w:rPr>
          <w:rtl w:val="0"/>
        </w:rPr>
        <w:t xml:space="preserve"> system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Volume solids </w:t>
      </w:r>
      <w:r w:rsidDel="00000000" w:rsidR="00000000" w:rsidRPr="00000000">
        <w:rPr>
          <w:b w:val="1"/>
          <w:bCs w:val="1"/>
          <w:rtl w:val="0"/>
        </w:rPr>
        <w:t xml:space="preserve">~65% (±2%)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≤340 g/L</w:t>
      </w:r>
      <w:r w:rsidDel="00000000" w:rsidR="00000000" w:rsidRPr="00000000">
        <w:rPr>
          <w:rtl w:val="0"/>
        </w:rPr>
        <w:t xml:space="preserve"> (EPA Method 24 equivalent)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Dry film thickness </w:t>
      </w:r>
      <w:r w:rsidDel="00000000" w:rsidR="00000000" w:rsidRPr="00000000">
        <w:rPr>
          <w:b w:val="1"/>
          <w:bCs w:val="1"/>
          <w:rtl w:val="0"/>
        </w:rPr>
        <w:t xml:space="preserve">~4.5–6.0 mils</w:t>
      </w:r>
      <w:r w:rsidDel="00000000" w:rsidR="00000000" w:rsidRPr="00000000">
        <w:rPr>
          <w:rtl w:val="0"/>
        </w:rPr>
        <w:t xml:space="preserve"> per coat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Recoat window </w:t>
      </w:r>
      <w:r w:rsidDel="00000000" w:rsidR="00000000" w:rsidRPr="00000000">
        <w:rPr>
          <w:b w:val="1"/>
          <w:bCs w:val="1"/>
          <w:rtl w:val="0"/>
        </w:rPr>
        <w:t xml:space="preserve">~6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Shelf life </w:t>
      </w:r>
      <w:r w:rsidDel="00000000" w:rsidR="00000000" w:rsidRPr="00000000">
        <w:rPr>
          <w:b w:val="1"/>
          <w:bCs w:val="1"/>
          <w:rtl w:val="0"/>
        </w:rPr>
        <w:t xml:space="preserve">~36 months</w:t>
      </w:r>
      <w:r w:rsidDel="00000000" w:rsidR="00000000" w:rsidRPr="00000000">
        <w:rPr>
          <w:rtl w:val="0"/>
        </w:rPr>
        <w:t xml:space="preserve"> unopened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Open for optimization (variable parameters):</w:t>
      </w:r>
      <w:r w:rsidDel="00000000" w:rsidR="00000000" w:rsidRPr="00000000">
        <w:rPr>
          <w:rtl w:val="0"/>
        </w:rPr>
        <w:t xml:space="preserve"> manufacturing process sequence; dispersion and mixing strategy; equipment configuration; rheological control; QC methodology.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z4xsxt3ctuy" w:id="6"/>
      <w:bookmarkEnd w:id="6"/>
      <w:r w:rsidDel="00000000" w:rsidR="00000000" w:rsidRPr="00000000">
        <w:rPr>
          <w:rtl w:val="0"/>
        </w:rPr>
        <w:t xml:space="preserve">5. Performance Envelope (the recipe must achieve)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Immersion-service protection of exterior carbon steel in marine/saltwater environments; airless spray, brush, or roller application; low sheen; black and yellow (pigmentation non-functional, for identification/visibility only). Mixed-system targets: WFT ~7.0–9.0 mils; coverage ~175–230 ft²/gal; ~9.1 lb/gal; induction ~30 min; pot life ≥1.5 h at 73°F/50% RH; dry-to-touch ~2 h; functional cure ~6 h. Application limits: air/surface ~65–95°F, material ≥60°F, RH ≤85%. Surface prep reference: near-white abrasive blast, 2.5–3.5 mil profile. Storage indoors, 65–95°F.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i49yzub1egtx" w:id="7"/>
      <w:bookmarkEnd w:id="7"/>
      <w:r w:rsidDel="00000000" w:rsidR="00000000" w:rsidRPr="00000000">
        <w:rPr>
          <w:rtl w:val="0"/>
        </w:rPr>
        <w:t xml:space="preserve">6. Auditability (non-negotiable)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Every element of the deliverable must be: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Cited</w:t>
      </w:r>
      <w:r w:rsidDel="00000000" w:rsidR="00000000" w:rsidRPr="00000000">
        <w:rPr>
          <w:rtl w:val="0"/>
        </w:rPr>
        <w:t xml:space="preserve"> — each material choice, parameter, and claim traceable to a source or to an explicitly stated, testable rationale.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CRO-executable</w:t>
      </w:r>
      <w:r w:rsidDel="00000000" w:rsidR="00000000" w:rsidRPr="00000000">
        <w:rPr>
          <w:rtl w:val="0"/>
        </w:rPr>
        <w:t xml:space="preserve"> — a contract lab or wet-lab chemist must be able to follow the recipe and process exactly as written and arrive at the same result, without reverse-engineering intent or filling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Human-interpretable</w:t>
      </w:r>
      <w:r w:rsidDel="00000000" w:rsidR="00000000" w:rsidRPr="00000000">
        <w:rPr>
          <w:rtl w:val="0"/>
        </w:rPr>
        <w:t xml:space="preserve"> — reasoning legible to a domain expert; no unexplained outputs.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Confidence-rated</w:t>
      </w:r>
      <w:r w:rsidDel="00000000" w:rsidR="00000000" w:rsidRPr="00000000">
        <w:rPr>
          <w:rtl w:val="0"/>
        </w:rPr>
        <w:t xml:space="preserve"> — each recommendation flagged by confidence, with assumptions and known gaps called out.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Validation-backed</w:t>
      </w:r>
      <w:r w:rsidDel="00000000" w:rsidR="00000000" w:rsidRPr="00000000">
        <w:rPr>
          <w:rtl w:val="0"/>
        </w:rPr>
        <w:t xml:space="preserve"> — accompanied by a proposed test plan a customer chemist can run to qualify the system against the envelope and against the relevant MIL-DTL-24441-class performance requirements.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kdf2c2fwb2c" w:id="8"/>
      <w:bookmarkEnd w:id="8"/>
      <w:r w:rsidDel="00000000" w:rsidR="00000000" w:rsidRPr="00000000">
        <w:rPr>
          <w:rtl w:val="0"/>
        </w:rPr>
        <w:t xml:space="preserve">7. Required Deliverable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engine determines the full scope; the following is the expected floor, not a ceiling.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Formulation &amp; BOM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every raw material (resin, curative, solvents, pigments, extenders, additives), its function, target % by weight, key grade/spec attributes, and candidate commercial sources. Both components, mixing/induction behavior, and how the formulation lands the 1:1 / ~65% solids / ≤340 g/L / pot-life targets.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process</w:t>
      </w:r>
      <w:r w:rsidDel="00000000" w:rsidR="00000000" w:rsidRPr="00000000">
        <w:rPr>
          <w:rtl w:val="0"/>
        </w:rPr>
        <w:t xml:space="preserve"> — full process flow and sequence, equipment, dispersion/mix parameters, batch sizing, in-line conditioning, and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pilot → production scale-up path</w:t>
      </w:r>
      <w:r w:rsidDel="00000000" w:rsidR="00000000" w:rsidRPr="00000000">
        <w:rPr>
          <w:rtl w:val="0"/>
        </w:rPr>
        <w:t xml:space="preserve"> with the scale-up risks identified.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In-process &amp; quality control</w:t>
      </w:r>
      <w:r w:rsidDel="00000000" w:rsidR="00000000" w:rsidRPr="00000000">
        <w:rPr>
          <w:rtl w:val="0"/>
        </w:rPr>
        <w:t xml:space="preserve"> — viscosity/pot-life control, non-destructive in-process measurements for dispersion/viscosity/cure, early indicators of loss-of-process-control or impending batch failure, batch-record detail, operator-training level, and cross-campaign data-trending practices.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&amp; sourcing</w:t>
      </w:r>
      <w:r w:rsidDel="00000000" w:rsidR="00000000" w:rsidRPr="00000000">
        <w:rPr>
          <w:rtl w:val="0"/>
        </w:rPr>
        <w:t xml:space="preserve"> — supply sensitivities, single-source risk, lead times, and a </w:t>
      </w:r>
      <w:r w:rsidDel="00000000" w:rsidR="00000000" w:rsidRPr="00000000">
        <w:rPr>
          <w:b w:val="1"/>
          <w:bCs w:val="1"/>
          <w:rtl w:val="0"/>
        </w:rPr>
        <w:t xml:space="preserve">domestic-sourcing preference</w:t>
      </w:r>
      <w:r w:rsidDel="00000000" w:rsidR="00000000" w:rsidRPr="00000000">
        <w:rPr>
          <w:rtl w:val="0"/>
        </w:rPr>
        <w:t xml:space="preserve"> (Buy American / TAA-style) flagged where it bears on the customer.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EHS</w:t>
      </w:r>
      <w:r w:rsidDel="00000000" w:rsidR="00000000" w:rsidRPr="00000000">
        <w:rPr>
          <w:rtl w:val="0"/>
        </w:rPr>
        <w:t xml:space="preserve"> — VOC / EPA Method 24, REACH / TSCA, OSHA / NFPA solvent-and-amine handling, applicable state VOC rules, and required facility controls. </w:t>
      </w:r>
      <w:r w:rsidDel="00000000" w:rsidR="00000000" w:rsidRPr="00000000">
        <w:rPr>
          <w:i w:val="1"/>
          <w:iCs w:val="1"/>
          <w:rtl w:val="0"/>
        </w:rPr>
        <w:t xml:space="preserve">(ITAR/export-control: note only if clearly implicated; low priority for this program.)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&amp; legal</w:t>
      </w:r>
      <w:r w:rsidDel="00000000" w:rsidR="00000000" w:rsidRPr="00000000">
        <w:rPr>
          <w:rtl w:val="0"/>
        </w:rPr>
        <w:t xml:space="preserve"> — freedom-to-operate read, relevant patent landscape, and a trade-secret-vs-patent posture recommendation.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Manufacturability &amp; risk</w:t>
      </w:r>
      <w:r w:rsidDel="00000000" w:rsidR="00000000" w:rsidRPr="00000000">
        <w:rPr>
          <w:rtl w:val="0"/>
        </w:rPr>
        <w:t xml:space="preserve"> — pinholing/wetting/film-build failure modes, the application-limit parameters most often exceeded in the field and their mitigations, and the environmental variables that most affect manufacturing consistency vs. field performance.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CRO / wet-lab handoff &amp; feedback loop</w:t>
      </w:r>
      <w:r w:rsidDel="00000000" w:rsidR="00000000" w:rsidRPr="00000000">
        <w:rPr>
          <w:rtl w:val="0"/>
        </w:rPr>
        <w:t xml:space="preserve"> — the recipe packaged for direct execution by a contract lab, with a proposed formulation-and-test protocol that qualifies the system against the envelope and the relevant MIL-DTL-24441-class performance requirements, </w:t>
      </w:r>
      <w:r w:rsidDel="00000000" w:rsidR="00000000" w:rsidRPr="00000000">
        <w:rPr>
          <w:b w:val="1"/>
          <w:bCs w:val="1"/>
          <w:rtl w:val="0"/>
        </w:rPr>
        <w:t xml:space="preserve">plus a structured data-capture template</w:t>
      </w:r>
      <w:r w:rsidDel="00000000" w:rsidR="00000000" w:rsidRPr="00000000">
        <w:rPr>
          <w:rtl w:val="0"/>
        </w:rPr>
        <w:t xml:space="preserve"> specifying exactly which bench measurements, conditions, deviations, and outcomes the CRO should return — designed so the empirical results flow back to fine-tune the engine on the next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Seed questions (non-exhaustive — address and exceed):</w:t>
      </w:r>
      <w:r w:rsidDel="00000000" w:rsidR="00000000" w:rsidRPr="00000000">
        <w:rPr>
          <w:rtl w:val="0"/>
        </w:rPr>
        <w:t xml:space="preserve"> the 15 manufacturing/scale-up/QC questions accompanying the envelope are a starting set, not the boundary. Treat them as the minimum the deliverable must answer and expand beyond them wherever the engine's research identifies gaps the human author did not.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5hu6bgimco5" w:id="9"/>
      <w:bookmarkEnd w:id="9"/>
      <w:r w:rsidDel="00000000" w:rsidR="00000000" w:rsidRPr="00000000">
        <w:rPr>
          <w:rtl w:val="0"/>
        </w:rPr>
        <w:t xml:space="preserve">8. Discovery Annex (separate, quarantined)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Report — outside the compliant primary solution — any superior epoxy-polyamide variants, alternative chemistries, novel feedstocks, or adjacent high-value coating systems uncovered during research, with enough detail for us to evaluate them as future programs.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9cb66ry364b8" w:id="10"/>
      <w:bookmarkEnd w:id="10"/>
      <w:r w:rsidDel="00000000" w:rsidR="00000000" w:rsidRPr="00000000">
        <w:rPr>
          <w:rtl w:val="0"/>
        </w:rPr>
        <w:t xml:space="preserve">9. Confidentiality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customer is referred to throughout as "a top U.S. Navy prime." Outputs default to maskable; the customer's true identity does not appear in any deliverable.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i w:val="1"/>
          <w:iCs w:val="1"/>
          <w:rtl w:val="0"/>
        </w:rPr>
        <w:t xml:space="preserve">Reuse: for subsequent partner programs (energy, oil &amp; gas, defense, etc.), replace Sections 4–5 with that partner's technical envelope. Sections 1–3 and 6–9 are the standing scaffold.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