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A5F"/>
          <w:sz w:val="44"/>
          <w:szCs w:val="44"/>
        </w:rPr>
        <w:t xml:space="preserve">Technical Envelope Extraction Prompt</w:t>
      </w:r>
    </w:p>
    <w:p>
      <w:pPr>
        <w:spacing w:after="60"/>
      </w:pPr>
      <w:r>
        <w:rPr>
          <w:color w:val="555555"/>
          <w:sz w:val="26"/>
          <w:szCs w:val="26"/>
        </w:rPr>
        <w:t xml:space="preserve">Drug Formulations — Pharmacokinetics (PK), Pharmacodynamics (PD), and ADMET</w:t>
      </w:r>
    </w:p>
    <w:p>
      <w:pPr>
        <w:pBdr>
          <w:bottom w:val="single" w:color="1F3A5F" w:sz="8"/>
        </w:pBdr>
        <w:spacing w:after="240"/>
      </w:pPr>
      <w:r>
        <w:rPr>
          <w:i/>
          <w:iCs/>
          <w:color w:val="555555"/>
          <w:sz w:val="19"/>
          <w:szCs w:val="19"/>
        </w:rPr>
        <w:t xml:space="preserve">Amphora Bio · August 2026 · v1.0</w:t>
      </w:r>
    </w:p>
    <w:p>
      <w:pPr>
        <w:pStyle w:val="Heading1"/>
        <w:spacing w:after="140" w:before="320"/>
      </w:pPr>
      <w:r>
        <w:rPr>
          <w:b/>
          <w:bCs/>
          <w:color w:val="1F3A5F"/>
          <w:sz w:val="30"/>
          <w:szCs w:val="30"/>
        </w:rPr>
        <w:t xml:space="preserve">How to Use This Document</w:t>
      </w:r>
    </w:p>
    <w:p>
      <w:pPr>
        <w:spacing w:after="120"/>
      </w:pPr>
      <w:r>
        <w:rPr>
          <w:sz w:val="21"/>
          <w:szCs w:val="21"/>
        </w:rPr>
        <w:t xml:space="preserve">Copy everything from the line “BEGIN PROMPT” to “END PROMPT” into your AI tool, then attach or paste the source material (journal article, study report, investigator’s brochure, regulatory document, or internal dataset). The prompt instructs the model to extract every PK, PD, and ADMET parameter it can find into a single standardized structure. Parameters not reported in the source are returned as “NR” (not reported), so gaps in the technical envelope are visible at a glance. The taxonomy in Section 3 doubles as a completeness checklist for the formulation program’s data package.</w:t>
      </w:r>
    </w:p>
    <w:p>
      <w:pPr>
        <w:shd w:fill="EEF2F7" w:val="clear"/>
        <w:spacing w:after="160" w:before="160"/>
      </w:pPr>
      <w:r>
        <w:rPr>
          <w:b/>
          <w:bCs/>
          <w:color w:val="1F3A5F"/>
          <w:sz w:val="22"/>
          <w:szCs w:val="22"/>
        </w:rPr>
        <w:t xml:space="preserve">—— BEGIN PROMPT ——</w:t>
      </w:r>
    </w:p>
    <w:p>
      <w:pPr>
        <w:pStyle w:val="Heading1"/>
        <w:spacing w:after="140" w:before="320"/>
      </w:pPr>
      <w:r>
        <w:rPr>
          <w:b/>
          <w:bCs/>
          <w:color w:val="1F3A5F"/>
          <w:sz w:val="30"/>
          <w:szCs w:val="30"/>
        </w:rPr>
        <w:t xml:space="preserve">1. Role and Objective</w:t>
      </w:r>
    </w:p>
    <w:p>
      <w:pPr>
        <w:spacing w:after="120"/>
      </w:pPr>
      <w:r>
        <w:rPr>
          <w:sz w:val="21"/>
          <w:szCs w:val="21"/>
        </w:rPr>
        <w:t xml:space="preserve">You are a senior DMPK / pharmaceutics data-extraction specialist. Read the attached source document(s) and extract ALL parameters relevant to the technical envelope of a drug formulation — pharmacokinetics (PK), pharmacodynamics (PD), and ADMET — into the standardized structure defined below. Extract for every distinct combination of compound/analyte, formulation, dose, route, species/population, and study. Do not summarize: extract verbatim values with units and full context.</w:t>
      </w:r>
    </w:p>
    <w:p>
      <w:pPr>
        <w:pStyle w:val="Heading1"/>
        <w:spacing w:after="140" w:before="320"/>
      </w:pPr>
      <w:r>
        <w:rPr>
          <w:b/>
          <w:bCs/>
          <w:color w:val="1F3A5F"/>
          <w:sz w:val="30"/>
          <w:szCs w:val="30"/>
        </w:rPr>
        <w:t xml:space="preserve">2. Global Extraction Rules</w:t>
      </w:r>
    </w:p>
    <w:p>
      <w:pPr>
        <w:pStyle w:val="ListParagraph"/>
        <w:numPr>
          <w:ilvl w:val="0"/>
          <w:numId w:val="2"/>
        </w:numPr>
        <w:spacing w:after="80"/>
      </w:pPr>
      <w:r>
        <w:rPr>
          <w:b/>
          <w:bCs/>
          <w:sz w:val="21"/>
          <w:szCs w:val="21"/>
        </w:rPr>
        <w:t xml:space="preserve">Verbatim values first. </w:t>
      </w:r>
      <w:r>
        <w:rPr>
          <w:sz w:val="21"/>
          <w:szCs w:val="21"/>
        </w:rPr>
        <w:t xml:space="preserve">Report the value exactly as stated (number, unit, error term). Never recalculate or round unless performing an explicitly labeled unit conversion.</w:t>
      </w:r>
    </w:p>
    <w:p>
      <w:pPr>
        <w:pStyle w:val="ListParagraph"/>
        <w:numPr>
          <w:ilvl w:val="0"/>
          <w:numId w:val="2"/>
        </w:numPr>
        <w:spacing w:after="80"/>
      </w:pPr>
      <w:r>
        <w:rPr>
          <w:b/>
          <w:bCs/>
          <w:sz w:val="21"/>
          <w:szCs w:val="21"/>
        </w:rPr>
        <w:t xml:space="preserve">Units. </w:t>
      </w:r>
      <w:r>
        <w:rPr>
          <w:sz w:val="21"/>
          <w:szCs w:val="21"/>
        </w:rPr>
        <w:t xml:space="preserve">Always capture the unit as reported. Where units are non-standard, additionally provide the value converted to the preferred unit in the taxonomy, labeled “converted”.</w:t>
      </w:r>
    </w:p>
    <w:p>
      <w:pPr>
        <w:pStyle w:val="ListParagraph"/>
        <w:numPr>
          <w:ilvl w:val="0"/>
          <w:numId w:val="2"/>
        </w:numPr>
        <w:spacing w:after="80"/>
      </w:pPr>
      <w:r>
        <w:rPr>
          <w:b/>
          <w:bCs/>
          <w:sz w:val="21"/>
          <w:szCs w:val="21"/>
        </w:rPr>
        <w:t xml:space="preserve">Error and variability. </w:t>
      </w:r>
      <w:r>
        <w:rPr>
          <w:sz w:val="21"/>
          <w:szCs w:val="21"/>
        </w:rPr>
        <w:t xml:space="preserve">Capture the dispersion metric exactly (SD, SEM, CV%, 90% CI, geometric CV, range, IQR) and identify which it is. Note whether means are arithmetic or geometric.</w:t>
      </w:r>
    </w:p>
    <w:p>
      <w:pPr>
        <w:pStyle w:val="ListParagraph"/>
        <w:numPr>
          <w:ilvl w:val="0"/>
          <w:numId w:val="2"/>
        </w:numPr>
        <w:spacing w:after="80"/>
      </w:pPr>
      <w:r>
        <w:rPr>
          <w:b/>
          <w:bCs/>
          <w:sz w:val="21"/>
          <w:szCs w:val="21"/>
        </w:rPr>
        <w:t xml:space="preserve">Context tags. </w:t>
      </w:r>
      <w:r>
        <w:rPr>
          <w:sz w:val="21"/>
          <w:szCs w:val="21"/>
        </w:rPr>
        <w:t xml:space="preserve">Every value must carry: species/population, matrix (plasma, serum, whole blood, tissue, urine), dose and units, route, formulation/vehicle ID, fed/fasted state, single vs. multiple dose, day of measurement, analytical method (e.g., LC-MS/MS, ELISA), and n (subjects/animals).</w:t>
      </w:r>
    </w:p>
    <w:p>
      <w:pPr>
        <w:pStyle w:val="ListParagraph"/>
        <w:numPr>
          <w:ilvl w:val="0"/>
          <w:numId w:val="2"/>
        </w:numPr>
        <w:spacing w:after="80"/>
      </w:pPr>
      <w:r>
        <w:rPr>
          <w:b/>
          <w:bCs/>
          <w:sz w:val="21"/>
          <w:szCs w:val="21"/>
        </w:rPr>
        <w:t xml:space="preserve">Missing data. </w:t>
      </w:r>
      <w:r>
        <w:rPr>
          <w:sz w:val="21"/>
          <w:szCs w:val="21"/>
        </w:rPr>
        <w:t xml:space="preserve">If a parameter is not reported, output “NR”. If reported but ambiguous, output “AMBIG” with a note. Never impute, estimate, or infer a value.</w:t>
      </w:r>
    </w:p>
    <w:p>
      <w:pPr>
        <w:pStyle w:val="ListParagraph"/>
        <w:numPr>
          <w:ilvl w:val="0"/>
          <w:numId w:val="2"/>
        </w:numPr>
        <w:spacing w:after="80"/>
      </w:pPr>
      <w:r>
        <w:rPr>
          <w:b/>
          <w:bCs/>
          <w:sz w:val="21"/>
          <w:szCs w:val="21"/>
        </w:rPr>
        <w:t xml:space="preserve">Provenance. </w:t>
      </w:r>
      <w:r>
        <w:rPr>
          <w:sz w:val="21"/>
          <w:szCs w:val="21"/>
        </w:rPr>
        <w:t xml:space="preserve">For every value, cite the exact location: page, table/figure number, or section heading.</w:t>
      </w:r>
    </w:p>
    <w:p>
      <w:pPr>
        <w:pStyle w:val="ListParagraph"/>
        <w:numPr>
          <w:ilvl w:val="0"/>
          <w:numId w:val="2"/>
        </w:numPr>
        <w:spacing w:after="80"/>
      </w:pPr>
      <w:r>
        <w:rPr>
          <w:b/>
          <w:bCs/>
          <w:sz w:val="21"/>
          <w:szCs w:val="21"/>
        </w:rPr>
        <w:t xml:space="preserve">Multiple values. </w:t>
      </w:r>
      <w:r>
        <w:rPr>
          <w:sz w:val="21"/>
          <w:szCs w:val="21"/>
        </w:rPr>
        <w:t xml:space="preserve">If a parameter is reported for several doses, timepoints, cohorts, or studies, extract each as a separate row — do not average across them.</w:t>
      </w:r>
    </w:p>
    <w:p>
      <w:pPr>
        <w:pStyle w:val="ListParagraph"/>
        <w:numPr>
          <w:ilvl w:val="0"/>
          <w:numId w:val="2"/>
        </w:numPr>
        <w:spacing w:after="80"/>
      </w:pPr>
      <w:r>
        <w:rPr>
          <w:b/>
          <w:bCs/>
          <w:sz w:val="21"/>
          <w:szCs w:val="21"/>
        </w:rPr>
        <w:t xml:space="preserve">Modality flag. </w:t>
      </w:r>
      <w:r>
        <w:rPr>
          <w:sz w:val="21"/>
          <w:szCs w:val="21"/>
        </w:rPr>
        <w:t xml:space="preserve">Classify the compound as small molecule, peptide, protein/mAb, ADC, oligonucleotide, cell/gene therapy, or other. Complete the modality-specific section that applies and mark the others “N/A”.</w:t>
      </w:r>
    </w:p>
    <w:p>
      <w:pPr>
        <w:pStyle w:val="ListParagraph"/>
        <w:numPr>
          <w:ilvl w:val="0"/>
          <w:numId w:val="2"/>
        </w:numPr>
        <w:spacing w:after="80"/>
      </w:pPr>
      <w:r>
        <w:rPr>
          <w:b/>
          <w:bCs/>
          <w:sz w:val="21"/>
          <w:szCs w:val="21"/>
        </w:rPr>
        <w:t xml:space="preserve">Confidence. </w:t>
      </w:r>
      <w:r>
        <w:rPr>
          <w:sz w:val="21"/>
          <w:szCs w:val="21"/>
        </w:rPr>
        <w:t xml:space="preserve">Assign each value High (explicit numeric in table/text), Medium (read from a figure), or Low (derived or inferred by the source authors).</w:t>
      </w:r>
    </w:p>
    <w:p>
      <w:pPr>
        <w:pStyle w:val="ListParagraph"/>
        <w:numPr>
          <w:ilvl w:val="0"/>
          <w:numId w:val="2"/>
        </w:numPr>
        <w:spacing w:after="80"/>
      </w:pPr>
      <w:r>
        <w:rPr>
          <w:b/>
          <w:bCs/>
          <w:sz w:val="21"/>
          <w:szCs w:val="21"/>
        </w:rPr>
        <w:t xml:space="preserve">No fabrication. </w:t>
      </w:r>
      <w:r>
        <w:rPr>
          <w:sz w:val="21"/>
          <w:szCs w:val="21"/>
        </w:rPr>
        <w:t xml:space="preserve">If unsure, mark AMBIG. An empty field is always preferable to a guessed one.</w:t>
      </w:r>
    </w:p>
    <w:p>
      <w:pPr>
        <w:pStyle w:val="ListParagraph"/>
        <w:numPr>
          <w:ilvl w:val="0"/>
          <w:numId w:val="2"/>
        </w:numPr>
        <w:spacing w:after="80"/>
      </w:pPr>
      <w:r>
        <w:rPr>
          <w:b/>
          <w:bCs/>
          <w:sz w:val="21"/>
          <w:szCs w:val="21"/>
        </w:rPr>
        <w:t xml:space="preserve">Registry and database identifiers. </w:t>
      </w:r>
      <w:r>
        <w:rPr>
          <w:sz w:val="21"/>
          <w:szCs w:val="21"/>
        </w:rPr>
        <w:t xml:space="preserve">When the source references a database or registry record, capture the identifier verbatim: CTIS / EudraCT number, ISRCTN, jRCT, ChiCTR, CTRI, ANZCTR, DRKS, or other WHO ICTRP registry ID; EPAR / AusPAR / PMDA review report reference; ChEMBL, DrugBank, KEGG, or UNII accession. Record the database name and jurisdiction alongside the ID (see Appendix A).</w:t>
      </w:r>
    </w:p>
    <w:p>
      <w:pPr>
        <w:pStyle w:val="Heading1"/>
        <w:spacing w:after="140" w:before="320"/>
      </w:pPr>
      <w:r>
        <w:rPr>
          <w:b/>
          <w:bCs/>
          <w:color w:val="1F3A5F"/>
          <w:sz w:val="30"/>
          <w:szCs w:val="30"/>
        </w:rPr>
        <w:t xml:space="preserve">3. Parameter Envelope</w:t>
      </w:r>
    </w:p>
    <w:p>
      <w:pPr>
        <w:pStyle w:val="Heading2"/>
        <w:spacing w:after="120" w:before="260"/>
      </w:pPr>
      <w:r>
        <w:rPr>
          <w:b/>
          <w:bCs/>
          <w:color w:val="1F3A5F"/>
          <w:sz w:val="25"/>
          <w:szCs w:val="25"/>
        </w:rPr>
        <w:t xml:space="preserve">A. Compound Identification and Physicochemical Properties</w:t>
      </w:r>
    </w:p>
    <w:p>
      <w:pPr>
        <w:pStyle w:val="ListParagraph"/>
        <w:numPr>
          <w:ilvl w:val="0"/>
          <w:numId w:val="3"/>
        </w:numPr>
        <w:spacing w:after="60"/>
      </w:pPr>
      <w:r>
        <w:rPr>
          <w:sz w:val="21"/>
          <w:szCs w:val="21"/>
        </w:rPr>
        <w:t xml:space="preserve">Compound name / code; synonyms; CAS or UNII if given</w:t>
      </w:r>
    </w:p>
    <w:p>
      <w:pPr>
        <w:pStyle w:val="ListParagraph"/>
        <w:numPr>
          <w:ilvl w:val="0"/>
          <w:numId w:val="3"/>
        </w:numPr>
        <w:spacing w:after="60"/>
      </w:pPr>
      <w:r>
        <w:rPr>
          <w:sz w:val="21"/>
          <w:szCs w:val="21"/>
        </w:rPr>
        <w:t xml:space="preserve">Modality class; target; mechanism of action (one line)</w:t>
      </w:r>
    </w:p>
    <w:p>
      <w:pPr>
        <w:pStyle w:val="ListParagraph"/>
        <w:numPr>
          <w:ilvl w:val="0"/>
          <w:numId w:val="3"/>
        </w:numPr>
        <w:spacing w:after="60"/>
      </w:pPr>
      <w:r>
        <w:rPr>
          <w:sz w:val="21"/>
          <w:szCs w:val="21"/>
        </w:rPr>
        <w:t xml:space="preserve">Molecular weight (Da); molecular formula</w:t>
      </w:r>
    </w:p>
    <w:p>
      <w:pPr>
        <w:pStyle w:val="ListParagraph"/>
        <w:numPr>
          <w:ilvl w:val="0"/>
          <w:numId w:val="3"/>
        </w:numPr>
        <w:spacing w:after="60"/>
      </w:pPr>
      <w:r>
        <w:rPr>
          <w:sz w:val="21"/>
          <w:szCs w:val="21"/>
        </w:rPr>
        <w:t xml:space="preserve">logP / logD (state pH); pKa for each ionizable group (acid/base)</w:t>
      </w:r>
    </w:p>
    <w:p>
      <w:pPr>
        <w:pStyle w:val="ListParagraph"/>
        <w:numPr>
          <w:ilvl w:val="0"/>
          <w:numId w:val="3"/>
        </w:numPr>
        <w:spacing w:after="60"/>
      </w:pPr>
      <w:r>
        <w:rPr>
          <w:sz w:val="21"/>
          <w:szCs w:val="21"/>
        </w:rPr>
        <w:t xml:space="preserve">Topological polar surface area (Å²); H-bond donors / acceptors; rotatable bonds</w:t>
      </w:r>
    </w:p>
    <w:p>
      <w:pPr>
        <w:pStyle w:val="ListParagraph"/>
        <w:numPr>
          <w:ilvl w:val="0"/>
          <w:numId w:val="3"/>
        </w:numPr>
        <w:spacing w:after="60"/>
      </w:pPr>
      <w:r>
        <w:rPr>
          <w:sz w:val="21"/>
          <w:szCs w:val="21"/>
        </w:rPr>
        <w:t xml:space="preserve">Aqueous solubility (mg/mL; state pH and medium — buffer, FaSSIF, FeSSIF, SGF); intrinsic solubility</w:t>
      </w:r>
    </w:p>
    <w:p>
      <w:pPr>
        <w:pStyle w:val="ListParagraph"/>
        <w:numPr>
          <w:ilvl w:val="0"/>
          <w:numId w:val="3"/>
        </w:numPr>
        <w:spacing w:after="60"/>
      </w:pPr>
      <w:r>
        <w:rPr>
          <w:sz w:val="21"/>
          <w:szCs w:val="21"/>
        </w:rPr>
        <w:t xml:space="preserve">BCS class; DCS class if stated; permeability class and basis</w:t>
      </w:r>
    </w:p>
    <w:p>
      <w:pPr>
        <w:pStyle w:val="ListParagraph"/>
        <w:numPr>
          <w:ilvl w:val="0"/>
          <w:numId w:val="3"/>
        </w:numPr>
        <w:spacing w:after="60"/>
      </w:pPr>
      <w:r>
        <w:rPr>
          <w:sz w:val="21"/>
          <w:szCs w:val="21"/>
        </w:rPr>
        <w:t xml:space="preserve">Melting point; polymorph / salt / co-crystal form; crystallinity; hygroscopicity</w:t>
      </w:r>
    </w:p>
    <w:p>
      <w:pPr>
        <w:pStyle w:val="ListParagraph"/>
        <w:numPr>
          <w:ilvl w:val="0"/>
          <w:numId w:val="3"/>
        </w:numPr>
        <w:spacing w:after="60"/>
      </w:pPr>
      <w:r>
        <w:rPr>
          <w:sz w:val="21"/>
          <w:szCs w:val="21"/>
        </w:rPr>
        <w:t xml:space="preserve">Chemical stability: pH-stability profile, photostability, oxidation/hydrolysis liabilities</w:t>
      </w:r>
    </w:p>
    <w:p>
      <w:pPr>
        <w:pStyle w:val="ListParagraph"/>
        <w:numPr>
          <w:ilvl w:val="0"/>
          <w:numId w:val="3"/>
        </w:numPr>
        <w:spacing w:after="60"/>
      </w:pPr>
      <w:r>
        <w:rPr>
          <w:sz w:val="21"/>
          <w:szCs w:val="21"/>
        </w:rPr>
        <w:t xml:space="preserve">Chirality / stereochemistry; enantiomeric purity</w:t>
      </w:r>
    </w:p>
    <w:p>
      <w:pPr>
        <w:pStyle w:val="Heading2"/>
        <w:spacing w:after="120" w:before="260"/>
      </w:pPr>
      <w:r>
        <w:rPr>
          <w:b/>
          <w:bCs/>
          <w:color w:val="1F3A5F"/>
          <w:sz w:val="25"/>
          <w:szCs w:val="25"/>
        </w:rPr>
        <w:t xml:space="preserve">B. Formulation Attributes</w:t>
      </w:r>
    </w:p>
    <w:p>
      <w:pPr>
        <w:pStyle w:val="ListParagraph"/>
        <w:numPr>
          <w:ilvl w:val="0"/>
          <w:numId w:val="3"/>
        </w:numPr>
        <w:spacing w:after="60"/>
      </w:pPr>
      <w:r>
        <w:rPr>
          <w:sz w:val="21"/>
          <w:szCs w:val="21"/>
        </w:rPr>
        <w:t xml:space="preserve">Dosage form and route (oral IR/MR, IV, SC, IM, inhaled, transdermal, ocular, intrathecal, etc.)</w:t>
      </w:r>
    </w:p>
    <w:p>
      <w:pPr>
        <w:pStyle w:val="ListParagraph"/>
        <w:numPr>
          <w:ilvl w:val="0"/>
          <w:numId w:val="3"/>
        </w:numPr>
        <w:spacing w:after="60"/>
      </w:pPr>
      <w:r>
        <w:rPr>
          <w:sz w:val="21"/>
          <w:szCs w:val="21"/>
        </w:rPr>
        <w:t xml:space="preserve">Formulation ID / batch; composition (API strength, excipients and grades, % w/w)</w:t>
      </w:r>
    </w:p>
    <w:p>
      <w:pPr>
        <w:pStyle w:val="ListParagraph"/>
        <w:numPr>
          <w:ilvl w:val="0"/>
          <w:numId w:val="3"/>
        </w:numPr>
        <w:spacing w:after="60"/>
      </w:pPr>
      <w:r>
        <w:rPr>
          <w:sz w:val="21"/>
          <w:szCs w:val="21"/>
        </w:rPr>
        <w:t xml:space="preserve">Enabling technology: amorphous solid dispersion, nanosuspension, lipid-based, cyclodextrin, liposome, LNP, microsphere/depot, prodrug</w:t>
      </w:r>
    </w:p>
    <w:p>
      <w:pPr>
        <w:pStyle w:val="ListParagraph"/>
        <w:numPr>
          <w:ilvl w:val="0"/>
          <w:numId w:val="3"/>
        </w:numPr>
        <w:spacing w:after="60"/>
      </w:pPr>
      <w:r>
        <w:rPr>
          <w:sz w:val="21"/>
          <w:szCs w:val="21"/>
        </w:rPr>
        <w:t xml:space="preserve">Particle size distribution (D10/D50/D90); polydispersity index; zeta potential</w:t>
      </w:r>
    </w:p>
    <w:p>
      <w:pPr>
        <w:pStyle w:val="ListParagraph"/>
        <w:numPr>
          <w:ilvl w:val="0"/>
          <w:numId w:val="3"/>
        </w:numPr>
        <w:spacing w:after="60"/>
      </w:pPr>
      <w:r>
        <w:rPr>
          <w:sz w:val="21"/>
          <w:szCs w:val="21"/>
        </w:rPr>
        <w:t xml:space="preserve">Dissolution profile (medium, apparatus, % released vs. time; f2 similarity if compared); disintegration time</w:t>
      </w:r>
    </w:p>
    <w:p>
      <w:pPr>
        <w:pStyle w:val="ListParagraph"/>
        <w:numPr>
          <w:ilvl w:val="0"/>
          <w:numId w:val="3"/>
        </w:numPr>
        <w:spacing w:after="60"/>
      </w:pPr>
      <w:r>
        <w:rPr>
          <w:sz w:val="21"/>
          <w:szCs w:val="21"/>
        </w:rPr>
        <w:t xml:space="preserve">pH; osmolality (mOsm/kg); viscosity (cP; note shear rate); density</w:t>
      </w:r>
    </w:p>
    <w:p>
      <w:pPr>
        <w:pStyle w:val="ListParagraph"/>
        <w:numPr>
          <w:ilvl w:val="0"/>
          <w:numId w:val="3"/>
        </w:numPr>
        <w:spacing w:after="60"/>
      </w:pPr>
      <w:r>
        <w:rPr>
          <w:sz w:val="21"/>
          <w:szCs w:val="21"/>
        </w:rPr>
        <w:t xml:space="preserve">Drug loading; encapsulation efficiency (%); injection volume; injectability / syringeability force</w:t>
      </w:r>
    </w:p>
    <w:p>
      <w:pPr>
        <w:pStyle w:val="ListParagraph"/>
        <w:numPr>
          <w:ilvl w:val="0"/>
          <w:numId w:val="3"/>
        </w:numPr>
        <w:spacing w:after="60"/>
      </w:pPr>
      <w:r>
        <w:rPr>
          <w:sz w:val="21"/>
          <w:szCs w:val="21"/>
        </w:rPr>
        <w:t xml:space="preserve">Preservative / antioxidant / surfactant content</w:t>
      </w:r>
    </w:p>
    <w:p>
      <w:pPr>
        <w:pStyle w:val="ListParagraph"/>
        <w:numPr>
          <w:ilvl w:val="0"/>
          <w:numId w:val="3"/>
        </w:numPr>
        <w:spacing w:after="60"/>
      </w:pPr>
      <w:r>
        <w:rPr>
          <w:sz w:val="21"/>
          <w:szCs w:val="21"/>
        </w:rPr>
        <w:t xml:space="preserve">Stability data (condition, duration, assay %, impurity/degradant %, physical stability); freeze/thaw tolerance</w:t>
      </w:r>
    </w:p>
    <w:p>
      <w:pPr>
        <w:pStyle w:val="ListParagraph"/>
        <w:numPr>
          <w:ilvl w:val="0"/>
          <w:numId w:val="3"/>
        </w:numPr>
        <w:spacing w:after="60"/>
      </w:pPr>
      <w:r>
        <w:rPr>
          <w:sz w:val="21"/>
          <w:szCs w:val="21"/>
        </w:rPr>
        <w:t xml:space="preserve">Storage conditions; shelf life; in-use stability; container closure; diluent/admixture compatibility</w:t>
      </w:r>
    </w:p>
    <w:p>
      <w:pPr>
        <w:pStyle w:val="Heading2"/>
        <w:spacing w:after="120" w:before="260"/>
      </w:pPr>
      <w:r>
        <w:rPr>
          <w:b/>
          <w:bCs/>
          <w:color w:val="1F3A5F"/>
          <w:sz w:val="25"/>
          <w:szCs w:val="25"/>
        </w:rPr>
        <w:t xml:space="preserve">C. Pharmacokinetics (In Vivo)</w:t>
      </w:r>
    </w:p>
    <w:p>
      <w:pPr>
        <w:pStyle w:val="Heading3"/>
        <w:spacing w:after="100" w:before="200"/>
      </w:pPr>
      <w:r>
        <w:rPr>
          <w:b/>
          <w:bCs/>
          <w:color w:val="555555"/>
          <w:sz w:val="22"/>
          <w:szCs w:val="22"/>
        </w:rPr>
        <w:t xml:space="preserve">C1. Absorption</w:t>
      </w:r>
    </w:p>
    <w:p>
      <w:pPr>
        <w:pStyle w:val="ListParagraph"/>
        <w:numPr>
          <w:ilvl w:val="0"/>
          <w:numId w:val="3"/>
        </w:numPr>
        <w:spacing w:after="60"/>
      </w:pPr>
      <w:r>
        <w:rPr>
          <w:sz w:val="21"/>
          <w:szCs w:val="21"/>
        </w:rPr>
        <w:t xml:space="preserve">Cmax (ng/mL or µg/mL); Tmax (h); lag time tlag (h)</w:t>
      </w:r>
    </w:p>
    <w:p>
      <w:pPr>
        <w:pStyle w:val="ListParagraph"/>
        <w:numPr>
          <w:ilvl w:val="0"/>
          <w:numId w:val="3"/>
        </w:numPr>
        <w:spacing w:after="60"/>
      </w:pPr>
      <w:r>
        <w:rPr>
          <w:sz w:val="21"/>
          <w:szCs w:val="21"/>
        </w:rPr>
        <w:t xml:space="preserve">Absolute bioavailability F (%); relative bioavailability Frel (%)</w:t>
      </w:r>
    </w:p>
    <w:p>
      <w:pPr>
        <w:pStyle w:val="ListParagraph"/>
        <w:numPr>
          <w:ilvl w:val="0"/>
          <w:numId w:val="3"/>
        </w:numPr>
        <w:spacing w:after="60"/>
      </w:pPr>
      <w:r>
        <w:rPr>
          <w:sz w:val="21"/>
          <w:szCs w:val="21"/>
        </w:rPr>
        <w:t xml:space="preserve">Absorption rate constant ka (1/h); fraction absorbed fa; gut and hepatic availability Fg, Fh</w:t>
      </w:r>
    </w:p>
    <w:p>
      <w:pPr>
        <w:pStyle w:val="ListParagraph"/>
        <w:numPr>
          <w:ilvl w:val="0"/>
          <w:numId w:val="3"/>
        </w:numPr>
        <w:spacing w:after="60"/>
      </w:pPr>
      <w:r>
        <w:rPr>
          <w:sz w:val="21"/>
          <w:szCs w:val="21"/>
        </w:rPr>
        <w:t xml:space="preserve">Food effect: fed/fasted ratio of AUC and Cmax, with confidence interval</w:t>
      </w:r>
    </w:p>
    <w:p>
      <w:pPr>
        <w:pStyle w:val="ListParagraph"/>
        <w:numPr>
          <w:ilvl w:val="0"/>
          <w:numId w:val="3"/>
        </w:numPr>
        <w:spacing w:after="60"/>
      </w:pPr>
      <w:r>
        <w:rPr>
          <w:sz w:val="21"/>
          <w:szCs w:val="21"/>
        </w:rPr>
        <w:t xml:space="preserve">pH-dependent absorption / effect of acid-reducing agents</w:t>
      </w:r>
    </w:p>
    <w:p>
      <w:pPr>
        <w:pStyle w:val="ListParagraph"/>
        <w:numPr>
          <w:ilvl w:val="0"/>
          <w:numId w:val="3"/>
        </w:numPr>
        <w:spacing w:after="60"/>
      </w:pPr>
      <w:r>
        <w:rPr>
          <w:sz w:val="21"/>
          <w:szCs w:val="21"/>
        </w:rPr>
        <w:t xml:space="preserve">Absorption site / regional absorption; gastric-emptying dependence</w:t>
      </w:r>
    </w:p>
    <w:p>
      <w:pPr>
        <w:pStyle w:val="ListParagraph"/>
        <w:numPr>
          <w:ilvl w:val="0"/>
          <w:numId w:val="3"/>
        </w:numPr>
        <w:spacing w:after="60"/>
      </w:pPr>
      <w:r>
        <w:rPr>
          <w:sz w:val="21"/>
          <w:szCs w:val="21"/>
        </w:rPr>
        <w:t xml:space="preserve">For SC/IM: bioavailability; absorption-limited (flip-flop) kinetics flag</w:t>
      </w:r>
    </w:p>
    <w:p>
      <w:pPr>
        <w:pStyle w:val="Heading3"/>
        <w:spacing w:after="100" w:before="200"/>
      </w:pPr>
      <w:r>
        <w:rPr>
          <w:b/>
          <w:bCs/>
          <w:color w:val="555555"/>
          <w:sz w:val="22"/>
          <w:szCs w:val="22"/>
        </w:rPr>
        <w:t xml:space="preserve">C2. Exposure</w:t>
      </w:r>
    </w:p>
    <w:p>
      <w:pPr>
        <w:pStyle w:val="ListParagraph"/>
        <w:numPr>
          <w:ilvl w:val="0"/>
          <w:numId w:val="3"/>
        </w:numPr>
        <w:spacing w:after="60"/>
      </w:pPr>
      <w:r>
        <w:rPr>
          <w:sz w:val="21"/>
          <w:szCs w:val="21"/>
        </w:rPr>
        <w:t xml:space="preserve">AUC0–t, AUC0–inf, AUC0–tau (ng·h/mL); % AUC extrapolated</w:t>
      </w:r>
    </w:p>
    <w:p>
      <w:pPr>
        <w:pStyle w:val="ListParagraph"/>
        <w:numPr>
          <w:ilvl w:val="0"/>
          <w:numId w:val="3"/>
        </w:numPr>
        <w:spacing w:after="60"/>
      </w:pPr>
      <w:r>
        <w:rPr>
          <w:sz w:val="21"/>
          <w:szCs w:val="21"/>
        </w:rPr>
        <w:t xml:space="preserve">Cmax, Cmin/Ctrough, Cavg at steady state; time to steady state</w:t>
      </w:r>
    </w:p>
    <w:p>
      <w:pPr>
        <w:pStyle w:val="ListParagraph"/>
        <w:numPr>
          <w:ilvl w:val="0"/>
          <w:numId w:val="3"/>
        </w:numPr>
        <w:spacing w:after="60"/>
      </w:pPr>
      <w:r>
        <w:rPr>
          <w:sz w:val="21"/>
          <w:szCs w:val="21"/>
        </w:rPr>
        <w:t xml:space="preserve">Accumulation ratio (Rac); peak–trough fluctuation (%)</w:t>
      </w:r>
    </w:p>
    <w:p>
      <w:pPr>
        <w:pStyle w:val="ListParagraph"/>
        <w:numPr>
          <w:ilvl w:val="0"/>
          <w:numId w:val="3"/>
        </w:numPr>
        <w:spacing w:after="60"/>
      </w:pPr>
      <w:r>
        <w:rPr>
          <w:sz w:val="21"/>
          <w:szCs w:val="21"/>
        </w:rPr>
        <w:t xml:space="preserve">Dose proportionality (range tested, conclusion, power-model β if given)</w:t>
      </w:r>
    </w:p>
    <w:p>
      <w:pPr>
        <w:pStyle w:val="ListParagraph"/>
        <w:numPr>
          <w:ilvl w:val="0"/>
          <w:numId w:val="3"/>
        </w:numPr>
        <w:spacing w:after="60"/>
      </w:pPr>
      <w:r>
        <w:rPr>
          <w:sz w:val="21"/>
          <w:szCs w:val="21"/>
        </w:rPr>
        <w:t xml:space="preserve">Linearity vs. nonlinearity, with mechanism if stated (saturable absorption, TMDD, saturable clearance)</w:t>
      </w:r>
    </w:p>
    <w:p>
      <w:pPr>
        <w:pStyle w:val="Heading3"/>
        <w:spacing w:after="100" w:before="200"/>
      </w:pPr>
      <w:r>
        <w:rPr>
          <w:b/>
          <w:bCs/>
          <w:color w:val="555555"/>
          <w:sz w:val="22"/>
          <w:szCs w:val="22"/>
        </w:rPr>
        <w:t xml:space="preserve">C3. Distribution</w:t>
      </w:r>
    </w:p>
    <w:p>
      <w:pPr>
        <w:pStyle w:val="ListParagraph"/>
        <w:numPr>
          <w:ilvl w:val="0"/>
          <w:numId w:val="3"/>
        </w:numPr>
        <w:spacing w:after="60"/>
      </w:pPr>
      <w:r>
        <w:rPr>
          <w:sz w:val="21"/>
          <w:szCs w:val="21"/>
        </w:rPr>
        <w:t xml:space="preserve">Volumes of distribution: Vd, Vc, Vss, Vz (L or L/kg)</w:t>
      </w:r>
    </w:p>
    <w:p>
      <w:pPr>
        <w:pStyle w:val="ListParagraph"/>
        <w:numPr>
          <w:ilvl w:val="0"/>
          <w:numId w:val="3"/>
        </w:numPr>
        <w:spacing w:after="60"/>
      </w:pPr>
      <w:r>
        <w:rPr>
          <w:sz w:val="21"/>
          <w:szCs w:val="21"/>
        </w:rPr>
        <w:t xml:space="preserve">Plasma protein binding (% bound; fu); binding proteins (albumin, AAG); concentration dependence</w:t>
      </w:r>
    </w:p>
    <w:p>
      <w:pPr>
        <w:pStyle w:val="ListParagraph"/>
        <w:numPr>
          <w:ilvl w:val="0"/>
          <w:numId w:val="3"/>
        </w:numPr>
        <w:spacing w:after="60"/>
      </w:pPr>
      <w:r>
        <w:rPr>
          <w:sz w:val="21"/>
          <w:szCs w:val="21"/>
        </w:rPr>
        <w:t xml:space="preserve">Blood-to-plasma ratio (Kb/p)</w:t>
      </w:r>
    </w:p>
    <w:p>
      <w:pPr>
        <w:pStyle w:val="ListParagraph"/>
        <w:numPr>
          <w:ilvl w:val="0"/>
          <w:numId w:val="3"/>
        </w:numPr>
        <w:spacing w:after="60"/>
      </w:pPr>
      <w:r>
        <w:rPr>
          <w:sz w:val="21"/>
          <w:szCs w:val="21"/>
        </w:rPr>
        <w:t xml:space="preserve">Tissue distribution: tissue:plasma Kp by tissue; QWBA findings</w:t>
      </w:r>
    </w:p>
    <w:p>
      <w:pPr>
        <w:pStyle w:val="ListParagraph"/>
        <w:numPr>
          <w:ilvl w:val="0"/>
          <w:numId w:val="3"/>
        </w:numPr>
        <w:spacing w:after="60"/>
      </w:pPr>
      <w:r>
        <w:rPr>
          <w:sz w:val="21"/>
          <w:szCs w:val="21"/>
        </w:rPr>
        <w:t xml:space="preserve">CNS penetration: Kp,uu brain; CSF:plasma ratio; brain:plasma ratio</w:t>
      </w:r>
    </w:p>
    <w:p>
      <w:pPr>
        <w:pStyle w:val="ListParagraph"/>
        <w:numPr>
          <w:ilvl w:val="0"/>
          <w:numId w:val="3"/>
        </w:numPr>
        <w:spacing w:after="60"/>
      </w:pPr>
      <w:r>
        <w:rPr>
          <w:sz w:val="21"/>
          <w:szCs w:val="21"/>
        </w:rPr>
        <w:t xml:space="preserve">Placental transfer; milk excretion; melanin binding (if reported)</w:t>
      </w:r>
    </w:p>
    <w:p>
      <w:pPr>
        <w:pStyle w:val="Heading3"/>
        <w:spacing w:after="100" w:before="200"/>
      </w:pPr>
      <w:r>
        <w:rPr>
          <w:b/>
          <w:bCs/>
          <w:color w:val="555555"/>
          <w:sz w:val="22"/>
          <w:szCs w:val="22"/>
        </w:rPr>
        <w:t xml:space="preserve">C4. Metabolism and Elimination Kinetics</w:t>
      </w:r>
    </w:p>
    <w:p>
      <w:pPr>
        <w:pStyle w:val="ListParagraph"/>
        <w:numPr>
          <w:ilvl w:val="0"/>
          <w:numId w:val="3"/>
        </w:numPr>
        <w:spacing w:after="60"/>
      </w:pPr>
      <w:r>
        <w:rPr>
          <w:sz w:val="21"/>
          <w:szCs w:val="21"/>
        </w:rPr>
        <w:t xml:space="preserve">Total clearance CL or CL/F (L/h or mL/min/kg); hepatic extraction ratio</w:t>
      </w:r>
    </w:p>
    <w:p>
      <w:pPr>
        <w:pStyle w:val="ListParagraph"/>
        <w:numPr>
          <w:ilvl w:val="0"/>
          <w:numId w:val="3"/>
        </w:numPr>
        <w:spacing w:after="60"/>
      </w:pPr>
      <w:r>
        <w:rPr>
          <w:sz w:val="21"/>
          <w:szCs w:val="21"/>
        </w:rPr>
        <w:t xml:space="preserve">Terminal half-life t1/2 (h); effective half-life; MRT (h); kel (1/h)</w:t>
      </w:r>
    </w:p>
    <w:p>
      <w:pPr>
        <w:pStyle w:val="ListParagraph"/>
        <w:numPr>
          <w:ilvl w:val="0"/>
          <w:numId w:val="3"/>
        </w:numPr>
        <w:spacing w:after="60"/>
      </w:pPr>
      <w:r>
        <w:rPr>
          <w:sz w:val="21"/>
          <w:szCs w:val="21"/>
        </w:rPr>
        <w:t xml:space="preserve">Major metabolic pathways (oxidation, glucuronidation, hydrolysis; deamidation/proteolysis for biologics)</w:t>
      </w:r>
    </w:p>
    <w:p>
      <w:pPr>
        <w:pStyle w:val="ListParagraph"/>
        <w:numPr>
          <w:ilvl w:val="0"/>
          <w:numId w:val="3"/>
        </w:numPr>
        <w:spacing w:after="60"/>
      </w:pPr>
      <w:r>
        <w:rPr>
          <w:sz w:val="21"/>
          <w:szCs w:val="21"/>
        </w:rPr>
        <w:t xml:space="preserve">Enzymes and fractional contribution (fm): CYP1A2, 2B6, 2C8, 2C9, 2C19, 2D6, 3A4/5; UGTs; AO; FMO; CES; SULT</w:t>
      </w:r>
    </w:p>
    <w:p>
      <w:pPr>
        <w:pStyle w:val="ListParagraph"/>
        <w:numPr>
          <w:ilvl w:val="0"/>
          <w:numId w:val="3"/>
        </w:numPr>
        <w:spacing w:after="60"/>
      </w:pPr>
      <w:r>
        <w:rPr>
          <w:sz w:val="21"/>
          <w:szCs w:val="21"/>
        </w:rPr>
        <w:t xml:space="preserve">Metabolite identity, activity, and exposure (metabolite:parent AUC ratio; MIST coverage)</w:t>
      </w:r>
    </w:p>
    <w:p>
      <w:pPr>
        <w:pStyle w:val="ListParagraph"/>
        <w:numPr>
          <w:ilvl w:val="0"/>
          <w:numId w:val="3"/>
        </w:numPr>
        <w:spacing w:after="60"/>
      </w:pPr>
      <w:r>
        <w:rPr>
          <w:sz w:val="21"/>
          <w:szCs w:val="21"/>
        </w:rPr>
        <w:t xml:space="preserve">First-pass effect magnitude; enterohepatic recirculation</w:t>
      </w:r>
    </w:p>
    <w:p>
      <w:pPr>
        <w:pStyle w:val="Heading3"/>
        <w:spacing w:after="100" w:before="200"/>
      </w:pPr>
      <w:r>
        <w:rPr>
          <w:b/>
          <w:bCs/>
          <w:color w:val="555555"/>
          <w:sz w:val="22"/>
          <w:szCs w:val="22"/>
        </w:rPr>
        <w:t xml:space="preserve">C5. Excretion</w:t>
      </w:r>
    </w:p>
    <w:p>
      <w:pPr>
        <w:pStyle w:val="ListParagraph"/>
        <w:numPr>
          <w:ilvl w:val="0"/>
          <w:numId w:val="3"/>
        </w:numPr>
        <w:spacing w:after="60"/>
      </w:pPr>
      <w:r>
        <w:rPr>
          <w:sz w:val="21"/>
          <w:szCs w:val="21"/>
        </w:rPr>
        <w:t xml:space="preserve">Mass balance: % dose in urine, feces, bile, expired air; % excreted unchanged</w:t>
      </w:r>
    </w:p>
    <w:p>
      <w:pPr>
        <w:pStyle w:val="ListParagraph"/>
        <w:numPr>
          <w:ilvl w:val="0"/>
          <w:numId w:val="3"/>
        </w:numPr>
        <w:spacing w:after="60"/>
      </w:pPr>
      <w:r>
        <w:rPr>
          <w:sz w:val="21"/>
          <w:szCs w:val="21"/>
        </w:rPr>
        <w:t xml:space="preserve">Renal clearance CLr (mL/min); fe; filtration vs. secretion vs. reabsorption</w:t>
      </w:r>
    </w:p>
    <w:p>
      <w:pPr>
        <w:pStyle w:val="ListParagraph"/>
        <w:numPr>
          <w:ilvl w:val="0"/>
          <w:numId w:val="3"/>
        </w:numPr>
        <w:spacing w:after="60"/>
      </w:pPr>
      <w:r>
        <w:rPr>
          <w:sz w:val="21"/>
          <w:szCs w:val="21"/>
        </w:rPr>
        <w:t xml:space="preserve">Biliary clearance; dialyzability</w:t>
      </w:r>
    </w:p>
    <w:p>
      <w:pPr>
        <w:pStyle w:val="Heading3"/>
        <w:spacing w:after="100" w:before="200"/>
      </w:pPr>
      <w:r>
        <w:rPr>
          <w:b/>
          <w:bCs/>
          <w:color w:val="555555"/>
          <w:sz w:val="22"/>
          <w:szCs w:val="22"/>
        </w:rPr>
        <w:t xml:space="preserve">C6. PK Modeling and Variability</w:t>
      </w:r>
    </w:p>
    <w:p>
      <w:pPr>
        <w:pStyle w:val="ListParagraph"/>
        <w:numPr>
          <w:ilvl w:val="0"/>
          <w:numId w:val="3"/>
        </w:numPr>
        <w:spacing w:after="60"/>
      </w:pPr>
      <w:r>
        <w:rPr>
          <w:sz w:val="21"/>
          <w:szCs w:val="21"/>
        </w:rPr>
        <w:t xml:space="preserve">Compartmental model structure (1/2/3-compartment; absorption model; TMDD model type)</w:t>
      </w:r>
    </w:p>
    <w:p>
      <w:pPr>
        <w:pStyle w:val="ListParagraph"/>
        <w:numPr>
          <w:ilvl w:val="0"/>
          <w:numId w:val="3"/>
        </w:numPr>
        <w:spacing w:after="60"/>
      </w:pPr>
      <w:r>
        <w:rPr>
          <w:sz w:val="21"/>
          <w:szCs w:val="21"/>
        </w:rPr>
        <w:t xml:space="preserve">PopPK parameter estimates with inter-individual variability (%CV) and RSE; significant covariates (weight, age, renal function, ADA status, etc.)</w:t>
      </w:r>
    </w:p>
    <w:p>
      <w:pPr>
        <w:pStyle w:val="ListParagraph"/>
        <w:numPr>
          <w:ilvl w:val="0"/>
          <w:numId w:val="3"/>
        </w:numPr>
        <w:spacing w:after="60"/>
      </w:pPr>
      <w:r>
        <w:rPr>
          <w:sz w:val="21"/>
          <w:szCs w:val="21"/>
        </w:rPr>
        <w:t xml:space="preserve">Between-subject and within-subject variability on AUC and Cmax</w:t>
      </w:r>
    </w:p>
    <w:p>
      <w:pPr>
        <w:pStyle w:val="ListParagraph"/>
        <w:numPr>
          <w:ilvl w:val="0"/>
          <w:numId w:val="3"/>
        </w:numPr>
        <w:spacing w:after="60"/>
      </w:pPr>
      <w:r>
        <w:rPr>
          <w:sz w:val="21"/>
          <w:szCs w:val="21"/>
        </w:rPr>
        <w:t xml:space="preserve">PBPK model use and validation status</w:t>
      </w:r>
    </w:p>
    <w:p>
      <w:pPr>
        <w:pStyle w:val="Heading3"/>
        <w:spacing w:after="100" w:before="200"/>
      </w:pPr>
      <w:r>
        <w:rPr>
          <w:b/>
          <w:bCs/>
          <w:color w:val="555555"/>
          <w:sz w:val="22"/>
          <w:szCs w:val="22"/>
        </w:rPr>
        <w:t xml:space="preserve">C7. Special Populations and Intrinsic/Extrinsic Factors</w:t>
      </w:r>
    </w:p>
    <w:p>
      <w:pPr>
        <w:pStyle w:val="ListParagraph"/>
        <w:numPr>
          <w:ilvl w:val="0"/>
          <w:numId w:val="3"/>
        </w:numPr>
        <w:spacing w:after="60"/>
      </w:pPr>
      <w:r>
        <w:rPr>
          <w:sz w:val="21"/>
          <w:szCs w:val="21"/>
        </w:rPr>
        <w:t xml:space="preserve">Renal impairment (mild/moderate/severe/ESRD exposure ratios vs. normal)</w:t>
      </w:r>
    </w:p>
    <w:p>
      <w:pPr>
        <w:pStyle w:val="ListParagraph"/>
        <w:numPr>
          <w:ilvl w:val="0"/>
          <w:numId w:val="3"/>
        </w:numPr>
        <w:spacing w:after="60"/>
      </w:pPr>
      <w:r>
        <w:rPr>
          <w:sz w:val="21"/>
          <w:szCs w:val="21"/>
        </w:rPr>
        <w:t xml:space="preserve">Hepatic impairment (Child-Pugh A/B/C exposure ratios)</w:t>
      </w:r>
    </w:p>
    <w:p>
      <w:pPr>
        <w:pStyle w:val="ListParagraph"/>
        <w:numPr>
          <w:ilvl w:val="0"/>
          <w:numId w:val="3"/>
        </w:numPr>
        <w:spacing w:after="60"/>
      </w:pPr>
      <w:r>
        <w:rPr>
          <w:sz w:val="21"/>
          <w:szCs w:val="21"/>
        </w:rPr>
        <w:t xml:space="preserve">Age (pediatric, geriatric); body weight/BMI; sex; pregnancy</w:t>
      </w:r>
    </w:p>
    <w:p>
      <w:pPr>
        <w:pStyle w:val="ListParagraph"/>
        <w:numPr>
          <w:ilvl w:val="0"/>
          <w:numId w:val="3"/>
        </w:numPr>
        <w:spacing w:after="60"/>
      </w:pPr>
      <w:r>
        <w:rPr>
          <w:sz w:val="21"/>
          <w:szCs w:val="21"/>
        </w:rPr>
        <w:t xml:space="preserve">Pharmacogenomics (e.g., CYP2D6/2C19 phenotype effects)</w:t>
      </w:r>
    </w:p>
    <w:p>
      <w:pPr>
        <w:pStyle w:val="ListParagraph"/>
        <w:numPr>
          <w:ilvl w:val="0"/>
          <w:numId w:val="3"/>
        </w:numPr>
        <w:spacing w:after="60"/>
      </w:pPr>
      <w:r>
        <w:rPr>
          <w:sz w:val="21"/>
          <w:szCs w:val="21"/>
        </w:rPr>
        <w:t xml:space="preserve">DDI results as victim (AUC/Cmax ratios with index perpetrators) and as perpetrator</w:t>
      </w:r>
    </w:p>
    <w:p>
      <w:pPr>
        <w:pStyle w:val="ListParagraph"/>
        <w:numPr>
          <w:ilvl w:val="0"/>
          <w:numId w:val="3"/>
        </w:numPr>
        <w:spacing w:after="60"/>
      </w:pPr>
      <w:r>
        <w:rPr>
          <w:sz w:val="21"/>
          <w:szCs w:val="21"/>
        </w:rPr>
        <w:t xml:space="preserve">Smoking, ethnicity, and disease-state effects</w:t>
      </w:r>
    </w:p>
    <w:p>
      <w:pPr>
        <w:pStyle w:val="Heading2"/>
        <w:spacing w:after="120" w:before="260"/>
      </w:pPr>
      <w:r>
        <w:rPr>
          <w:b/>
          <w:bCs/>
          <w:color w:val="1F3A5F"/>
          <w:sz w:val="25"/>
          <w:szCs w:val="25"/>
        </w:rPr>
        <w:t xml:space="preserve">D. Pharmacodynamics</w:t>
      </w:r>
    </w:p>
    <w:p>
      <w:pPr>
        <w:pStyle w:val="Heading3"/>
        <w:spacing w:after="100" w:before="200"/>
      </w:pPr>
      <w:r>
        <w:rPr>
          <w:b/>
          <w:bCs/>
          <w:color w:val="555555"/>
          <w:sz w:val="22"/>
          <w:szCs w:val="22"/>
        </w:rPr>
        <w:t xml:space="preserve">D1. Potency and Intrinsic Activity</w:t>
      </w:r>
    </w:p>
    <w:p>
      <w:pPr>
        <w:pStyle w:val="ListParagraph"/>
        <w:numPr>
          <w:ilvl w:val="0"/>
          <w:numId w:val="3"/>
        </w:numPr>
        <w:spacing w:after="60"/>
      </w:pPr>
      <w:r>
        <w:rPr>
          <w:sz w:val="21"/>
          <w:szCs w:val="21"/>
        </w:rPr>
        <w:t xml:space="preserve">Target binding: Kd, Ki, kon, koff; residence time</w:t>
      </w:r>
    </w:p>
    <w:p>
      <w:pPr>
        <w:pStyle w:val="ListParagraph"/>
        <w:numPr>
          <w:ilvl w:val="0"/>
          <w:numId w:val="3"/>
        </w:numPr>
        <w:spacing w:after="60"/>
      </w:pPr>
      <w:r>
        <w:rPr>
          <w:sz w:val="21"/>
          <w:szCs w:val="21"/>
        </w:rPr>
        <w:t xml:space="preserve">IC50 / EC50 / ED50 (state assay system, species, protein conditions)</w:t>
      </w:r>
    </w:p>
    <w:p>
      <w:pPr>
        <w:pStyle w:val="ListParagraph"/>
        <w:numPr>
          <w:ilvl w:val="0"/>
          <w:numId w:val="3"/>
        </w:numPr>
        <w:spacing w:after="60"/>
      </w:pPr>
      <w:r>
        <w:rPr>
          <w:sz w:val="21"/>
          <w:szCs w:val="21"/>
        </w:rPr>
        <w:t xml:space="preserve">Emax / Imax; Hill coefficient (γ)</w:t>
      </w:r>
    </w:p>
    <w:p>
      <w:pPr>
        <w:pStyle w:val="ListParagraph"/>
        <w:numPr>
          <w:ilvl w:val="0"/>
          <w:numId w:val="3"/>
        </w:numPr>
        <w:spacing w:after="60"/>
      </w:pPr>
      <w:r>
        <w:rPr>
          <w:sz w:val="21"/>
          <w:szCs w:val="21"/>
        </w:rPr>
        <w:t xml:space="preserve">Selectivity margin vs. off-targets (fold selectivity)</w:t>
      </w:r>
    </w:p>
    <w:p>
      <w:pPr>
        <w:pStyle w:val="ListParagraph"/>
        <w:numPr>
          <w:ilvl w:val="0"/>
          <w:numId w:val="3"/>
        </w:numPr>
        <w:spacing w:after="60"/>
      </w:pPr>
      <w:r>
        <w:rPr>
          <w:sz w:val="21"/>
          <w:szCs w:val="21"/>
        </w:rPr>
        <w:t xml:space="preserve">Receptor occupancy vs. concentration; occupancy at Cmax and Ctrough</w:t>
      </w:r>
    </w:p>
    <w:p>
      <w:pPr>
        <w:pStyle w:val="Heading3"/>
        <w:spacing w:after="100" w:before="200"/>
      </w:pPr>
      <w:r>
        <w:rPr>
          <w:b/>
          <w:bCs/>
          <w:color w:val="555555"/>
          <w:sz w:val="22"/>
          <w:szCs w:val="22"/>
        </w:rPr>
        <w:t xml:space="preserve">D2. Exposure–Response</w:t>
      </w:r>
    </w:p>
    <w:p>
      <w:pPr>
        <w:pStyle w:val="ListParagraph"/>
        <w:numPr>
          <w:ilvl w:val="0"/>
          <w:numId w:val="3"/>
        </w:numPr>
        <w:spacing w:after="60"/>
      </w:pPr>
      <w:r>
        <w:rPr>
          <w:sz w:val="21"/>
          <w:szCs w:val="21"/>
        </w:rPr>
        <w:t xml:space="preserve">PK/PD model type: direct Emax, sigmoid Emax, indirect response I–IV, effect compartment (ke0), transit/transduction, TMDD-driven</w:t>
      </w:r>
    </w:p>
    <w:p>
      <w:pPr>
        <w:pStyle w:val="ListParagraph"/>
        <w:numPr>
          <w:ilvl w:val="0"/>
          <w:numId w:val="3"/>
        </w:numPr>
        <w:spacing w:after="60"/>
      </w:pPr>
      <w:r>
        <w:rPr>
          <w:sz w:val="21"/>
          <w:szCs w:val="21"/>
        </w:rPr>
        <w:t xml:space="preserve">In vivo EC50/IC50 (unbound where stated); free-drug-adjusted potency</w:t>
      </w:r>
    </w:p>
    <w:p>
      <w:pPr>
        <w:pStyle w:val="ListParagraph"/>
        <w:numPr>
          <w:ilvl w:val="0"/>
          <w:numId w:val="3"/>
        </w:numPr>
        <w:spacing w:after="60"/>
      </w:pPr>
      <w:r>
        <w:rPr>
          <w:sz w:val="21"/>
          <w:szCs w:val="21"/>
        </w:rPr>
        <w:t xml:space="preserve">Biomarkers: identity, assay, baseline, % change vs. dose/exposure; target-engagement metrics</w:t>
      </w:r>
    </w:p>
    <w:p>
      <w:pPr>
        <w:pStyle w:val="ListParagraph"/>
        <w:numPr>
          <w:ilvl w:val="0"/>
          <w:numId w:val="3"/>
        </w:numPr>
        <w:spacing w:after="60"/>
      </w:pPr>
      <w:r>
        <w:rPr>
          <w:sz w:val="21"/>
          <w:szCs w:val="21"/>
        </w:rPr>
        <w:t xml:space="preserve">Onset, peak, and duration of effect; hysteresis</w:t>
      </w:r>
    </w:p>
    <w:p>
      <w:pPr>
        <w:pStyle w:val="ListParagraph"/>
        <w:numPr>
          <w:ilvl w:val="0"/>
          <w:numId w:val="3"/>
        </w:numPr>
        <w:spacing w:after="60"/>
      </w:pPr>
      <w:r>
        <w:rPr>
          <w:sz w:val="21"/>
          <w:szCs w:val="21"/>
        </w:rPr>
        <w:t xml:space="preserve">Time above threshold (e.g., % time &gt; IC90); AUC/MIC, Cmax/MIC, %T&gt;MIC for anti-infectives</w:t>
      </w:r>
    </w:p>
    <w:p>
      <w:pPr>
        <w:pStyle w:val="ListParagraph"/>
        <w:numPr>
          <w:ilvl w:val="0"/>
          <w:numId w:val="3"/>
        </w:numPr>
        <w:spacing w:after="60"/>
      </w:pPr>
      <w:r>
        <w:rPr>
          <w:sz w:val="21"/>
          <w:szCs w:val="21"/>
        </w:rPr>
        <w:t xml:space="preserve">Tolerance / tachyphylaxis / sensitization; rebound on withdrawal</w:t>
      </w:r>
    </w:p>
    <w:p>
      <w:pPr>
        <w:pStyle w:val="ListParagraph"/>
        <w:numPr>
          <w:ilvl w:val="0"/>
          <w:numId w:val="3"/>
        </w:numPr>
        <w:spacing w:after="60"/>
      </w:pPr>
      <w:r>
        <w:rPr>
          <w:sz w:val="21"/>
          <w:szCs w:val="21"/>
        </w:rPr>
        <w:t xml:space="preserve">Exposure–efficacy and exposure–safety relationships (thresholds, therapeutic window)</w:t>
      </w:r>
    </w:p>
    <w:p>
      <w:pPr>
        <w:pStyle w:val="ListParagraph"/>
        <w:numPr>
          <w:ilvl w:val="0"/>
          <w:numId w:val="3"/>
        </w:numPr>
        <w:spacing w:after="60"/>
      </w:pPr>
      <w:r>
        <w:rPr>
          <w:sz w:val="21"/>
          <w:szCs w:val="21"/>
        </w:rPr>
        <w:t xml:space="preserve">Clinical endpoints linked to exposure, with effect sizes</w:t>
      </w:r>
    </w:p>
    <w:p>
      <w:pPr>
        <w:pStyle w:val="Heading2"/>
        <w:spacing w:after="120" w:before="260"/>
      </w:pPr>
      <w:r>
        <w:rPr>
          <w:b/>
          <w:bCs/>
          <w:color w:val="1F3A5F"/>
          <w:sz w:val="25"/>
          <w:szCs w:val="25"/>
        </w:rPr>
        <w:t xml:space="preserve">E. ADMET — In Vitro and In Silico</w:t>
      </w:r>
    </w:p>
    <w:p>
      <w:pPr>
        <w:pStyle w:val="Heading3"/>
        <w:spacing w:after="100" w:before="200"/>
      </w:pPr>
      <w:r>
        <w:rPr>
          <w:b/>
          <w:bCs/>
          <w:color w:val="555555"/>
          <w:sz w:val="22"/>
          <w:szCs w:val="22"/>
        </w:rPr>
        <w:t xml:space="preserve">E1. Permeability and Transporters</w:t>
      </w:r>
    </w:p>
    <w:p>
      <w:pPr>
        <w:pStyle w:val="ListParagraph"/>
        <w:numPr>
          <w:ilvl w:val="0"/>
          <w:numId w:val="3"/>
        </w:numPr>
        <w:spacing w:after="60"/>
      </w:pPr>
      <w:r>
        <w:rPr>
          <w:sz w:val="21"/>
          <w:szCs w:val="21"/>
        </w:rPr>
        <w:t xml:space="preserve">Caco-2 / MDCK Papp (A→B, B→A, ×10⁻⁶ cm/s); efflux ratio; PAMPA</w:t>
      </w:r>
    </w:p>
    <w:p>
      <w:pPr>
        <w:pStyle w:val="ListParagraph"/>
        <w:numPr>
          <w:ilvl w:val="0"/>
          <w:numId w:val="3"/>
        </w:numPr>
        <w:spacing w:after="60"/>
      </w:pPr>
      <w:r>
        <w:rPr>
          <w:sz w:val="21"/>
          <w:szCs w:val="21"/>
        </w:rPr>
        <w:t xml:space="preserve">Substrate status: P-gp (MDR1), BCRP, OATP1B1/1B3, OAT1/3, OCT2, MATE1/2-K, BSEP</w:t>
      </w:r>
    </w:p>
    <w:p>
      <w:pPr>
        <w:pStyle w:val="ListParagraph"/>
        <w:numPr>
          <w:ilvl w:val="0"/>
          <w:numId w:val="3"/>
        </w:numPr>
        <w:spacing w:after="60"/>
      </w:pPr>
      <w:r>
        <w:rPr>
          <w:sz w:val="21"/>
          <w:szCs w:val="21"/>
        </w:rPr>
        <w:t xml:space="preserve">Inhibition IC50/Ki per transporter; DDI risk flags (basic model / R-value results)</w:t>
      </w:r>
    </w:p>
    <w:p>
      <w:pPr>
        <w:pStyle w:val="Heading3"/>
        <w:spacing w:after="100" w:before="200"/>
      </w:pPr>
      <w:r>
        <w:rPr>
          <w:b/>
          <w:bCs/>
          <w:color w:val="555555"/>
          <w:sz w:val="22"/>
          <w:szCs w:val="22"/>
        </w:rPr>
        <w:t xml:space="preserve">E2. Metabolic and Matrix Stability</w:t>
      </w:r>
    </w:p>
    <w:p>
      <w:pPr>
        <w:pStyle w:val="ListParagraph"/>
        <w:numPr>
          <w:ilvl w:val="0"/>
          <w:numId w:val="3"/>
        </w:numPr>
        <w:spacing w:after="60"/>
      </w:pPr>
      <w:r>
        <w:rPr>
          <w:sz w:val="21"/>
          <w:szCs w:val="21"/>
        </w:rPr>
        <w:t xml:space="preserve">Microsomal CLint (µL/min/mg, by species); hepatocyte CLint (µL/min/10⁶ cells); in vitro t1/2</w:t>
      </w:r>
    </w:p>
    <w:p>
      <w:pPr>
        <w:pStyle w:val="ListParagraph"/>
        <w:numPr>
          <w:ilvl w:val="0"/>
          <w:numId w:val="3"/>
        </w:numPr>
        <w:spacing w:after="60"/>
      </w:pPr>
      <w:r>
        <w:rPr>
          <w:sz w:val="21"/>
          <w:szCs w:val="21"/>
        </w:rPr>
        <w:t xml:space="preserve">Predicted hepatic clearance and scaling method; IVIVE accuracy</w:t>
      </w:r>
    </w:p>
    <w:p>
      <w:pPr>
        <w:pStyle w:val="ListParagraph"/>
        <w:numPr>
          <w:ilvl w:val="0"/>
          <w:numId w:val="3"/>
        </w:numPr>
        <w:spacing w:after="60"/>
      </w:pPr>
      <w:r>
        <w:rPr>
          <w:sz w:val="21"/>
          <w:szCs w:val="21"/>
        </w:rPr>
        <w:t xml:space="preserve">Plasma / blood / matrix stability; whole-blood stability (esp. peptides, ADCs)</w:t>
      </w:r>
    </w:p>
    <w:p>
      <w:pPr>
        <w:pStyle w:val="ListParagraph"/>
        <w:numPr>
          <w:ilvl w:val="0"/>
          <w:numId w:val="3"/>
        </w:numPr>
        <w:spacing w:after="60"/>
      </w:pPr>
      <w:r>
        <w:rPr>
          <w:sz w:val="21"/>
          <w:szCs w:val="21"/>
        </w:rPr>
        <w:t xml:space="preserve">CYP inhibition (reversible IC50/Ki per isoform; time-dependent kinact/KI)</w:t>
      </w:r>
    </w:p>
    <w:p>
      <w:pPr>
        <w:pStyle w:val="ListParagraph"/>
        <w:numPr>
          <w:ilvl w:val="0"/>
          <w:numId w:val="3"/>
        </w:numPr>
        <w:spacing w:after="60"/>
      </w:pPr>
      <w:r>
        <w:rPr>
          <w:sz w:val="21"/>
          <w:szCs w:val="21"/>
        </w:rPr>
        <w:t xml:space="preserve">CYP induction (fold induction, EC50, Emax in hepatocytes; PXR/AhR activation)</w:t>
      </w:r>
    </w:p>
    <w:p>
      <w:pPr>
        <w:pStyle w:val="ListParagraph"/>
        <w:numPr>
          <w:ilvl w:val="0"/>
          <w:numId w:val="3"/>
        </w:numPr>
        <w:spacing w:after="60"/>
      </w:pPr>
      <w:r>
        <w:rPr>
          <w:sz w:val="21"/>
          <w:szCs w:val="21"/>
        </w:rPr>
        <w:t xml:space="preserve">Reactive metabolite signals (GSH trapping, covalent binding); mechanism-based inhibition flags</w:t>
      </w:r>
    </w:p>
    <w:p>
      <w:pPr>
        <w:pStyle w:val="Heading3"/>
        <w:spacing w:after="100" w:before="200"/>
      </w:pPr>
      <w:r>
        <w:rPr>
          <w:b/>
          <w:bCs/>
          <w:color w:val="555555"/>
          <w:sz w:val="22"/>
          <w:szCs w:val="22"/>
        </w:rPr>
        <w:t xml:space="preserve">E3. Safety Pharmacology and In Vitro Toxicity</w:t>
      </w:r>
    </w:p>
    <w:p>
      <w:pPr>
        <w:pStyle w:val="ListParagraph"/>
        <w:numPr>
          <w:ilvl w:val="0"/>
          <w:numId w:val="3"/>
        </w:numPr>
        <w:spacing w:after="60"/>
      </w:pPr>
      <w:r>
        <w:rPr>
          <w:sz w:val="21"/>
          <w:szCs w:val="21"/>
        </w:rPr>
        <w:t xml:space="preserve">hERG IC50 (patch clamp); Nav1.5 / Cav1.2 if tested; in vivo QTc findings; hERG margin vs. free Cmax</w:t>
      </w:r>
    </w:p>
    <w:p>
      <w:pPr>
        <w:pStyle w:val="ListParagraph"/>
        <w:numPr>
          <w:ilvl w:val="0"/>
          <w:numId w:val="3"/>
        </w:numPr>
        <w:spacing w:after="60"/>
      </w:pPr>
      <w:r>
        <w:rPr>
          <w:sz w:val="21"/>
          <w:szCs w:val="21"/>
        </w:rPr>
        <w:t xml:space="preserve">CNS, respiratory, and cardiovascular core-battery findings</w:t>
      </w:r>
    </w:p>
    <w:p>
      <w:pPr>
        <w:pStyle w:val="ListParagraph"/>
        <w:numPr>
          <w:ilvl w:val="0"/>
          <w:numId w:val="3"/>
        </w:numPr>
        <w:spacing w:after="60"/>
      </w:pPr>
      <w:r>
        <w:rPr>
          <w:sz w:val="21"/>
          <w:szCs w:val="21"/>
        </w:rPr>
        <w:t xml:space="preserve">Genotoxicity: Ames, micronucleus, chromosomal aberration (result and doses)</w:t>
      </w:r>
    </w:p>
    <w:p>
      <w:pPr>
        <w:pStyle w:val="ListParagraph"/>
        <w:numPr>
          <w:ilvl w:val="0"/>
          <w:numId w:val="3"/>
        </w:numPr>
        <w:spacing w:after="60"/>
      </w:pPr>
      <w:r>
        <w:rPr>
          <w:sz w:val="21"/>
          <w:szCs w:val="21"/>
        </w:rPr>
        <w:t xml:space="preserve">Cytotoxicity (CC50 by cell line); mitochondrial toxicity; phospholipidosis</w:t>
      </w:r>
    </w:p>
    <w:p>
      <w:pPr>
        <w:pStyle w:val="ListParagraph"/>
        <w:numPr>
          <w:ilvl w:val="0"/>
          <w:numId w:val="3"/>
        </w:numPr>
        <w:spacing w:after="60"/>
      </w:pPr>
      <w:r>
        <w:rPr>
          <w:sz w:val="21"/>
          <w:szCs w:val="21"/>
        </w:rPr>
        <w:t xml:space="preserve">Hepatotoxicity signals: DILI markers, BSEP inhibition, transaminase findings</w:t>
      </w:r>
    </w:p>
    <w:p>
      <w:pPr>
        <w:pStyle w:val="ListParagraph"/>
        <w:numPr>
          <w:ilvl w:val="0"/>
          <w:numId w:val="3"/>
        </w:numPr>
        <w:spacing w:after="60"/>
      </w:pPr>
      <w:r>
        <w:rPr>
          <w:sz w:val="21"/>
          <w:szCs w:val="21"/>
        </w:rPr>
        <w:t xml:space="preserve">Phototoxicity (3T3 NRU); hemolysis; local tolerance / injection-site findings</w:t>
      </w:r>
    </w:p>
    <w:p>
      <w:pPr>
        <w:pStyle w:val="ListParagraph"/>
        <w:numPr>
          <w:ilvl w:val="0"/>
          <w:numId w:val="3"/>
        </w:numPr>
        <w:spacing w:after="60"/>
      </w:pPr>
      <w:r>
        <w:rPr>
          <w:sz w:val="21"/>
          <w:szCs w:val="21"/>
        </w:rPr>
        <w:t xml:space="preserve">Off-target screening panel hits (e.g., CEREP/Eurofins hits &lt; 10 µM)</w:t>
      </w:r>
    </w:p>
    <w:p>
      <w:pPr>
        <w:pStyle w:val="Heading3"/>
        <w:spacing w:after="100" w:before="200"/>
      </w:pPr>
      <w:r>
        <w:rPr>
          <w:b/>
          <w:bCs/>
          <w:color w:val="555555"/>
          <w:sz w:val="22"/>
          <w:szCs w:val="22"/>
        </w:rPr>
        <w:t xml:space="preserve">E4. In Vivo Toxicology and Margins</w:t>
      </w:r>
    </w:p>
    <w:p>
      <w:pPr>
        <w:pStyle w:val="ListParagraph"/>
        <w:numPr>
          <w:ilvl w:val="0"/>
          <w:numId w:val="3"/>
        </w:numPr>
        <w:spacing w:after="60"/>
      </w:pPr>
      <w:r>
        <w:rPr>
          <w:sz w:val="21"/>
          <w:szCs w:val="21"/>
        </w:rPr>
        <w:t xml:space="preserve">Species and study durations; NOAEL / LOAEL (mg/kg/day) with exposure (AUC, Cmax) at NOAEL</w:t>
      </w:r>
    </w:p>
    <w:p>
      <w:pPr>
        <w:pStyle w:val="ListParagraph"/>
        <w:numPr>
          <w:ilvl w:val="0"/>
          <w:numId w:val="3"/>
        </w:numPr>
        <w:spacing w:after="60"/>
      </w:pPr>
      <w:r>
        <w:rPr>
          <w:sz w:val="21"/>
          <w:szCs w:val="21"/>
        </w:rPr>
        <w:t xml:space="preserve">MTD / STD10 / HNSTD as applicable</w:t>
      </w:r>
    </w:p>
    <w:p>
      <w:pPr>
        <w:pStyle w:val="ListParagraph"/>
        <w:numPr>
          <w:ilvl w:val="0"/>
          <w:numId w:val="3"/>
        </w:numPr>
        <w:spacing w:after="60"/>
      </w:pPr>
      <w:r>
        <w:rPr>
          <w:sz w:val="21"/>
          <w:szCs w:val="21"/>
        </w:rPr>
        <w:t xml:space="preserve">Target organs of toxicity; reversibility</w:t>
      </w:r>
    </w:p>
    <w:p>
      <w:pPr>
        <w:pStyle w:val="ListParagraph"/>
        <w:numPr>
          <w:ilvl w:val="0"/>
          <w:numId w:val="3"/>
        </w:numPr>
        <w:spacing w:after="60"/>
      </w:pPr>
      <w:r>
        <w:rPr>
          <w:sz w:val="21"/>
          <w:szCs w:val="21"/>
        </w:rPr>
        <w:t xml:space="preserve">Safety margins: exposure multiples at NOAEL vs. clinical exposure</w:t>
      </w:r>
    </w:p>
    <w:p>
      <w:pPr>
        <w:pStyle w:val="ListParagraph"/>
        <w:numPr>
          <w:ilvl w:val="0"/>
          <w:numId w:val="3"/>
        </w:numPr>
        <w:spacing w:after="60"/>
      </w:pPr>
      <w:r>
        <w:rPr>
          <w:sz w:val="21"/>
          <w:szCs w:val="21"/>
        </w:rPr>
        <w:t xml:space="preserve">Reproductive/developmental toxicity (fertility, EFD, PPND); juvenile toxicity; carcinogenicity</w:t>
      </w:r>
    </w:p>
    <w:p>
      <w:pPr>
        <w:pStyle w:val="ListParagraph"/>
        <w:numPr>
          <w:ilvl w:val="0"/>
          <w:numId w:val="3"/>
        </w:numPr>
        <w:spacing w:after="60"/>
      </w:pPr>
      <w:r>
        <w:rPr>
          <w:sz w:val="21"/>
          <w:szCs w:val="21"/>
        </w:rPr>
        <w:t xml:space="preserve">Immunotoxicity findings</w:t>
      </w:r>
    </w:p>
    <w:p>
      <w:pPr>
        <w:pStyle w:val="ListParagraph"/>
        <w:numPr>
          <w:ilvl w:val="0"/>
          <w:numId w:val="3"/>
        </w:numPr>
        <w:spacing w:after="60"/>
      </w:pPr>
      <w:r>
        <w:rPr>
          <w:sz w:val="21"/>
          <w:szCs w:val="21"/>
        </w:rPr>
        <w:t xml:space="preserve">Basis of maximum recommended starting dose (MRSD; MABEL if used)</w:t>
      </w:r>
    </w:p>
    <w:p>
      <w:pPr>
        <w:pStyle w:val="Heading2"/>
        <w:spacing w:after="120" w:before="260"/>
      </w:pPr>
      <w:r>
        <w:rPr>
          <w:b/>
          <w:bCs/>
          <w:color w:val="1F3A5F"/>
          <w:sz w:val="25"/>
          <w:szCs w:val="25"/>
        </w:rPr>
        <w:t xml:space="preserve">F. Modality-Specific Extensions</w:t>
      </w:r>
    </w:p>
    <w:p>
      <w:pPr>
        <w:pStyle w:val="Heading3"/>
        <w:spacing w:after="100" w:before="200"/>
      </w:pPr>
      <w:r>
        <w:rPr>
          <w:b/>
          <w:bCs/>
          <w:color w:val="555555"/>
          <w:sz w:val="22"/>
          <w:szCs w:val="22"/>
        </w:rPr>
        <w:t xml:space="preserve">F1. Biologics (Proteins, mAbs, Peptides)</w:t>
      </w:r>
    </w:p>
    <w:p>
      <w:pPr>
        <w:pStyle w:val="ListParagraph"/>
        <w:numPr>
          <w:ilvl w:val="0"/>
          <w:numId w:val="3"/>
        </w:numPr>
        <w:spacing w:after="60"/>
      </w:pPr>
      <w:r>
        <w:rPr>
          <w:sz w:val="21"/>
          <w:szCs w:val="21"/>
        </w:rPr>
        <w:t xml:space="preserve">Isotype / format / scaffold; Fc engineering (e.g., YTE, LALA)</w:t>
      </w:r>
    </w:p>
    <w:p>
      <w:pPr>
        <w:pStyle w:val="ListParagraph"/>
        <w:numPr>
          <w:ilvl w:val="0"/>
          <w:numId w:val="3"/>
        </w:numPr>
        <w:spacing w:after="60"/>
      </w:pPr>
      <w:r>
        <w:rPr>
          <w:sz w:val="21"/>
          <w:szCs w:val="21"/>
        </w:rPr>
        <w:t xml:space="preserve">FcRn binding affinity; FcγR binding profile</w:t>
      </w:r>
    </w:p>
    <w:p>
      <w:pPr>
        <w:pStyle w:val="ListParagraph"/>
        <w:numPr>
          <w:ilvl w:val="0"/>
          <w:numId w:val="3"/>
        </w:numPr>
        <w:spacing w:after="60"/>
      </w:pPr>
      <w:r>
        <w:rPr>
          <w:sz w:val="21"/>
          <w:szCs w:val="21"/>
        </w:rPr>
        <w:t xml:space="preserve">Target-mediated drug disposition: target expression, turnover (kdeg), internalization rate, KSS</w:t>
      </w:r>
    </w:p>
    <w:p>
      <w:pPr>
        <w:pStyle w:val="ListParagraph"/>
        <w:numPr>
          <w:ilvl w:val="0"/>
          <w:numId w:val="3"/>
        </w:numPr>
        <w:spacing w:after="60"/>
      </w:pPr>
      <w:r>
        <w:rPr>
          <w:sz w:val="21"/>
          <w:szCs w:val="21"/>
        </w:rPr>
        <w:t xml:space="preserve">SC bioavailability; lymphatic absorption fraction</w:t>
      </w:r>
    </w:p>
    <w:p>
      <w:pPr>
        <w:pStyle w:val="ListParagraph"/>
        <w:numPr>
          <w:ilvl w:val="0"/>
          <w:numId w:val="3"/>
        </w:numPr>
        <w:spacing w:after="60"/>
      </w:pPr>
      <w:r>
        <w:rPr>
          <w:sz w:val="21"/>
          <w:szCs w:val="21"/>
        </w:rPr>
        <w:t xml:space="preserve">Immunogenicity: ADA incidence (%), titers, neutralizing-antibody incidence, ADA impact on PK/efficacy/safety</w:t>
      </w:r>
    </w:p>
    <w:p>
      <w:pPr>
        <w:pStyle w:val="ListParagraph"/>
        <w:numPr>
          <w:ilvl w:val="0"/>
          <w:numId w:val="3"/>
        </w:numPr>
        <w:spacing w:after="60"/>
      </w:pPr>
      <w:r>
        <w:rPr>
          <w:sz w:val="21"/>
          <w:szCs w:val="21"/>
        </w:rPr>
        <w:t xml:space="preserve">Aggregation (% HMW species); fragmentation; charge variants; oxidation/deamidation hotspots</w:t>
      </w:r>
    </w:p>
    <w:p>
      <w:pPr>
        <w:pStyle w:val="ListParagraph"/>
        <w:numPr>
          <w:ilvl w:val="0"/>
          <w:numId w:val="3"/>
        </w:numPr>
        <w:spacing w:after="60"/>
      </w:pPr>
      <w:r>
        <w:rPr>
          <w:sz w:val="21"/>
          <w:szCs w:val="21"/>
        </w:rPr>
        <w:t xml:space="preserve">Glycosylation profile (afucosylation %, sialylation) where PK/PD-relevant</w:t>
      </w:r>
    </w:p>
    <w:p>
      <w:pPr>
        <w:pStyle w:val="ListParagraph"/>
        <w:numPr>
          <w:ilvl w:val="0"/>
          <w:numId w:val="3"/>
        </w:numPr>
        <w:spacing w:after="60"/>
      </w:pPr>
      <w:r>
        <w:rPr>
          <w:sz w:val="21"/>
          <w:szCs w:val="21"/>
        </w:rPr>
        <w:t xml:space="preserve">Viscosity at target concentration (high-concentration formulations)</w:t>
      </w:r>
    </w:p>
    <w:p>
      <w:pPr>
        <w:pStyle w:val="ListParagraph"/>
        <w:numPr>
          <w:ilvl w:val="0"/>
          <w:numId w:val="3"/>
        </w:numPr>
        <w:spacing w:after="60"/>
      </w:pPr>
      <w:r>
        <w:rPr>
          <w:sz w:val="21"/>
          <w:szCs w:val="21"/>
        </w:rPr>
        <w:t xml:space="preserve">Thermal stability (Tm, Tagg); colloidal stability (kD, B22)</w:t>
      </w:r>
    </w:p>
    <w:p>
      <w:pPr>
        <w:pStyle w:val="Heading3"/>
        <w:spacing w:after="100" w:before="200"/>
      </w:pPr>
      <w:r>
        <w:rPr>
          <w:b/>
          <w:bCs/>
          <w:color w:val="555555"/>
          <w:sz w:val="22"/>
          <w:szCs w:val="22"/>
        </w:rPr>
        <w:t xml:space="preserve">F2. Oligonucleotides, ADCs, and Other Modalities</w:t>
      </w:r>
    </w:p>
    <w:p>
      <w:pPr>
        <w:pStyle w:val="ListParagraph"/>
        <w:numPr>
          <w:ilvl w:val="0"/>
          <w:numId w:val="3"/>
        </w:numPr>
        <w:spacing w:after="60"/>
      </w:pPr>
      <w:r>
        <w:rPr>
          <w:sz w:val="21"/>
          <w:szCs w:val="21"/>
        </w:rPr>
        <w:t xml:space="preserve">Oligonucleotides: chemistry/backbone, conjugate (e.g., GalNAc), tissue Kp (liver/kidney), protein binding, nuclease stability, hybridization-dependent off-target assessment</w:t>
      </w:r>
    </w:p>
    <w:p>
      <w:pPr>
        <w:pStyle w:val="ListParagraph"/>
        <w:numPr>
          <w:ilvl w:val="0"/>
          <w:numId w:val="3"/>
        </w:numPr>
        <w:spacing w:after="60"/>
      </w:pPr>
      <w:r>
        <w:rPr>
          <w:sz w:val="21"/>
          <w:szCs w:val="21"/>
        </w:rPr>
        <w:t xml:space="preserve">ADCs: drug-antibody ratio (DAR), linker stability, free-payload PK, deconjugation rate</w:t>
      </w:r>
    </w:p>
    <w:p>
      <w:pPr>
        <w:pStyle w:val="ListParagraph"/>
        <w:numPr>
          <w:ilvl w:val="0"/>
          <w:numId w:val="3"/>
        </w:numPr>
        <w:spacing w:after="60"/>
      </w:pPr>
      <w:r>
        <w:rPr>
          <w:sz w:val="21"/>
          <w:szCs w:val="21"/>
        </w:rPr>
        <w:t xml:space="preserve">Cell/gene therapy: biodistribution, shedding, persistence, transduction efficiency (map to closest fields; explain in comments)</w:t>
      </w:r>
    </w:p>
    <w:p>
      <w:pPr>
        <w:pStyle w:val="Heading1"/>
        <w:spacing w:after="140" w:before="320"/>
      </w:pPr>
      <w:r>
        <w:rPr>
          <w:b/>
          <w:bCs/>
          <w:color w:val="1F3A5F"/>
          <w:sz w:val="30"/>
          <w:szCs w:val="30"/>
        </w:rPr>
        <w:t xml:space="preserve">4. Output Format</w:t>
      </w:r>
    </w:p>
    <w:p>
      <w:pPr>
        <w:spacing w:after="120"/>
      </w:pPr>
      <w:r>
        <w:rPr>
          <w:sz w:val="21"/>
          <w:szCs w:val="21"/>
        </w:rPr>
        <w:t xml:space="preserve">Return two outputs.</w:t>
      </w:r>
    </w:p>
    <w:p>
      <w:pPr>
        <w:spacing w:after="120"/>
      </w:pPr>
      <w:r>
        <w:rPr>
          <w:b/>
          <w:bCs/>
          <w:sz w:val="21"/>
          <w:szCs w:val="21"/>
        </w:rPr>
        <w:t xml:space="preserve">Output 1 — Structured extraction table, one row per parameter value, with the following fields (emit as a table, or as JSON with snake_case keys if requested):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448"/>
        <w:gridCol w:w="6911"/>
      </w:tblGrid>
      <w:tr>
        <w:trPr>
          <w:tblHeader/>
        </w:trPr>
        <w:tc>
          <w:tcPr>
            <w:tcW w:type="dxa" w:w="2448"/>
            <w:shd w:fill="1F3A5F" w:val="clear"/>
            <w:tcMar>
              <w:top w:type="dxa" w:w="60"/>
              <w:left w:type="dxa" w:w="100"/>
              <w:bottom w:type="dxa" w:w="60"/>
              <w:right w:type="dxa" w:w="100"/>
            </w:tcMar>
          </w:tcPr>
          <w:p>
            <w:r>
              <w:rPr>
                <w:b/>
                <w:bCs/>
                <w:color w:val="FFFFFF"/>
                <w:sz w:val="19"/>
                <w:szCs w:val="19"/>
              </w:rPr>
              <w:t xml:space="preserve">Field</w:t>
            </w:r>
          </w:p>
        </w:tc>
        <w:tc>
          <w:tcPr>
            <w:tcW w:type="dxa" w:w="6911"/>
            <w:shd w:fill="1F3A5F" w:val="clear"/>
            <w:tcMar>
              <w:top w:type="dxa" w:w="60"/>
              <w:left w:type="dxa" w:w="100"/>
              <w:bottom w:type="dxa" w:w="60"/>
              <w:right w:type="dxa" w:w="100"/>
            </w:tcMar>
          </w:tcPr>
          <w:p>
            <w:r>
              <w:rPr>
                <w:b/>
                <w:bCs/>
                <w:color w:val="FFFFFF"/>
                <w:sz w:val="19"/>
                <w:szCs w:val="19"/>
              </w:rPr>
              <w:t xml:space="preserve">Description</w:t>
            </w:r>
          </w:p>
        </w:tc>
      </w:tr>
      <w:tr>
        <w:tc>
          <w:tcPr>
            <w:tcW w:type="dxa" w:w="2448"/>
            <w:tcMar>
              <w:top w:type="dxa" w:w="60"/>
              <w:left w:type="dxa" w:w="100"/>
              <w:bottom w:type="dxa" w:w="60"/>
              <w:right w:type="dxa" w:w="100"/>
            </w:tcMar>
          </w:tcPr>
          <w:p>
            <w:r>
              <w:rPr>
                <w:b w:val="false"/>
                <w:bCs w:val="false"/>
                <w:color w:val="000000"/>
                <w:sz w:val="19"/>
                <w:szCs w:val="19"/>
              </w:rPr>
              <w:t xml:space="preserve">Section</w:t>
            </w:r>
          </w:p>
        </w:tc>
        <w:tc>
          <w:tcPr>
            <w:tcW w:type="dxa" w:w="6911"/>
            <w:tcMar>
              <w:top w:type="dxa" w:w="60"/>
              <w:left w:type="dxa" w:w="100"/>
              <w:bottom w:type="dxa" w:w="60"/>
              <w:right w:type="dxa" w:w="100"/>
            </w:tcMar>
          </w:tcPr>
          <w:p>
            <w:r>
              <w:rPr>
                <w:b w:val="false"/>
                <w:bCs w:val="false"/>
                <w:color w:val="000000"/>
                <w:sz w:val="19"/>
                <w:szCs w:val="19"/>
              </w:rPr>
              <w:t xml:space="preserve">Taxonomy section and subsection (e.g., C2 Exposure)</w:t>
            </w:r>
          </w:p>
        </w:tc>
      </w:tr>
      <w:tr>
        <w:tc>
          <w:tcPr>
            <w:tcW w:type="dxa" w:w="2448"/>
            <w:shd w:fill="EEF2F7" w:val="clear"/>
            <w:tcMar>
              <w:top w:type="dxa" w:w="60"/>
              <w:left w:type="dxa" w:w="100"/>
              <w:bottom w:type="dxa" w:w="60"/>
              <w:right w:type="dxa" w:w="100"/>
            </w:tcMar>
          </w:tcPr>
          <w:p>
            <w:r>
              <w:rPr>
                <w:b w:val="false"/>
                <w:bCs w:val="false"/>
                <w:color w:val="000000"/>
                <w:sz w:val="19"/>
                <w:szCs w:val="19"/>
              </w:rPr>
              <w:t xml:space="preserve">Parameter</w:t>
            </w:r>
          </w:p>
        </w:tc>
        <w:tc>
          <w:tcPr>
            <w:tcW w:type="dxa" w:w="6911"/>
            <w:shd w:fill="EEF2F7" w:val="clear"/>
            <w:tcMar>
              <w:top w:type="dxa" w:w="60"/>
              <w:left w:type="dxa" w:w="100"/>
              <w:bottom w:type="dxa" w:w="60"/>
              <w:right w:type="dxa" w:w="100"/>
            </w:tcMar>
          </w:tcPr>
          <w:p>
            <w:r>
              <w:rPr>
                <w:b w:val="false"/>
                <w:bCs w:val="false"/>
                <w:color w:val="000000"/>
                <w:sz w:val="19"/>
                <w:szCs w:val="19"/>
              </w:rPr>
              <w:t xml:space="preserve">Parameter name as listed in the taxonomy</w:t>
            </w:r>
          </w:p>
        </w:tc>
      </w:tr>
      <w:tr>
        <w:tc>
          <w:tcPr>
            <w:tcW w:type="dxa" w:w="2448"/>
            <w:tcMar>
              <w:top w:type="dxa" w:w="60"/>
              <w:left w:type="dxa" w:w="100"/>
              <w:bottom w:type="dxa" w:w="60"/>
              <w:right w:type="dxa" w:w="100"/>
            </w:tcMar>
          </w:tcPr>
          <w:p>
            <w:r>
              <w:rPr>
                <w:b w:val="false"/>
                <w:bCs w:val="false"/>
                <w:color w:val="000000"/>
                <w:sz w:val="19"/>
                <w:szCs w:val="19"/>
              </w:rPr>
              <w:t xml:space="preserve">Value</w:t>
            </w:r>
          </w:p>
        </w:tc>
        <w:tc>
          <w:tcPr>
            <w:tcW w:type="dxa" w:w="6911"/>
            <w:tcMar>
              <w:top w:type="dxa" w:w="60"/>
              <w:left w:type="dxa" w:w="100"/>
              <w:bottom w:type="dxa" w:w="60"/>
              <w:right w:type="dxa" w:w="100"/>
            </w:tcMar>
          </w:tcPr>
          <w:p>
            <w:r>
              <w:rPr>
                <w:b w:val="false"/>
                <w:bCs w:val="false"/>
                <w:color w:val="000000"/>
                <w:sz w:val="19"/>
                <w:szCs w:val="19"/>
              </w:rPr>
              <w:t xml:space="preserve">Verbatim numeric or qualitative value</w:t>
            </w:r>
          </w:p>
        </w:tc>
      </w:tr>
      <w:tr>
        <w:tc>
          <w:tcPr>
            <w:tcW w:type="dxa" w:w="2448"/>
            <w:shd w:fill="EEF2F7" w:val="clear"/>
            <w:tcMar>
              <w:top w:type="dxa" w:w="60"/>
              <w:left w:type="dxa" w:w="100"/>
              <w:bottom w:type="dxa" w:w="60"/>
              <w:right w:type="dxa" w:w="100"/>
            </w:tcMar>
          </w:tcPr>
          <w:p>
            <w:r>
              <w:rPr>
                <w:b w:val="false"/>
                <w:bCs w:val="false"/>
                <w:color w:val="000000"/>
                <w:sz w:val="19"/>
                <w:szCs w:val="19"/>
              </w:rPr>
              <w:t xml:space="preserve">Unit</w:t>
            </w:r>
          </w:p>
        </w:tc>
        <w:tc>
          <w:tcPr>
            <w:tcW w:type="dxa" w:w="6911"/>
            <w:shd w:fill="EEF2F7" w:val="clear"/>
            <w:tcMar>
              <w:top w:type="dxa" w:w="60"/>
              <w:left w:type="dxa" w:w="100"/>
              <w:bottom w:type="dxa" w:w="60"/>
              <w:right w:type="dxa" w:w="100"/>
            </w:tcMar>
          </w:tcPr>
          <w:p>
            <w:r>
              <w:rPr>
                <w:b w:val="false"/>
                <w:bCs w:val="false"/>
                <w:color w:val="000000"/>
                <w:sz w:val="19"/>
                <w:szCs w:val="19"/>
              </w:rPr>
              <w:t xml:space="preserve">Unit exactly as reported (plus converted value if applicable)</w:t>
            </w:r>
          </w:p>
        </w:tc>
      </w:tr>
      <w:tr>
        <w:tc>
          <w:tcPr>
            <w:tcW w:type="dxa" w:w="2448"/>
            <w:tcMar>
              <w:top w:type="dxa" w:w="60"/>
              <w:left w:type="dxa" w:w="100"/>
              <w:bottom w:type="dxa" w:w="60"/>
              <w:right w:type="dxa" w:w="100"/>
            </w:tcMar>
          </w:tcPr>
          <w:p>
            <w:r>
              <w:rPr>
                <w:b w:val="false"/>
                <w:bCs w:val="false"/>
                <w:color w:val="000000"/>
                <w:sz w:val="19"/>
                <w:szCs w:val="19"/>
              </w:rPr>
              <w:t xml:space="preserve">Dispersion</w:t>
            </w:r>
          </w:p>
        </w:tc>
        <w:tc>
          <w:tcPr>
            <w:tcW w:type="dxa" w:w="6911"/>
            <w:tcMar>
              <w:top w:type="dxa" w:w="60"/>
              <w:left w:type="dxa" w:w="100"/>
              <w:bottom w:type="dxa" w:w="60"/>
              <w:right w:type="dxa" w:w="100"/>
            </w:tcMar>
          </w:tcPr>
          <w:p>
            <w:r>
              <w:rPr>
                <w:b w:val="false"/>
                <w:bCs w:val="false"/>
                <w:color w:val="000000"/>
                <w:sz w:val="19"/>
                <w:szCs w:val="19"/>
              </w:rPr>
              <w:t xml:space="preserve">Error/variability value and its type (SD, SEM, CV%, CI, range)</w:t>
            </w:r>
          </w:p>
        </w:tc>
      </w:tr>
      <w:tr>
        <w:tc>
          <w:tcPr>
            <w:tcW w:type="dxa" w:w="2448"/>
            <w:shd w:fill="EEF2F7" w:val="clear"/>
            <w:tcMar>
              <w:top w:type="dxa" w:w="60"/>
              <w:left w:type="dxa" w:w="100"/>
              <w:bottom w:type="dxa" w:w="60"/>
              <w:right w:type="dxa" w:w="100"/>
            </w:tcMar>
          </w:tcPr>
          <w:p>
            <w:r>
              <w:rPr>
                <w:b w:val="false"/>
                <w:bCs w:val="false"/>
                <w:color w:val="000000"/>
                <w:sz w:val="19"/>
                <w:szCs w:val="19"/>
              </w:rPr>
              <w:t xml:space="preserve">Species / population</w:t>
            </w:r>
          </w:p>
        </w:tc>
        <w:tc>
          <w:tcPr>
            <w:tcW w:type="dxa" w:w="6911"/>
            <w:shd w:fill="EEF2F7" w:val="clear"/>
            <w:tcMar>
              <w:top w:type="dxa" w:w="60"/>
              <w:left w:type="dxa" w:w="100"/>
              <w:bottom w:type="dxa" w:w="60"/>
              <w:right w:type="dxa" w:w="100"/>
            </w:tcMar>
          </w:tcPr>
          <w:p>
            <w:r>
              <w:rPr>
                <w:b w:val="false"/>
                <w:bCs w:val="false"/>
                <w:color w:val="000000"/>
                <w:sz w:val="19"/>
                <w:szCs w:val="19"/>
              </w:rPr>
              <w:t xml:space="preserve">Test system, species and strain, or human population</w:t>
            </w:r>
          </w:p>
        </w:tc>
      </w:tr>
      <w:tr>
        <w:tc>
          <w:tcPr>
            <w:tcW w:type="dxa" w:w="2448"/>
            <w:tcMar>
              <w:top w:type="dxa" w:w="60"/>
              <w:left w:type="dxa" w:w="100"/>
              <w:bottom w:type="dxa" w:w="60"/>
              <w:right w:type="dxa" w:w="100"/>
            </w:tcMar>
          </w:tcPr>
          <w:p>
            <w:r>
              <w:rPr>
                <w:b w:val="false"/>
                <w:bCs w:val="false"/>
                <w:color w:val="000000"/>
                <w:sz w:val="19"/>
                <w:szCs w:val="19"/>
              </w:rPr>
              <w:t xml:space="preserve">Matrix</w:t>
            </w:r>
          </w:p>
        </w:tc>
        <w:tc>
          <w:tcPr>
            <w:tcW w:type="dxa" w:w="6911"/>
            <w:tcMar>
              <w:top w:type="dxa" w:w="60"/>
              <w:left w:type="dxa" w:w="100"/>
              <w:bottom w:type="dxa" w:w="60"/>
              <w:right w:type="dxa" w:w="100"/>
            </w:tcMar>
          </w:tcPr>
          <w:p>
            <w:r>
              <w:rPr>
                <w:b w:val="false"/>
                <w:bCs w:val="false"/>
                <w:color w:val="000000"/>
                <w:sz w:val="19"/>
                <w:szCs w:val="19"/>
              </w:rPr>
              <w:t xml:space="preserve">Plasma, serum, whole blood, tissue, urine, in vitro system</w:t>
            </w:r>
          </w:p>
        </w:tc>
      </w:tr>
      <w:tr>
        <w:tc>
          <w:tcPr>
            <w:tcW w:type="dxa" w:w="2448"/>
            <w:shd w:fill="EEF2F7" w:val="clear"/>
            <w:tcMar>
              <w:top w:type="dxa" w:w="60"/>
              <w:left w:type="dxa" w:w="100"/>
              <w:bottom w:type="dxa" w:w="60"/>
              <w:right w:type="dxa" w:w="100"/>
            </w:tcMar>
          </w:tcPr>
          <w:p>
            <w:r>
              <w:rPr>
                <w:b w:val="false"/>
                <w:bCs w:val="false"/>
                <w:color w:val="000000"/>
                <w:sz w:val="19"/>
                <w:szCs w:val="19"/>
              </w:rPr>
              <w:t xml:space="preserve">Dose / route</w:t>
            </w:r>
          </w:p>
        </w:tc>
        <w:tc>
          <w:tcPr>
            <w:tcW w:type="dxa" w:w="6911"/>
            <w:shd w:fill="EEF2F7" w:val="clear"/>
            <w:tcMar>
              <w:top w:type="dxa" w:w="60"/>
              <w:left w:type="dxa" w:w="100"/>
              <w:bottom w:type="dxa" w:w="60"/>
              <w:right w:type="dxa" w:w="100"/>
            </w:tcMar>
          </w:tcPr>
          <w:p>
            <w:r>
              <w:rPr>
                <w:b w:val="false"/>
                <w:bCs w:val="false"/>
                <w:color w:val="000000"/>
                <w:sz w:val="19"/>
                <w:szCs w:val="19"/>
              </w:rPr>
              <w:t xml:space="preserve">Dose with units; route of administration</w:t>
            </w:r>
          </w:p>
        </w:tc>
      </w:tr>
      <w:tr>
        <w:tc>
          <w:tcPr>
            <w:tcW w:type="dxa" w:w="2448"/>
            <w:tcMar>
              <w:top w:type="dxa" w:w="60"/>
              <w:left w:type="dxa" w:w="100"/>
              <w:bottom w:type="dxa" w:w="60"/>
              <w:right w:type="dxa" w:w="100"/>
            </w:tcMar>
          </w:tcPr>
          <w:p>
            <w:r>
              <w:rPr>
                <w:b w:val="false"/>
                <w:bCs w:val="false"/>
                <w:color w:val="000000"/>
                <w:sz w:val="19"/>
                <w:szCs w:val="19"/>
              </w:rPr>
              <w:t xml:space="preserve">Formulation</w:t>
            </w:r>
          </w:p>
        </w:tc>
        <w:tc>
          <w:tcPr>
            <w:tcW w:type="dxa" w:w="6911"/>
            <w:tcMar>
              <w:top w:type="dxa" w:w="60"/>
              <w:left w:type="dxa" w:w="100"/>
              <w:bottom w:type="dxa" w:w="60"/>
              <w:right w:type="dxa" w:w="100"/>
            </w:tcMar>
          </w:tcPr>
          <w:p>
            <w:r>
              <w:rPr>
                <w:b w:val="false"/>
                <w:bCs w:val="false"/>
                <w:color w:val="000000"/>
                <w:sz w:val="19"/>
                <w:szCs w:val="19"/>
              </w:rPr>
              <w:t xml:space="preserve">Formulation or vehicle identifier</w:t>
            </w:r>
          </w:p>
        </w:tc>
      </w:tr>
      <w:tr>
        <w:tc>
          <w:tcPr>
            <w:tcW w:type="dxa" w:w="2448"/>
            <w:shd w:fill="EEF2F7" w:val="clear"/>
            <w:tcMar>
              <w:top w:type="dxa" w:w="60"/>
              <w:left w:type="dxa" w:w="100"/>
              <w:bottom w:type="dxa" w:w="60"/>
              <w:right w:type="dxa" w:w="100"/>
            </w:tcMar>
          </w:tcPr>
          <w:p>
            <w:r>
              <w:rPr>
                <w:b w:val="false"/>
                <w:bCs w:val="false"/>
                <w:color w:val="000000"/>
                <w:sz w:val="19"/>
                <w:szCs w:val="19"/>
              </w:rPr>
              <w:t xml:space="preserve">Dosing context</w:t>
            </w:r>
          </w:p>
        </w:tc>
        <w:tc>
          <w:tcPr>
            <w:tcW w:type="dxa" w:w="6911"/>
            <w:shd w:fill="EEF2F7" w:val="clear"/>
            <w:tcMar>
              <w:top w:type="dxa" w:w="60"/>
              <w:left w:type="dxa" w:w="100"/>
              <w:bottom w:type="dxa" w:w="60"/>
              <w:right w:type="dxa" w:w="100"/>
            </w:tcMar>
          </w:tcPr>
          <w:p>
            <w:r>
              <w:rPr>
                <w:b w:val="false"/>
                <w:bCs w:val="false"/>
                <w:color w:val="000000"/>
                <w:sz w:val="19"/>
                <w:szCs w:val="19"/>
              </w:rPr>
              <w:t xml:space="preserve">Single vs. multiple dose; fed/fasted; study day</w:t>
            </w:r>
          </w:p>
        </w:tc>
      </w:tr>
      <w:tr>
        <w:tc>
          <w:tcPr>
            <w:tcW w:type="dxa" w:w="2448"/>
            <w:tcMar>
              <w:top w:type="dxa" w:w="60"/>
              <w:left w:type="dxa" w:w="100"/>
              <w:bottom w:type="dxa" w:w="60"/>
              <w:right w:type="dxa" w:w="100"/>
            </w:tcMar>
          </w:tcPr>
          <w:p>
            <w:r>
              <w:rPr>
                <w:b w:val="false"/>
                <w:bCs w:val="false"/>
                <w:color w:val="000000"/>
                <w:sz w:val="19"/>
                <w:szCs w:val="19"/>
              </w:rPr>
              <w:t xml:space="preserve">n</w:t>
            </w:r>
          </w:p>
        </w:tc>
        <w:tc>
          <w:tcPr>
            <w:tcW w:type="dxa" w:w="6911"/>
            <w:tcMar>
              <w:top w:type="dxa" w:w="60"/>
              <w:left w:type="dxa" w:w="100"/>
              <w:bottom w:type="dxa" w:w="60"/>
              <w:right w:type="dxa" w:w="100"/>
            </w:tcMar>
          </w:tcPr>
          <w:p>
            <w:r>
              <w:rPr>
                <w:b w:val="false"/>
                <w:bCs w:val="false"/>
                <w:color w:val="000000"/>
                <w:sz w:val="19"/>
                <w:szCs w:val="19"/>
              </w:rPr>
              <w:t xml:space="preserve">Number of subjects or animals</w:t>
            </w:r>
          </w:p>
        </w:tc>
      </w:tr>
      <w:tr>
        <w:tc>
          <w:tcPr>
            <w:tcW w:type="dxa" w:w="2448"/>
            <w:shd w:fill="EEF2F7" w:val="clear"/>
            <w:tcMar>
              <w:top w:type="dxa" w:w="60"/>
              <w:left w:type="dxa" w:w="100"/>
              <w:bottom w:type="dxa" w:w="60"/>
              <w:right w:type="dxa" w:w="100"/>
            </w:tcMar>
          </w:tcPr>
          <w:p>
            <w:r>
              <w:rPr>
                <w:b w:val="false"/>
                <w:bCs w:val="false"/>
                <w:color w:val="000000"/>
                <w:sz w:val="19"/>
                <w:szCs w:val="19"/>
              </w:rPr>
              <w:t xml:space="preserve">Method</w:t>
            </w:r>
          </w:p>
        </w:tc>
        <w:tc>
          <w:tcPr>
            <w:tcW w:type="dxa" w:w="6911"/>
            <w:shd w:fill="EEF2F7" w:val="clear"/>
            <w:tcMar>
              <w:top w:type="dxa" w:w="60"/>
              <w:left w:type="dxa" w:w="100"/>
              <w:bottom w:type="dxa" w:w="60"/>
              <w:right w:type="dxa" w:w="100"/>
            </w:tcMar>
          </w:tcPr>
          <w:p>
            <w:r>
              <w:rPr>
                <w:b w:val="false"/>
                <w:bCs w:val="false"/>
                <w:color w:val="000000"/>
                <w:sz w:val="19"/>
                <w:szCs w:val="19"/>
              </w:rPr>
              <w:t xml:space="preserve">Analytical or assay method</w:t>
            </w:r>
          </w:p>
        </w:tc>
      </w:tr>
      <w:tr>
        <w:tc>
          <w:tcPr>
            <w:tcW w:type="dxa" w:w="2448"/>
            <w:tcMar>
              <w:top w:type="dxa" w:w="60"/>
              <w:left w:type="dxa" w:w="100"/>
              <w:bottom w:type="dxa" w:w="60"/>
              <w:right w:type="dxa" w:w="100"/>
            </w:tcMar>
          </w:tcPr>
          <w:p>
            <w:r>
              <w:rPr>
                <w:b w:val="false"/>
                <w:bCs w:val="false"/>
                <w:color w:val="000000"/>
                <w:sz w:val="19"/>
                <w:szCs w:val="19"/>
              </w:rPr>
              <w:t xml:space="preserve">Source location</w:t>
            </w:r>
          </w:p>
        </w:tc>
        <w:tc>
          <w:tcPr>
            <w:tcW w:type="dxa" w:w="6911"/>
            <w:tcMar>
              <w:top w:type="dxa" w:w="60"/>
              <w:left w:type="dxa" w:w="100"/>
              <w:bottom w:type="dxa" w:w="60"/>
              <w:right w:type="dxa" w:w="100"/>
            </w:tcMar>
          </w:tcPr>
          <w:p>
            <w:r>
              <w:rPr>
                <w:b w:val="false"/>
                <w:bCs w:val="false"/>
                <w:color w:val="000000"/>
                <w:sz w:val="19"/>
                <w:szCs w:val="19"/>
              </w:rPr>
              <w:t xml:space="preserve">Page, table, figure, or section of the source</w:t>
            </w:r>
          </w:p>
        </w:tc>
      </w:tr>
      <w:tr>
        <w:tc>
          <w:tcPr>
            <w:tcW w:type="dxa" w:w="2448"/>
            <w:shd w:fill="EEF2F7" w:val="clear"/>
            <w:tcMar>
              <w:top w:type="dxa" w:w="60"/>
              <w:left w:type="dxa" w:w="100"/>
              <w:bottom w:type="dxa" w:w="60"/>
              <w:right w:type="dxa" w:w="100"/>
            </w:tcMar>
          </w:tcPr>
          <w:p>
            <w:r>
              <w:rPr>
                <w:b w:val="false"/>
                <w:bCs w:val="false"/>
                <w:color w:val="000000"/>
                <w:sz w:val="19"/>
                <w:szCs w:val="19"/>
              </w:rPr>
              <w:t xml:space="preserve">Confidence</w:t>
            </w:r>
          </w:p>
        </w:tc>
        <w:tc>
          <w:tcPr>
            <w:tcW w:type="dxa" w:w="6911"/>
            <w:shd w:fill="EEF2F7" w:val="clear"/>
            <w:tcMar>
              <w:top w:type="dxa" w:w="60"/>
              <w:left w:type="dxa" w:w="100"/>
              <w:bottom w:type="dxa" w:w="60"/>
              <w:right w:type="dxa" w:w="100"/>
            </w:tcMar>
          </w:tcPr>
          <w:p>
            <w:r>
              <w:rPr>
                <w:b w:val="false"/>
                <w:bCs w:val="false"/>
                <w:color w:val="000000"/>
                <w:sz w:val="19"/>
                <w:szCs w:val="19"/>
              </w:rPr>
              <w:t xml:space="preserve">High / Medium / Low per Rule 9</w:t>
            </w:r>
          </w:p>
        </w:tc>
      </w:tr>
      <w:tr>
        <w:tc>
          <w:tcPr>
            <w:tcW w:type="dxa" w:w="2448"/>
            <w:tcMar>
              <w:top w:type="dxa" w:w="60"/>
              <w:left w:type="dxa" w:w="100"/>
              <w:bottom w:type="dxa" w:w="60"/>
              <w:right w:type="dxa" w:w="100"/>
            </w:tcMar>
          </w:tcPr>
          <w:p>
            <w:r>
              <w:rPr>
                <w:b w:val="false"/>
                <w:bCs w:val="false"/>
                <w:color w:val="000000"/>
                <w:sz w:val="19"/>
                <w:szCs w:val="19"/>
              </w:rPr>
              <w:t xml:space="preserve">Comments</w:t>
            </w:r>
          </w:p>
        </w:tc>
        <w:tc>
          <w:tcPr>
            <w:tcW w:type="dxa" w:w="6911"/>
            <w:tcMar>
              <w:top w:type="dxa" w:w="60"/>
              <w:left w:type="dxa" w:w="100"/>
              <w:bottom w:type="dxa" w:w="60"/>
              <w:right w:type="dxa" w:w="100"/>
            </w:tcMar>
          </w:tcPr>
          <w:p>
            <w:r>
              <w:rPr>
                <w:b w:val="false"/>
                <w:bCs w:val="false"/>
                <w:color w:val="000000"/>
                <w:sz w:val="19"/>
                <w:szCs w:val="19"/>
              </w:rPr>
              <w:t xml:space="preserve">Anything needed to interpret the value correctly</w:t>
            </w:r>
          </w:p>
        </w:tc>
      </w:tr>
    </w:tbl>
    <w:p>
      <w:pPr>
        <w:spacing w:after="80" w:before="160"/>
      </w:pPr>
      <w:r>
        <w:rPr>
          <w:b/>
          <w:bCs/>
          <w:sz w:val="21"/>
          <w:szCs w:val="21"/>
        </w:rPr>
        <w:t xml:space="preserve">Output 2 — Gap report: </w:t>
      </w:r>
      <w:r>
        <w:rPr>
          <w:sz w:val="21"/>
          <w:szCs w:val="21"/>
        </w:rPr>
        <w:t xml:space="preserve">list every taxonomy parameter that is NR in the source, grouped by section, so missing envelope data is explicit.</w:t>
      </w:r>
    </w:p>
    <w:p>
      <w:pPr>
        <w:pStyle w:val="Heading1"/>
        <w:spacing w:after="140" w:before="320"/>
      </w:pPr>
      <w:r>
        <w:rPr>
          <w:b/>
          <w:bCs/>
          <w:color w:val="1F3A5F"/>
          <w:sz w:val="30"/>
          <w:szCs w:val="30"/>
        </w:rPr>
        <w:t xml:space="preserve">5. Quality-Control Checklist</w:t>
      </w:r>
    </w:p>
    <w:p>
      <w:pPr>
        <w:spacing w:after="120"/>
      </w:pPr>
      <w:r>
        <w:rPr>
          <w:sz w:val="21"/>
          <w:szCs w:val="21"/>
        </w:rPr>
        <w:t xml:space="preserve">Complete before returning results:</w:t>
      </w:r>
    </w:p>
    <w:p>
      <w:pPr>
        <w:spacing w:after="60"/>
      </w:pPr>
      <w:r>
        <w:rPr>
          <w:sz w:val="21"/>
          <w:szCs w:val="21"/>
        </w:rPr>
        <w:t xml:space="preserve">☐  Every numeric value has a unit and a source location</w:t>
      </w:r>
    </w:p>
    <w:p>
      <w:pPr>
        <w:spacing w:after="60"/>
      </w:pPr>
      <w:r>
        <w:rPr>
          <w:sz w:val="21"/>
          <w:szCs w:val="21"/>
        </w:rPr>
        <w:t xml:space="preserve">☐  No value was averaged, derived, or imputed by you</w:t>
      </w:r>
    </w:p>
    <w:p>
      <w:pPr>
        <w:spacing w:after="60"/>
      </w:pPr>
      <w:r>
        <w:rPr>
          <w:sz w:val="21"/>
          <w:szCs w:val="21"/>
        </w:rPr>
        <w:t xml:space="preserve">☐  Each dose/cohort/species combination is a separate row</w:t>
      </w:r>
    </w:p>
    <w:p>
      <w:pPr>
        <w:spacing w:after="60"/>
      </w:pPr>
      <w:r>
        <w:rPr>
          <w:sz w:val="21"/>
          <w:szCs w:val="21"/>
        </w:rPr>
        <w:t xml:space="preserve">☐  Geometric vs. arithmetic means are labeled</w:t>
      </w:r>
    </w:p>
    <w:p>
      <w:pPr>
        <w:spacing w:after="60"/>
      </w:pPr>
      <w:r>
        <w:rPr>
          <w:sz w:val="21"/>
          <w:szCs w:val="21"/>
        </w:rPr>
        <w:t xml:space="preserve">☐  Modality-specific section completed or marked N/A</w:t>
      </w:r>
    </w:p>
    <w:p>
      <w:pPr>
        <w:spacing w:after="60"/>
      </w:pPr>
      <w:r>
        <w:rPr>
          <w:sz w:val="21"/>
          <w:szCs w:val="21"/>
        </w:rPr>
        <w:t xml:space="preserve">☐  Gap report covers all sections A–F</w:t>
      </w:r>
    </w:p>
    <w:p>
      <w:pPr>
        <w:spacing w:after="60"/>
      </w:pPr>
      <w:r>
        <w:rPr>
          <w:sz w:val="21"/>
          <w:szCs w:val="21"/>
        </w:rPr>
        <w:t xml:space="preserve">☐  Ambiguous items are flagged AMBIG with an explanatory comment</w:t>
      </w:r>
    </w:p>
    <w:p>
      <w:pPr>
        <w:shd w:fill="EEF2F7" w:val="clear"/>
        <w:spacing w:after="100" w:before="200"/>
      </w:pPr>
      <w:r>
        <w:rPr>
          <w:b/>
          <w:bCs/>
          <w:color w:val="1F3A5F"/>
          <w:sz w:val="22"/>
          <w:szCs w:val="22"/>
        </w:rPr>
        <w:t xml:space="preserve">—— END PROMPT ——</w:t>
      </w:r>
    </w:p>
    <w:p>
      <w:r>
        <w:br w:type="page"/>
      </w:r>
    </w:p>
    <w:p>
      <w:pPr>
        <w:pStyle w:val="Heading1"/>
        <w:spacing w:after="140" w:before="320"/>
      </w:pPr>
      <w:r>
        <w:rPr>
          <w:b/>
          <w:bCs/>
          <w:color w:val="1F3A5F"/>
          <w:sz w:val="30"/>
          <w:szCs w:val="30"/>
        </w:rPr>
        <w:t xml:space="preserve">Appendix A — Global (Non-US) Data Source Registry</w:t>
      </w:r>
    </w:p>
    <w:p>
      <w:pPr>
        <w:spacing w:after="120"/>
      </w:pPr>
      <w:r>
        <w:rPr>
          <w:sz w:val="21"/>
          <w:szCs w:val="21"/>
        </w:rPr>
        <w:t xml:space="preserve">Reference registry of regulatory, academic, and university-hosted databases outside the United States that hold PK, PD, ADMET, and formulation data. Use it two ways: (1) as a sourcing checklist when assembling the document set to run through the extraction prompt; (2) paste the relevant tables into the prompt when asking the AI to identify where envelope data for a compound may be found. US sources (FDA, ClinicalTrials.gov, PubChem, NIH) are deliberately excluded per scope.</w:t>
      </w:r>
    </w:p>
    <w:p>
      <w:pPr>
        <w:pStyle w:val="Heading2"/>
        <w:spacing w:after="120" w:before="260"/>
      </w:pPr>
      <w:r>
        <w:rPr>
          <w:b/>
          <w:bCs/>
          <w:color w:val="1F3A5F"/>
          <w:sz w:val="25"/>
          <w:szCs w:val="25"/>
        </w:rPr>
        <w:t xml:space="preserve">A-1. Multinational and WHO Resources</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2735"/>
        <w:gridCol w:w="2735"/>
        <w:gridCol w:w="3888"/>
      </w:tblGrid>
      <w:tr>
        <w:trPr>
          <w:tblHeader/>
        </w:trPr>
        <w:tc>
          <w:tcPr>
            <w:tcW w:type="dxa" w:w="2735"/>
            <w:shd w:fill="1F3A5F" w:val="clear"/>
            <w:tcMar>
              <w:top w:type="dxa" w:w="60"/>
              <w:left w:type="dxa" w:w="100"/>
              <w:bottom w:type="dxa" w:w="60"/>
              <w:right w:type="dxa" w:w="100"/>
            </w:tcMar>
          </w:tcPr>
          <w:p>
            <w:r>
              <w:rPr>
                <w:b/>
                <w:bCs/>
                <w:color w:val="FFFFFF"/>
                <w:sz w:val="19"/>
                <w:szCs w:val="19"/>
              </w:rPr>
              <w:t xml:space="preserve">Database / resource</w:t>
            </w:r>
          </w:p>
        </w:tc>
        <w:tc>
          <w:tcPr>
            <w:tcW w:type="dxa" w:w="2735"/>
            <w:shd w:fill="1F3A5F" w:val="clear"/>
            <w:tcMar>
              <w:top w:type="dxa" w:w="60"/>
              <w:left w:type="dxa" w:w="100"/>
              <w:bottom w:type="dxa" w:w="60"/>
              <w:right w:type="dxa" w:w="100"/>
            </w:tcMar>
          </w:tcPr>
          <w:p>
            <w:r>
              <w:rPr>
                <w:b/>
                <w:bCs/>
                <w:color w:val="FFFFFF"/>
                <w:sz w:val="19"/>
                <w:szCs w:val="19"/>
              </w:rPr>
              <w:t xml:space="preserve">Owner · Country</w:t>
            </w:r>
          </w:p>
        </w:tc>
        <w:tc>
          <w:tcPr>
            <w:tcW w:type="dxa" w:w="3888"/>
            <w:shd w:fill="1F3A5F" w:val="clear"/>
            <w:tcMar>
              <w:top w:type="dxa" w:w="60"/>
              <w:left w:type="dxa" w:w="100"/>
              <w:bottom w:type="dxa" w:w="60"/>
              <w:right w:type="dxa" w:w="100"/>
            </w:tcMar>
          </w:tcPr>
          <w:p>
            <w:r>
              <w:rPr>
                <w:b/>
                <w:bCs/>
                <w:color w:val="FFFFFF"/>
                <w:sz w:val="19"/>
                <w:szCs w:val="19"/>
              </w:rPr>
              <w:t xml:space="preserve">Envelope-relevant content</w:t>
            </w:r>
          </w:p>
        </w:tc>
      </w:tr>
      <w:tr>
        <w:tc>
          <w:tcPr>
            <w:tcW w:type="dxa" w:w="2735"/>
            <w:tcMar>
              <w:top w:type="dxa" w:w="60"/>
              <w:left w:type="dxa" w:w="100"/>
              <w:bottom w:type="dxa" w:w="60"/>
              <w:right w:type="dxa" w:w="100"/>
            </w:tcMar>
          </w:tcPr>
          <w:p>
            <w:r>
              <w:rPr>
                <w:b w:val="false"/>
                <w:bCs w:val="false"/>
                <w:color w:val="000000"/>
                <w:sz w:val="19"/>
                <w:szCs w:val="19"/>
              </w:rPr>
              <w:t xml:space="preserve">WHO ICTRP</w:t>
            </w:r>
          </w:p>
        </w:tc>
        <w:tc>
          <w:tcPr>
            <w:tcW w:type="dxa" w:w="2735"/>
            <w:tcMar>
              <w:top w:type="dxa" w:w="60"/>
              <w:left w:type="dxa" w:w="100"/>
              <w:bottom w:type="dxa" w:w="60"/>
              <w:right w:type="dxa" w:w="100"/>
            </w:tcMar>
          </w:tcPr>
          <w:p>
            <w:r>
              <w:rPr>
                <w:b w:val="false"/>
                <w:bCs w:val="false"/>
                <w:color w:val="000000"/>
                <w:sz w:val="19"/>
                <w:szCs w:val="19"/>
              </w:rPr>
              <w:t xml:space="preserve">WHO · Switzerland</w:t>
            </w:r>
          </w:p>
        </w:tc>
        <w:tc>
          <w:tcPr>
            <w:tcW w:type="dxa" w:w="3888"/>
            <w:tcMar>
              <w:top w:type="dxa" w:w="60"/>
              <w:left w:type="dxa" w:w="100"/>
              <w:bottom w:type="dxa" w:w="60"/>
              <w:right w:type="dxa" w:w="100"/>
            </w:tcMar>
          </w:tcPr>
          <w:p>
            <w:r>
              <w:rPr>
                <w:b w:val="false"/>
                <w:bCs w:val="false"/>
                <w:color w:val="000000"/>
                <w:sz w:val="19"/>
                <w:szCs w:val="19"/>
              </w:rPr>
              <w:t xml:space="preserve">Meta-registry aggregating all WHO primary clinical trial registries worldwide; single search across registries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VigiBase / VigiAccess</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Uppsala Monitoring Centre · Sweden</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Global individual case safety reports (pharmacovigilance); AE signal context for exposure–safety</w:t>
            </w:r>
          </w:p>
        </w:tc>
      </w:tr>
      <w:tr>
        <w:tc>
          <w:tcPr>
            <w:tcW w:type="dxa" w:w="2735"/>
            <w:tcMar>
              <w:top w:type="dxa" w:w="60"/>
              <w:left w:type="dxa" w:w="100"/>
              <w:bottom w:type="dxa" w:w="60"/>
              <w:right w:type="dxa" w:w="100"/>
            </w:tcMar>
          </w:tcPr>
          <w:p>
            <w:r>
              <w:rPr>
                <w:b w:val="false"/>
                <w:bCs w:val="false"/>
                <w:color w:val="000000"/>
                <w:sz w:val="19"/>
                <w:szCs w:val="19"/>
              </w:rPr>
              <w:t xml:space="preserve">The International Pharmacopoeia</w:t>
            </w:r>
          </w:p>
        </w:tc>
        <w:tc>
          <w:tcPr>
            <w:tcW w:type="dxa" w:w="2735"/>
            <w:tcMar>
              <w:top w:type="dxa" w:w="60"/>
              <w:left w:type="dxa" w:w="100"/>
              <w:bottom w:type="dxa" w:w="60"/>
              <w:right w:type="dxa" w:w="100"/>
            </w:tcMar>
          </w:tcPr>
          <w:p>
            <w:r>
              <w:rPr>
                <w:b w:val="false"/>
                <w:bCs w:val="false"/>
                <w:color w:val="000000"/>
                <w:sz w:val="19"/>
                <w:szCs w:val="19"/>
              </w:rPr>
              <w:t xml:space="preserve">WHO · Switzerland</w:t>
            </w:r>
          </w:p>
        </w:tc>
        <w:tc>
          <w:tcPr>
            <w:tcW w:type="dxa" w:w="3888"/>
            <w:tcMar>
              <w:top w:type="dxa" w:w="60"/>
              <w:left w:type="dxa" w:w="100"/>
              <w:bottom w:type="dxa" w:w="60"/>
              <w:right w:type="dxa" w:w="100"/>
            </w:tcMar>
          </w:tcPr>
          <w:p>
            <w:r>
              <w:rPr>
                <w:b w:val="false"/>
                <w:bCs w:val="false"/>
                <w:color w:val="000000"/>
                <w:sz w:val="19"/>
                <w:szCs w:val="19"/>
              </w:rPr>
              <w:t xml:space="preserve">Quality specifications, dissolution and assay methods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MedDRA (ICH)</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ICH · international</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Standardized AE terminology for mapping safety findings</w:t>
            </w:r>
          </w:p>
        </w:tc>
      </w:tr>
    </w:tbl>
    <w:p>
      <w:pPr>
        <w:spacing w:after="120"/>
      </w:pPr>
    </w:p>
    <w:p>
      <w:pPr>
        <w:pStyle w:val="Heading2"/>
        <w:spacing w:after="120" w:before="260"/>
      </w:pPr>
      <w:r>
        <w:rPr>
          <w:b/>
          <w:bCs/>
          <w:color w:val="1F3A5F"/>
          <w:sz w:val="25"/>
          <w:szCs w:val="25"/>
        </w:rPr>
        <w:t xml:space="preserve">A-2. Regulatory Agency Databases by Jurisdiction</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2735"/>
        <w:gridCol w:w="2735"/>
        <w:gridCol w:w="3888"/>
      </w:tblGrid>
      <w:tr>
        <w:trPr>
          <w:tblHeader/>
        </w:trPr>
        <w:tc>
          <w:tcPr>
            <w:tcW w:type="dxa" w:w="2735"/>
            <w:shd w:fill="1F3A5F" w:val="clear"/>
            <w:tcMar>
              <w:top w:type="dxa" w:w="60"/>
              <w:left w:type="dxa" w:w="100"/>
              <w:bottom w:type="dxa" w:w="60"/>
              <w:right w:type="dxa" w:w="100"/>
            </w:tcMar>
          </w:tcPr>
          <w:p>
            <w:r>
              <w:rPr>
                <w:b/>
                <w:bCs/>
                <w:color w:val="FFFFFF"/>
                <w:sz w:val="19"/>
                <w:szCs w:val="19"/>
              </w:rPr>
              <w:t xml:space="preserve">Database / resource</w:t>
            </w:r>
          </w:p>
        </w:tc>
        <w:tc>
          <w:tcPr>
            <w:tcW w:type="dxa" w:w="2735"/>
            <w:shd w:fill="1F3A5F" w:val="clear"/>
            <w:tcMar>
              <w:top w:type="dxa" w:w="60"/>
              <w:left w:type="dxa" w:w="100"/>
              <w:bottom w:type="dxa" w:w="60"/>
              <w:right w:type="dxa" w:w="100"/>
            </w:tcMar>
          </w:tcPr>
          <w:p>
            <w:r>
              <w:rPr>
                <w:b/>
                <w:bCs/>
                <w:color w:val="FFFFFF"/>
                <w:sz w:val="19"/>
                <w:szCs w:val="19"/>
              </w:rPr>
              <w:t xml:space="preserve">Owner · Country</w:t>
            </w:r>
          </w:p>
        </w:tc>
        <w:tc>
          <w:tcPr>
            <w:tcW w:type="dxa" w:w="3888"/>
            <w:shd w:fill="1F3A5F" w:val="clear"/>
            <w:tcMar>
              <w:top w:type="dxa" w:w="60"/>
              <w:left w:type="dxa" w:w="100"/>
              <w:bottom w:type="dxa" w:w="60"/>
              <w:right w:type="dxa" w:w="100"/>
            </w:tcMar>
          </w:tcPr>
          <w:p>
            <w:r>
              <w:rPr>
                <w:b/>
                <w:bCs/>
                <w:color w:val="FFFFFF"/>
                <w:sz w:val="19"/>
                <w:szCs w:val="19"/>
              </w:rPr>
              <w:t xml:space="preserve">Envelope-relevant content</w:t>
            </w:r>
          </w:p>
        </w:tc>
      </w:tr>
      <w:tr>
        <w:tc>
          <w:tcPr>
            <w:tcW w:type="dxa" w:w="2735"/>
            <w:tcMar>
              <w:top w:type="dxa" w:w="60"/>
              <w:left w:type="dxa" w:w="100"/>
              <w:bottom w:type="dxa" w:w="60"/>
              <w:right w:type="dxa" w:w="100"/>
            </w:tcMar>
          </w:tcPr>
          <w:p>
            <w:r>
              <w:rPr>
                <w:b w:val="false"/>
                <w:bCs w:val="false"/>
                <w:color w:val="000000"/>
                <w:sz w:val="19"/>
                <w:szCs w:val="19"/>
              </w:rPr>
              <w:t xml:space="preserve">EMA — EPARs; CTIS (euclinicaltrials.eu); EU Clinical Trials Register (legacy EudraCT); EudraVigilance (adrreports.eu); Union Register</w:t>
            </w:r>
          </w:p>
        </w:tc>
        <w:tc>
          <w:tcPr>
            <w:tcW w:type="dxa" w:w="2735"/>
            <w:tcMar>
              <w:top w:type="dxa" w:w="60"/>
              <w:left w:type="dxa" w:w="100"/>
              <w:bottom w:type="dxa" w:w="60"/>
              <w:right w:type="dxa" w:w="100"/>
            </w:tcMar>
          </w:tcPr>
          <w:p>
            <w:r>
              <w:rPr>
                <w:b w:val="false"/>
                <w:bCs w:val="false"/>
                <w:color w:val="000000"/>
                <w:sz w:val="19"/>
                <w:szCs w:val="19"/>
              </w:rPr>
              <w:t xml:space="preserve">European Medicines Agency · EU</w:t>
            </w:r>
          </w:p>
        </w:tc>
        <w:tc>
          <w:tcPr>
            <w:tcW w:type="dxa" w:w="3888"/>
            <w:tcMar>
              <w:top w:type="dxa" w:w="60"/>
              <w:left w:type="dxa" w:w="100"/>
              <w:bottom w:type="dxa" w:w="60"/>
              <w:right w:type="dxa" w:w="100"/>
            </w:tcMar>
          </w:tcPr>
          <w:p>
            <w:r>
              <w:rPr>
                <w:b w:val="false"/>
                <w:bCs w:val="false"/>
                <w:color w:val="000000"/>
                <w:sz w:val="19"/>
                <w:szCs w:val="19"/>
              </w:rPr>
              <w:t xml:space="preserve">Public assessment reports with full clinical pharmacology sections (PK, PD, DDI, special populations); EU trial protocols and results; EU adverse-reaction data</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EDQM — European Pharmacopoeia (Ph. Eur.)</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Council of Europe · France</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Monographs, dissolution/impurity specifications, excipient standards</w:t>
            </w:r>
          </w:p>
        </w:tc>
      </w:tr>
      <w:tr>
        <w:tc>
          <w:tcPr>
            <w:tcW w:type="dxa" w:w="2735"/>
            <w:tcMar>
              <w:top w:type="dxa" w:w="60"/>
              <w:left w:type="dxa" w:w="100"/>
              <w:bottom w:type="dxa" w:w="60"/>
              <w:right w:type="dxa" w:w="100"/>
            </w:tcMar>
          </w:tcPr>
          <w:p>
            <w:r>
              <w:rPr>
                <w:b w:val="false"/>
                <w:bCs w:val="false"/>
                <w:color w:val="000000"/>
                <w:sz w:val="19"/>
                <w:szCs w:val="19"/>
              </w:rPr>
              <w:t xml:space="preserve">HMA — MRI product index</w:t>
            </w:r>
          </w:p>
        </w:tc>
        <w:tc>
          <w:tcPr>
            <w:tcW w:type="dxa" w:w="2735"/>
            <w:tcMar>
              <w:top w:type="dxa" w:w="60"/>
              <w:left w:type="dxa" w:w="100"/>
              <w:bottom w:type="dxa" w:w="60"/>
              <w:right w:type="dxa" w:w="100"/>
            </w:tcMar>
          </w:tcPr>
          <w:p>
            <w:r>
              <w:rPr>
                <w:b w:val="false"/>
                <w:bCs w:val="false"/>
                <w:color w:val="000000"/>
                <w:sz w:val="19"/>
                <w:szCs w:val="19"/>
              </w:rPr>
              <w:t xml:space="preserve">Heads of Medicines Agencies · EU</w:t>
            </w:r>
          </w:p>
        </w:tc>
        <w:tc>
          <w:tcPr>
            <w:tcW w:type="dxa" w:w="3888"/>
            <w:tcMar>
              <w:top w:type="dxa" w:w="60"/>
              <w:left w:type="dxa" w:w="100"/>
              <w:bottom w:type="dxa" w:w="60"/>
              <w:right w:type="dxa" w:w="100"/>
            </w:tcMar>
          </w:tcPr>
          <w:p>
            <w:r>
              <w:rPr>
                <w:b w:val="false"/>
                <w:bCs w:val="false"/>
                <w:color w:val="000000"/>
                <w:sz w:val="19"/>
                <w:szCs w:val="19"/>
              </w:rPr>
              <w:t xml:space="preserve">Nationally / mutually-recognized product information across EU member states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MHRA — Products database; British Pharmacopoeia; ISRCTN registry</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MHRA / BP Commission · UK</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UK SmPCs and PARs; monographs; UK-anchored WHO primary trial registry</w:t>
            </w:r>
          </w:p>
        </w:tc>
      </w:tr>
      <w:tr>
        <w:tc>
          <w:tcPr>
            <w:tcW w:type="dxa" w:w="2735"/>
            <w:tcMar>
              <w:top w:type="dxa" w:w="60"/>
              <w:left w:type="dxa" w:w="100"/>
              <w:bottom w:type="dxa" w:w="60"/>
              <w:right w:type="dxa" w:w="100"/>
            </w:tcMar>
          </w:tcPr>
          <w:p>
            <w:r>
              <w:rPr>
                <w:b w:val="false"/>
                <w:bCs w:val="false"/>
                <w:color w:val="000000"/>
                <w:sz w:val="19"/>
                <w:szCs w:val="19"/>
              </w:rPr>
              <w:t xml:space="preserve">Swissmedic — authorized medicines lists; SwissPAR</w:t>
            </w:r>
          </w:p>
        </w:tc>
        <w:tc>
          <w:tcPr>
            <w:tcW w:type="dxa" w:w="2735"/>
            <w:tcMar>
              <w:top w:type="dxa" w:w="60"/>
              <w:left w:type="dxa" w:w="100"/>
              <w:bottom w:type="dxa" w:w="60"/>
              <w:right w:type="dxa" w:w="100"/>
            </w:tcMar>
          </w:tcPr>
          <w:p>
            <w:r>
              <w:rPr>
                <w:b w:val="false"/>
                <w:bCs w:val="false"/>
                <w:color w:val="000000"/>
                <w:sz w:val="19"/>
                <w:szCs w:val="19"/>
              </w:rPr>
              <w:t xml:space="preserve">Swissmedic · Switzerland</w:t>
            </w:r>
          </w:p>
        </w:tc>
        <w:tc>
          <w:tcPr>
            <w:tcW w:type="dxa" w:w="3888"/>
            <w:tcMar>
              <w:top w:type="dxa" w:w="60"/>
              <w:left w:type="dxa" w:w="100"/>
              <w:bottom w:type="dxa" w:w="60"/>
              <w:right w:type="dxa" w:w="100"/>
            </w:tcMar>
          </w:tcPr>
          <w:p>
            <w:r>
              <w:rPr>
                <w:b w:val="false"/>
                <w:bCs w:val="false"/>
                <w:color w:val="000000"/>
                <w:sz w:val="19"/>
                <w:szCs w:val="19"/>
              </w:rPr>
              <w:t xml:space="preserve">Swiss approvals and public assessment reports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BfArM / PEI — PharmNet.Bund; DRKS registry</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Federal agencies · Germany</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German product information, clinical trial registry (WHO primary)</w:t>
            </w:r>
          </w:p>
        </w:tc>
      </w:tr>
      <w:tr>
        <w:tc>
          <w:tcPr>
            <w:tcW w:type="dxa" w:w="2735"/>
            <w:tcMar>
              <w:top w:type="dxa" w:w="60"/>
              <w:left w:type="dxa" w:w="100"/>
              <w:bottom w:type="dxa" w:w="60"/>
              <w:right w:type="dxa" w:w="100"/>
            </w:tcMar>
          </w:tcPr>
          <w:p>
            <w:r>
              <w:rPr>
                <w:b w:val="false"/>
                <w:bCs w:val="false"/>
                <w:color w:val="000000"/>
                <w:sz w:val="19"/>
                <w:szCs w:val="19"/>
              </w:rPr>
              <w:t xml:space="preserve">ANSM — Base de données publique des médicaments</w:t>
            </w:r>
          </w:p>
        </w:tc>
        <w:tc>
          <w:tcPr>
            <w:tcW w:type="dxa" w:w="2735"/>
            <w:tcMar>
              <w:top w:type="dxa" w:w="60"/>
              <w:left w:type="dxa" w:w="100"/>
              <w:bottom w:type="dxa" w:w="60"/>
              <w:right w:type="dxa" w:w="100"/>
            </w:tcMar>
          </w:tcPr>
          <w:p>
            <w:r>
              <w:rPr>
                <w:b w:val="false"/>
                <w:bCs w:val="false"/>
                <w:color w:val="000000"/>
                <w:sz w:val="19"/>
                <w:szCs w:val="19"/>
              </w:rPr>
              <w:t xml:space="preserve">ANSM · France</w:t>
            </w:r>
          </w:p>
        </w:tc>
        <w:tc>
          <w:tcPr>
            <w:tcW w:type="dxa" w:w="3888"/>
            <w:tcMar>
              <w:top w:type="dxa" w:w="60"/>
              <w:left w:type="dxa" w:w="100"/>
              <w:bottom w:type="dxa" w:w="60"/>
              <w:right w:type="dxa" w:w="100"/>
            </w:tcMar>
          </w:tcPr>
          <w:p>
            <w:r>
              <w:rPr>
                <w:b w:val="false"/>
                <w:bCs w:val="false"/>
                <w:color w:val="000000"/>
                <w:sz w:val="19"/>
                <w:szCs w:val="19"/>
              </w:rPr>
              <w:t xml:space="preserve">French product information (RCP), safety communications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CBG-MEB — Medicines Information Bank</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MEB · Netherlands</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Dutch SmPCs and PARs</w:t>
            </w:r>
          </w:p>
        </w:tc>
      </w:tr>
      <w:tr>
        <w:tc>
          <w:tcPr>
            <w:tcW w:type="dxa" w:w="2735"/>
            <w:tcMar>
              <w:top w:type="dxa" w:w="60"/>
              <w:left w:type="dxa" w:w="100"/>
              <w:bottom w:type="dxa" w:w="60"/>
              <w:right w:type="dxa" w:w="100"/>
            </w:tcMar>
          </w:tcPr>
          <w:p>
            <w:r>
              <w:rPr>
                <w:b w:val="false"/>
                <w:bCs w:val="false"/>
                <w:color w:val="000000"/>
                <w:sz w:val="19"/>
                <w:szCs w:val="19"/>
              </w:rPr>
              <w:t xml:space="preserve">Health Canada — Drug Product Database (DPD); Drug &amp; Health Products Portal; Clinical Trials Database; NOC database</w:t>
            </w:r>
          </w:p>
        </w:tc>
        <w:tc>
          <w:tcPr>
            <w:tcW w:type="dxa" w:w="2735"/>
            <w:tcMar>
              <w:top w:type="dxa" w:w="60"/>
              <w:left w:type="dxa" w:w="100"/>
              <w:bottom w:type="dxa" w:w="60"/>
              <w:right w:type="dxa" w:w="100"/>
            </w:tcMar>
          </w:tcPr>
          <w:p>
            <w:r>
              <w:rPr>
                <w:b w:val="false"/>
                <w:bCs w:val="false"/>
                <w:color w:val="000000"/>
                <w:sz w:val="19"/>
                <w:szCs w:val="19"/>
              </w:rPr>
              <w:t xml:space="preserve">Health Canada · Canada</w:t>
            </w:r>
          </w:p>
        </w:tc>
        <w:tc>
          <w:tcPr>
            <w:tcW w:type="dxa" w:w="3888"/>
            <w:tcMar>
              <w:top w:type="dxa" w:w="60"/>
              <w:left w:type="dxa" w:w="100"/>
              <w:bottom w:type="dxa" w:w="60"/>
              <w:right w:type="dxa" w:w="100"/>
            </w:tcMar>
          </w:tcPr>
          <w:p>
            <w:r>
              <w:rPr>
                <w:b w:val="false"/>
                <w:bCs w:val="false"/>
                <w:color w:val="000000"/>
                <w:sz w:val="19"/>
                <w:szCs w:val="19"/>
              </w:rPr>
              <w:t xml:space="preserve">Canadian product monographs (rich PK/PD sections), approvals, trials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PMDA — Approved products &amp; English review reports; jRCT registry; JAPIC</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PMDA / MHLW · Japan</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Japanese review reports (detailed PK incl. Japanese-population bridging data); trial registry; drug information</w:t>
            </w:r>
          </w:p>
        </w:tc>
      </w:tr>
      <w:tr>
        <w:tc>
          <w:tcPr>
            <w:tcW w:type="dxa" w:w="2735"/>
            <w:tcMar>
              <w:top w:type="dxa" w:w="60"/>
              <w:left w:type="dxa" w:w="100"/>
              <w:bottom w:type="dxa" w:w="60"/>
              <w:right w:type="dxa" w:w="100"/>
            </w:tcMar>
          </w:tcPr>
          <w:p>
            <w:r>
              <w:rPr>
                <w:b w:val="false"/>
                <w:bCs w:val="false"/>
                <w:color w:val="000000"/>
                <w:sz w:val="19"/>
                <w:szCs w:val="19"/>
              </w:rPr>
              <w:t xml:space="preserve">Japanese Pharmacopoeia (JP)</w:t>
            </w:r>
          </w:p>
        </w:tc>
        <w:tc>
          <w:tcPr>
            <w:tcW w:type="dxa" w:w="2735"/>
            <w:tcMar>
              <w:top w:type="dxa" w:w="60"/>
              <w:left w:type="dxa" w:w="100"/>
              <w:bottom w:type="dxa" w:w="60"/>
              <w:right w:type="dxa" w:w="100"/>
            </w:tcMar>
          </w:tcPr>
          <w:p>
            <w:r>
              <w:rPr>
                <w:b w:val="false"/>
                <w:bCs w:val="false"/>
                <w:color w:val="000000"/>
                <w:sz w:val="19"/>
                <w:szCs w:val="19"/>
              </w:rPr>
              <w:t xml:space="preserve">MHLW · Japan</w:t>
            </w:r>
          </w:p>
        </w:tc>
        <w:tc>
          <w:tcPr>
            <w:tcW w:type="dxa" w:w="3888"/>
            <w:tcMar>
              <w:top w:type="dxa" w:w="60"/>
              <w:left w:type="dxa" w:w="100"/>
              <w:bottom w:type="dxa" w:w="60"/>
              <w:right w:type="dxa" w:w="100"/>
            </w:tcMar>
          </w:tcPr>
          <w:p>
            <w:r>
              <w:rPr>
                <w:b w:val="false"/>
                <w:bCs w:val="false"/>
                <w:color w:val="000000"/>
                <w:sz w:val="19"/>
                <w:szCs w:val="19"/>
              </w:rPr>
              <w:t xml:space="preserve">Monographs and test methods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NMPA / CDE — approvals &amp; review databases; ChiCTR registry; Chinese Pharmacopoeia</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NMPA · China</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Chinese approvals, technical review reports, trial registry (WHO primary)</w:t>
            </w:r>
          </w:p>
        </w:tc>
      </w:tr>
      <w:tr>
        <w:tc>
          <w:tcPr>
            <w:tcW w:type="dxa" w:w="2735"/>
            <w:tcMar>
              <w:top w:type="dxa" w:w="60"/>
              <w:left w:type="dxa" w:w="100"/>
              <w:bottom w:type="dxa" w:w="60"/>
              <w:right w:type="dxa" w:w="100"/>
            </w:tcMar>
          </w:tcPr>
          <w:p>
            <w:r>
              <w:rPr>
                <w:b w:val="false"/>
                <w:bCs w:val="false"/>
                <w:color w:val="000000"/>
                <w:sz w:val="19"/>
                <w:szCs w:val="19"/>
              </w:rPr>
              <w:t xml:space="preserve">MFDS — drug approval database; CRIS registry</w:t>
            </w:r>
          </w:p>
        </w:tc>
        <w:tc>
          <w:tcPr>
            <w:tcW w:type="dxa" w:w="2735"/>
            <w:tcMar>
              <w:top w:type="dxa" w:w="60"/>
              <w:left w:type="dxa" w:w="100"/>
              <w:bottom w:type="dxa" w:w="60"/>
              <w:right w:type="dxa" w:w="100"/>
            </w:tcMar>
          </w:tcPr>
          <w:p>
            <w:r>
              <w:rPr>
                <w:b w:val="false"/>
                <w:bCs w:val="false"/>
                <w:color w:val="000000"/>
                <w:sz w:val="19"/>
                <w:szCs w:val="19"/>
              </w:rPr>
              <w:t xml:space="preserve">MFDS · South Korea</w:t>
            </w:r>
          </w:p>
        </w:tc>
        <w:tc>
          <w:tcPr>
            <w:tcW w:type="dxa" w:w="3888"/>
            <w:tcMar>
              <w:top w:type="dxa" w:w="60"/>
              <w:left w:type="dxa" w:w="100"/>
              <w:bottom w:type="dxa" w:w="60"/>
              <w:right w:type="dxa" w:w="100"/>
            </w:tcMar>
          </w:tcPr>
          <w:p>
            <w:r>
              <w:rPr>
                <w:b w:val="false"/>
                <w:bCs w:val="false"/>
                <w:color w:val="000000"/>
                <w:sz w:val="19"/>
                <w:szCs w:val="19"/>
              </w:rPr>
              <w:t xml:space="preserve">Korean approvals and trial registry</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CDSCO / SUGAM; CTRI registry; Indian Pharmacopoeia</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CDSCO · India</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Indian approvals, trial registry (WHO primary), monographs</w:t>
            </w:r>
          </w:p>
        </w:tc>
      </w:tr>
      <w:tr>
        <w:tc>
          <w:tcPr>
            <w:tcW w:type="dxa" w:w="2735"/>
            <w:tcMar>
              <w:top w:type="dxa" w:w="60"/>
              <w:left w:type="dxa" w:w="100"/>
              <w:bottom w:type="dxa" w:w="60"/>
              <w:right w:type="dxa" w:w="100"/>
            </w:tcMar>
          </w:tcPr>
          <w:p>
            <w:r>
              <w:rPr>
                <w:b w:val="false"/>
                <w:bCs w:val="false"/>
                <w:color w:val="000000"/>
                <w:sz w:val="19"/>
                <w:szCs w:val="19"/>
              </w:rPr>
              <w:t xml:space="preserve">TGA — ARTG; AusPARs; DAEN; ANZCTR registry</w:t>
            </w:r>
          </w:p>
        </w:tc>
        <w:tc>
          <w:tcPr>
            <w:tcW w:type="dxa" w:w="2735"/>
            <w:tcMar>
              <w:top w:type="dxa" w:w="60"/>
              <w:left w:type="dxa" w:w="100"/>
              <w:bottom w:type="dxa" w:w="60"/>
              <w:right w:type="dxa" w:w="100"/>
            </w:tcMar>
          </w:tcPr>
          <w:p>
            <w:r>
              <w:rPr>
                <w:b w:val="false"/>
                <w:bCs w:val="false"/>
                <w:color w:val="000000"/>
                <w:sz w:val="19"/>
                <w:szCs w:val="19"/>
              </w:rPr>
              <w:t xml:space="preserve">TGA · Australia (+NZ)</w:t>
            </w:r>
          </w:p>
        </w:tc>
        <w:tc>
          <w:tcPr>
            <w:tcW w:type="dxa" w:w="3888"/>
            <w:tcMar>
              <w:top w:type="dxa" w:w="60"/>
              <w:left w:type="dxa" w:w="100"/>
              <w:bottom w:type="dxa" w:w="60"/>
              <w:right w:type="dxa" w:w="100"/>
            </w:tcMar>
          </w:tcPr>
          <w:p>
            <w:r>
              <w:rPr>
                <w:b w:val="false"/>
                <w:bCs w:val="false"/>
                <w:color w:val="000000"/>
                <w:sz w:val="19"/>
                <w:szCs w:val="19"/>
              </w:rPr>
              <w:t xml:space="preserve">Australian approvals, public assessment reports, adverse-event notifications, ANZ trial registry</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Medsafe — product/application search</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Medsafe · New Zealand</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NZ datasheets and approvals</w:t>
            </w:r>
          </w:p>
        </w:tc>
      </w:tr>
      <w:tr>
        <w:tc>
          <w:tcPr>
            <w:tcW w:type="dxa" w:w="2735"/>
            <w:tcMar>
              <w:top w:type="dxa" w:w="60"/>
              <w:left w:type="dxa" w:w="100"/>
              <w:bottom w:type="dxa" w:w="60"/>
              <w:right w:type="dxa" w:w="100"/>
            </w:tcMar>
          </w:tcPr>
          <w:p>
            <w:r>
              <w:rPr>
                <w:b w:val="false"/>
                <w:bCs w:val="false"/>
                <w:color w:val="000000"/>
                <w:sz w:val="19"/>
                <w:szCs w:val="19"/>
              </w:rPr>
              <w:t xml:space="preserve">ANVISA — consultas / registered products; ReBEC registry</w:t>
            </w:r>
          </w:p>
        </w:tc>
        <w:tc>
          <w:tcPr>
            <w:tcW w:type="dxa" w:w="2735"/>
            <w:tcMar>
              <w:top w:type="dxa" w:w="60"/>
              <w:left w:type="dxa" w:w="100"/>
              <w:bottom w:type="dxa" w:w="60"/>
              <w:right w:type="dxa" w:w="100"/>
            </w:tcMar>
          </w:tcPr>
          <w:p>
            <w:r>
              <w:rPr>
                <w:b w:val="false"/>
                <w:bCs w:val="false"/>
                <w:color w:val="000000"/>
                <w:sz w:val="19"/>
                <w:szCs w:val="19"/>
              </w:rPr>
              <w:t xml:space="preserve">ANVISA · Brazil</w:t>
            </w:r>
          </w:p>
        </w:tc>
        <w:tc>
          <w:tcPr>
            <w:tcW w:type="dxa" w:w="3888"/>
            <w:tcMar>
              <w:top w:type="dxa" w:w="60"/>
              <w:left w:type="dxa" w:w="100"/>
              <w:bottom w:type="dxa" w:w="60"/>
              <w:right w:type="dxa" w:w="100"/>
            </w:tcMar>
          </w:tcPr>
          <w:p>
            <w:r>
              <w:rPr>
                <w:b w:val="false"/>
                <w:bCs w:val="false"/>
                <w:color w:val="000000"/>
                <w:sz w:val="19"/>
                <w:szCs w:val="19"/>
              </w:rPr>
              <w:t xml:space="preserve">Brazilian approvals and trial registry</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Other WHO primary registries: IRCT (Iran), PACTR (pan-African), TCTR (Thailand), SLCTR (Sri Lanka), RPCEC (Cuba), LBCTR (Lebanon)</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National bodies</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Regional trial protocols and results for global development programs</w:t>
            </w:r>
          </w:p>
        </w:tc>
      </w:tr>
    </w:tbl>
    <w:p>
      <w:pPr>
        <w:spacing w:after="120"/>
      </w:pPr>
    </w:p>
    <w:p>
      <w:pPr>
        <w:pStyle w:val="Heading2"/>
        <w:spacing w:after="120" w:before="260"/>
      </w:pPr>
      <w:r>
        <w:rPr>
          <w:b/>
          <w:bCs/>
          <w:color w:val="1F3A5F"/>
          <w:sz w:val="25"/>
          <w:szCs w:val="25"/>
        </w:rPr>
        <w:t xml:space="preserve">A-3. University- and Institute-Hosted Molecular / PK / ADMET Databases</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2735"/>
        <w:gridCol w:w="2735"/>
        <w:gridCol w:w="3888"/>
      </w:tblGrid>
      <w:tr>
        <w:trPr>
          <w:tblHeader/>
        </w:trPr>
        <w:tc>
          <w:tcPr>
            <w:tcW w:type="dxa" w:w="2735"/>
            <w:shd w:fill="1F3A5F" w:val="clear"/>
            <w:tcMar>
              <w:top w:type="dxa" w:w="60"/>
              <w:left w:type="dxa" w:w="100"/>
              <w:bottom w:type="dxa" w:w="60"/>
              <w:right w:type="dxa" w:w="100"/>
            </w:tcMar>
          </w:tcPr>
          <w:p>
            <w:r>
              <w:rPr>
                <w:b/>
                <w:bCs/>
                <w:color w:val="FFFFFF"/>
                <w:sz w:val="19"/>
                <w:szCs w:val="19"/>
              </w:rPr>
              <w:t xml:space="preserve">Database / resource</w:t>
            </w:r>
          </w:p>
        </w:tc>
        <w:tc>
          <w:tcPr>
            <w:tcW w:type="dxa" w:w="2735"/>
            <w:shd w:fill="1F3A5F" w:val="clear"/>
            <w:tcMar>
              <w:top w:type="dxa" w:w="60"/>
              <w:left w:type="dxa" w:w="100"/>
              <w:bottom w:type="dxa" w:w="60"/>
              <w:right w:type="dxa" w:w="100"/>
            </w:tcMar>
          </w:tcPr>
          <w:p>
            <w:r>
              <w:rPr>
                <w:b/>
                <w:bCs/>
                <w:color w:val="FFFFFF"/>
                <w:sz w:val="19"/>
                <w:szCs w:val="19"/>
              </w:rPr>
              <w:t xml:space="preserve">Owner · Country</w:t>
            </w:r>
          </w:p>
        </w:tc>
        <w:tc>
          <w:tcPr>
            <w:tcW w:type="dxa" w:w="3888"/>
            <w:shd w:fill="1F3A5F" w:val="clear"/>
            <w:tcMar>
              <w:top w:type="dxa" w:w="60"/>
              <w:left w:type="dxa" w:w="100"/>
              <w:bottom w:type="dxa" w:w="60"/>
              <w:right w:type="dxa" w:w="100"/>
            </w:tcMar>
          </w:tcPr>
          <w:p>
            <w:r>
              <w:rPr>
                <w:b/>
                <w:bCs/>
                <w:color w:val="FFFFFF"/>
                <w:sz w:val="19"/>
                <w:szCs w:val="19"/>
              </w:rPr>
              <w:t xml:space="preserve">Envelope-relevant content</w:t>
            </w:r>
          </w:p>
        </w:tc>
      </w:tr>
      <w:tr>
        <w:tc>
          <w:tcPr>
            <w:tcW w:type="dxa" w:w="2735"/>
            <w:tcMar>
              <w:top w:type="dxa" w:w="60"/>
              <w:left w:type="dxa" w:w="100"/>
              <w:bottom w:type="dxa" w:w="60"/>
              <w:right w:type="dxa" w:w="100"/>
            </w:tcMar>
          </w:tcPr>
          <w:p>
            <w:r>
              <w:rPr>
                <w:b w:val="false"/>
                <w:bCs w:val="false"/>
                <w:color w:val="000000"/>
                <w:sz w:val="19"/>
                <w:szCs w:val="19"/>
              </w:rPr>
              <w:t xml:space="preserve">ChEMBL; ChEBI; UniChem; PDBe; Open Targets</w:t>
            </w:r>
          </w:p>
        </w:tc>
        <w:tc>
          <w:tcPr>
            <w:tcW w:type="dxa" w:w="2735"/>
            <w:tcMar>
              <w:top w:type="dxa" w:w="60"/>
              <w:left w:type="dxa" w:w="100"/>
              <w:bottom w:type="dxa" w:w="60"/>
              <w:right w:type="dxa" w:w="100"/>
            </w:tcMar>
          </w:tcPr>
          <w:p>
            <w:r>
              <w:rPr>
                <w:b w:val="false"/>
                <w:bCs w:val="false"/>
                <w:color w:val="000000"/>
                <w:sz w:val="19"/>
                <w:szCs w:val="19"/>
              </w:rPr>
              <w:t xml:space="preserve">EMBL-EBI · UK</w:t>
            </w:r>
          </w:p>
        </w:tc>
        <w:tc>
          <w:tcPr>
            <w:tcW w:type="dxa" w:w="3888"/>
            <w:tcMar>
              <w:top w:type="dxa" w:w="60"/>
              <w:left w:type="dxa" w:w="100"/>
              <w:bottom w:type="dxa" w:w="60"/>
              <w:right w:type="dxa" w:w="100"/>
            </w:tcMar>
          </w:tcPr>
          <w:p>
            <w:r>
              <w:rPr>
                <w:b w:val="false"/>
                <w:bCs w:val="false"/>
                <w:color w:val="000000"/>
                <w:sz w:val="19"/>
                <w:szCs w:val="19"/>
              </w:rPr>
              <w:t xml:space="preserve">Bioactivity (IC50/EC50/Ki), curated ADMET assay data, chemical ontology, structures, target–disease evidence</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UniProt</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EMBL-EBI / SIB · UK &amp; Switzerland</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Target sequence, isoforms, expression — PD target characterization</w:t>
            </w:r>
          </w:p>
        </w:tc>
      </w:tr>
      <w:tr>
        <w:tc>
          <w:tcPr>
            <w:tcW w:type="dxa" w:w="2735"/>
            <w:tcMar>
              <w:top w:type="dxa" w:w="60"/>
              <w:left w:type="dxa" w:w="100"/>
              <w:bottom w:type="dxa" w:w="60"/>
              <w:right w:type="dxa" w:w="100"/>
            </w:tcMar>
          </w:tcPr>
          <w:p>
            <w:r>
              <w:rPr>
                <w:b w:val="false"/>
                <w:bCs w:val="false"/>
                <w:color w:val="000000"/>
                <w:sz w:val="19"/>
                <w:szCs w:val="19"/>
              </w:rPr>
              <w:t xml:space="preserve">IUPHAR/BPS Guide to PHARMACOLOGY</w:t>
            </w:r>
          </w:p>
        </w:tc>
        <w:tc>
          <w:tcPr>
            <w:tcW w:type="dxa" w:w="2735"/>
            <w:tcMar>
              <w:top w:type="dxa" w:w="60"/>
              <w:left w:type="dxa" w:w="100"/>
              <w:bottom w:type="dxa" w:w="60"/>
              <w:right w:type="dxa" w:w="100"/>
            </w:tcMar>
          </w:tcPr>
          <w:p>
            <w:r>
              <w:rPr>
                <w:b w:val="false"/>
                <w:bCs w:val="false"/>
                <w:color w:val="000000"/>
                <w:sz w:val="19"/>
                <w:szCs w:val="19"/>
              </w:rPr>
              <w:t xml:space="preserve">University of Edinburgh · UK</w:t>
            </w:r>
          </w:p>
        </w:tc>
        <w:tc>
          <w:tcPr>
            <w:tcW w:type="dxa" w:w="3888"/>
            <w:tcMar>
              <w:top w:type="dxa" w:w="60"/>
              <w:left w:type="dxa" w:w="100"/>
              <w:bottom w:type="dxa" w:w="60"/>
              <w:right w:type="dxa" w:w="100"/>
            </w:tcMar>
          </w:tcPr>
          <w:p>
            <w:r>
              <w:rPr>
                <w:b w:val="false"/>
                <w:bCs w:val="false"/>
                <w:color w:val="000000"/>
                <w:sz w:val="19"/>
                <w:szCs w:val="19"/>
              </w:rPr>
              <w:t xml:space="preserve">Expert-curated pharmacology: receptor Kd/Ki, kinetics, selectivity</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DrugBank</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University of Alberta · Canada</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Drug-centric PK summaries: half-life, protein binding, metabolism enzymes, transporters, DDIs</w:t>
            </w:r>
          </w:p>
        </w:tc>
      </w:tr>
      <w:tr>
        <w:tc>
          <w:tcPr>
            <w:tcW w:type="dxa" w:w="2735"/>
            <w:tcMar>
              <w:top w:type="dxa" w:w="60"/>
              <w:left w:type="dxa" w:w="100"/>
              <w:bottom w:type="dxa" w:w="60"/>
              <w:right w:type="dxa" w:w="100"/>
            </w:tcMar>
          </w:tcPr>
          <w:p>
            <w:r>
              <w:rPr>
                <w:b w:val="false"/>
                <w:bCs w:val="false"/>
                <w:color w:val="000000"/>
                <w:sz w:val="19"/>
                <w:szCs w:val="19"/>
              </w:rPr>
              <w:t xml:space="preserve">KEGG DRUG / KEGG PATHWAY</w:t>
            </w:r>
          </w:p>
        </w:tc>
        <w:tc>
          <w:tcPr>
            <w:tcW w:type="dxa" w:w="2735"/>
            <w:tcMar>
              <w:top w:type="dxa" w:w="60"/>
              <w:left w:type="dxa" w:w="100"/>
              <w:bottom w:type="dxa" w:w="60"/>
              <w:right w:type="dxa" w:w="100"/>
            </w:tcMar>
          </w:tcPr>
          <w:p>
            <w:r>
              <w:rPr>
                <w:b w:val="false"/>
                <w:bCs w:val="false"/>
                <w:color w:val="000000"/>
                <w:sz w:val="19"/>
                <w:szCs w:val="19"/>
              </w:rPr>
              <w:t xml:space="preserve">Kyoto University · Japan</w:t>
            </w:r>
          </w:p>
        </w:tc>
        <w:tc>
          <w:tcPr>
            <w:tcW w:type="dxa" w:w="3888"/>
            <w:tcMar>
              <w:top w:type="dxa" w:w="60"/>
              <w:left w:type="dxa" w:w="100"/>
              <w:bottom w:type="dxa" w:w="60"/>
              <w:right w:type="dxa" w:w="100"/>
            </w:tcMar>
          </w:tcPr>
          <w:p>
            <w:r>
              <w:rPr>
                <w:b w:val="false"/>
                <w:bCs w:val="false"/>
                <w:color w:val="000000"/>
                <w:sz w:val="19"/>
                <w:szCs w:val="19"/>
              </w:rPr>
              <w:t xml:space="preserve">Drug metabolism maps, enzyme/transporter interactions, Japanese approvals cross-links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PK-DB</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Humboldt University Berlin · Germany</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Curated human PK studies (individual &amp; group-level) for modeling — CL, Vd, t½ with covariates</w:t>
            </w:r>
          </w:p>
        </w:tc>
      </w:tr>
      <w:tr>
        <w:tc>
          <w:tcPr>
            <w:tcW w:type="dxa" w:w="2735"/>
            <w:tcMar>
              <w:top w:type="dxa" w:w="60"/>
              <w:left w:type="dxa" w:w="100"/>
              <w:bottom w:type="dxa" w:w="60"/>
              <w:right w:type="dxa" w:w="100"/>
            </w:tcMar>
          </w:tcPr>
          <w:p>
            <w:r>
              <w:rPr>
                <w:b w:val="false"/>
                <w:bCs w:val="false"/>
                <w:color w:val="000000"/>
                <w:sz w:val="19"/>
                <w:szCs w:val="19"/>
              </w:rPr>
              <w:t xml:space="preserve">Therapeutic Target Database (TTD)</w:t>
            </w:r>
          </w:p>
        </w:tc>
        <w:tc>
          <w:tcPr>
            <w:tcW w:type="dxa" w:w="2735"/>
            <w:tcMar>
              <w:top w:type="dxa" w:w="60"/>
              <w:left w:type="dxa" w:w="100"/>
              <w:bottom w:type="dxa" w:w="60"/>
              <w:right w:type="dxa" w:w="100"/>
            </w:tcMar>
          </w:tcPr>
          <w:p>
            <w:r>
              <w:rPr>
                <w:b w:val="false"/>
                <w:bCs w:val="false"/>
                <w:color w:val="000000"/>
                <w:sz w:val="19"/>
                <w:szCs w:val="19"/>
              </w:rPr>
              <w:t xml:space="preserve">Zhejiang University · China</w:t>
            </w:r>
          </w:p>
        </w:tc>
        <w:tc>
          <w:tcPr>
            <w:tcW w:type="dxa" w:w="3888"/>
            <w:tcMar>
              <w:top w:type="dxa" w:w="60"/>
              <w:left w:type="dxa" w:w="100"/>
              <w:bottom w:type="dxa" w:w="60"/>
              <w:right w:type="dxa" w:w="100"/>
            </w:tcMar>
          </w:tcPr>
          <w:p>
            <w:r>
              <w:rPr>
                <w:b w:val="false"/>
                <w:bCs w:val="false"/>
                <w:color w:val="000000"/>
                <w:sz w:val="19"/>
                <w:szCs w:val="19"/>
              </w:rPr>
              <w:t xml:space="preserve">Targets, drug–target activity, biomarker links</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admetSAR 3.0</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East China Univ. of Science &amp; Technology · China</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Predicted + curated ADMET endpoints (permeability, CYP, hERG, tox)</w:t>
            </w:r>
          </w:p>
        </w:tc>
      </w:tr>
      <w:tr>
        <w:tc>
          <w:tcPr>
            <w:tcW w:type="dxa" w:w="2735"/>
            <w:tcMar>
              <w:top w:type="dxa" w:w="60"/>
              <w:left w:type="dxa" w:w="100"/>
              <w:bottom w:type="dxa" w:w="60"/>
              <w:right w:type="dxa" w:w="100"/>
            </w:tcMar>
          </w:tcPr>
          <w:p>
            <w:r>
              <w:rPr>
                <w:b w:val="false"/>
                <w:bCs w:val="false"/>
                <w:color w:val="000000"/>
                <w:sz w:val="19"/>
                <w:szCs w:val="19"/>
              </w:rPr>
              <w:t xml:space="preserve">ADMETlab 3.0</w:t>
            </w:r>
          </w:p>
        </w:tc>
        <w:tc>
          <w:tcPr>
            <w:tcW w:type="dxa" w:w="2735"/>
            <w:tcMar>
              <w:top w:type="dxa" w:w="60"/>
              <w:left w:type="dxa" w:w="100"/>
              <w:bottom w:type="dxa" w:w="60"/>
              <w:right w:type="dxa" w:w="100"/>
            </w:tcMar>
          </w:tcPr>
          <w:p>
            <w:r>
              <w:rPr>
                <w:b w:val="false"/>
                <w:bCs w:val="false"/>
                <w:color w:val="000000"/>
                <w:sz w:val="19"/>
                <w:szCs w:val="19"/>
              </w:rPr>
              <w:t xml:space="preserve">Central South University · China</w:t>
            </w:r>
          </w:p>
        </w:tc>
        <w:tc>
          <w:tcPr>
            <w:tcW w:type="dxa" w:w="3888"/>
            <w:tcMar>
              <w:top w:type="dxa" w:w="60"/>
              <w:left w:type="dxa" w:w="100"/>
              <w:bottom w:type="dxa" w:w="60"/>
              <w:right w:type="dxa" w:w="100"/>
            </w:tcMar>
          </w:tcPr>
          <w:p>
            <w:r>
              <w:rPr>
                <w:b w:val="false"/>
                <w:bCs w:val="false"/>
                <w:color w:val="000000"/>
                <w:sz w:val="19"/>
                <w:szCs w:val="19"/>
              </w:rPr>
              <w:t xml:space="preserve">Comprehensive in silico ADMET profiling platform with API</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SwissADME; SwissTargetPrediction</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SIB · Switzerland</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Physicochemical, drug-likeness, absorption/BBB predictions; target fishing</w:t>
            </w:r>
          </w:p>
        </w:tc>
      </w:tr>
      <w:tr>
        <w:tc>
          <w:tcPr>
            <w:tcW w:type="dxa" w:w="2735"/>
            <w:tcMar>
              <w:top w:type="dxa" w:w="60"/>
              <w:left w:type="dxa" w:w="100"/>
              <w:bottom w:type="dxa" w:w="60"/>
              <w:right w:type="dxa" w:w="100"/>
            </w:tcMar>
          </w:tcPr>
          <w:p>
            <w:r>
              <w:rPr>
                <w:b w:val="false"/>
                <w:bCs w:val="false"/>
                <w:color w:val="000000"/>
                <w:sz w:val="19"/>
                <w:szCs w:val="19"/>
              </w:rPr>
              <w:t xml:space="preserve">pkCSM</w:t>
            </w:r>
          </w:p>
        </w:tc>
        <w:tc>
          <w:tcPr>
            <w:tcW w:type="dxa" w:w="2735"/>
            <w:tcMar>
              <w:top w:type="dxa" w:w="60"/>
              <w:left w:type="dxa" w:w="100"/>
              <w:bottom w:type="dxa" w:w="60"/>
              <w:right w:type="dxa" w:w="100"/>
            </w:tcMar>
          </w:tcPr>
          <w:p>
            <w:r>
              <w:rPr>
                <w:b w:val="false"/>
                <w:bCs w:val="false"/>
                <w:color w:val="000000"/>
                <w:sz w:val="19"/>
                <w:szCs w:val="19"/>
              </w:rPr>
              <w:t xml:space="preserve">Univ. of Melbourne · Australia (with Cambridge)</w:t>
            </w:r>
          </w:p>
        </w:tc>
        <w:tc>
          <w:tcPr>
            <w:tcW w:type="dxa" w:w="3888"/>
            <w:tcMar>
              <w:top w:type="dxa" w:w="60"/>
              <w:left w:type="dxa" w:w="100"/>
              <w:bottom w:type="dxa" w:w="60"/>
              <w:right w:type="dxa" w:w="100"/>
            </w:tcMar>
          </w:tcPr>
          <w:p>
            <w:r>
              <w:rPr>
                <w:b w:val="false"/>
                <w:bCs w:val="false"/>
                <w:color w:val="000000"/>
                <w:sz w:val="19"/>
                <w:szCs w:val="19"/>
              </w:rPr>
              <w:t xml:space="preserve">Graph-based ADMET predictions (Caco-2, VDss, CNS, hERG, tox)</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ProTox-3.0; SuperDRUG2</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Charité Berlin · Germany</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Toxicity endpoint prediction (LD50, organ tox); approved-drug PK reference set</w:t>
            </w:r>
          </w:p>
        </w:tc>
      </w:tr>
    </w:tbl>
    <w:p>
      <w:pPr>
        <w:spacing w:after="120"/>
      </w:pPr>
    </w:p>
    <w:p>
      <w:pPr>
        <w:pStyle w:val="Heading2"/>
        <w:spacing w:after="120" w:before="260"/>
      </w:pPr>
      <w:r>
        <w:rPr>
          <w:b/>
          <w:bCs/>
          <w:color w:val="1F3A5F"/>
          <w:sz w:val="25"/>
          <w:szCs w:val="25"/>
        </w:rPr>
        <w:t xml:space="preserve">A-4. Literature and Bibliographic Sources (Non-US Owned/Hosted)</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2735"/>
        <w:gridCol w:w="2735"/>
        <w:gridCol w:w="3888"/>
      </w:tblGrid>
      <w:tr>
        <w:trPr>
          <w:tblHeader/>
        </w:trPr>
        <w:tc>
          <w:tcPr>
            <w:tcW w:type="dxa" w:w="2735"/>
            <w:shd w:fill="1F3A5F" w:val="clear"/>
            <w:tcMar>
              <w:top w:type="dxa" w:w="60"/>
              <w:left w:type="dxa" w:w="100"/>
              <w:bottom w:type="dxa" w:w="60"/>
              <w:right w:type="dxa" w:w="100"/>
            </w:tcMar>
          </w:tcPr>
          <w:p>
            <w:r>
              <w:rPr>
                <w:b/>
                <w:bCs/>
                <w:color w:val="FFFFFF"/>
                <w:sz w:val="19"/>
                <w:szCs w:val="19"/>
              </w:rPr>
              <w:t xml:space="preserve">Database / resource</w:t>
            </w:r>
          </w:p>
        </w:tc>
        <w:tc>
          <w:tcPr>
            <w:tcW w:type="dxa" w:w="2735"/>
            <w:shd w:fill="1F3A5F" w:val="clear"/>
            <w:tcMar>
              <w:top w:type="dxa" w:w="60"/>
              <w:left w:type="dxa" w:w="100"/>
              <w:bottom w:type="dxa" w:w="60"/>
              <w:right w:type="dxa" w:w="100"/>
            </w:tcMar>
          </w:tcPr>
          <w:p>
            <w:r>
              <w:rPr>
                <w:b/>
                <w:bCs/>
                <w:color w:val="FFFFFF"/>
                <w:sz w:val="19"/>
                <w:szCs w:val="19"/>
              </w:rPr>
              <w:t xml:space="preserve">Owner · Country</w:t>
            </w:r>
          </w:p>
        </w:tc>
        <w:tc>
          <w:tcPr>
            <w:tcW w:type="dxa" w:w="3888"/>
            <w:shd w:fill="1F3A5F" w:val="clear"/>
            <w:tcMar>
              <w:top w:type="dxa" w:w="60"/>
              <w:left w:type="dxa" w:w="100"/>
              <w:bottom w:type="dxa" w:w="60"/>
              <w:right w:type="dxa" w:w="100"/>
            </w:tcMar>
          </w:tcPr>
          <w:p>
            <w:r>
              <w:rPr>
                <w:b/>
                <w:bCs/>
                <w:color w:val="FFFFFF"/>
                <w:sz w:val="19"/>
                <w:szCs w:val="19"/>
              </w:rPr>
              <w:t xml:space="preserve">Envelope-relevant content</w:t>
            </w:r>
          </w:p>
        </w:tc>
      </w:tr>
      <w:tr>
        <w:tc>
          <w:tcPr>
            <w:tcW w:type="dxa" w:w="2735"/>
            <w:tcMar>
              <w:top w:type="dxa" w:w="60"/>
              <w:left w:type="dxa" w:w="100"/>
              <w:bottom w:type="dxa" w:w="60"/>
              <w:right w:type="dxa" w:w="100"/>
            </w:tcMar>
          </w:tcPr>
          <w:p>
            <w:r>
              <w:rPr>
                <w:b w:val="false"/>
                <w:bCs w:val="false"/>
                <w:color w:val="000000"/>
                <w:sz w:val="19"/>
                <w:szCs w:val="19"/>
              </w:rPr>
              <w:t xml:space="preserve">Embase; Scopus</w:t>
            </w:r>
          </w:p>
        </w:tc>
        <w:tc>
          <w:tcPr>
            <w:tcW w:type="dxa" w:w="2735"/>
            <w:tcMar>
              <w:top w:type="dxa" w:w="60"/>
              <w:left w:type="dxa" w:w="100"/>
              <w:bottom w:type="dxa" w:w="60"/>
              <w:right w:type="dxa" w:w="100"/>
            </w:tcMar>
          </w:tcPr>
          <w:p>
            <w:r>
              <w:rPr>
                <w:b w:val="false"/>
                <w:bCs w:val="false"/>
                <w:color w:val="000000"/>
                <w:sz w:val="19"/>
                <w:szCs w:val="19"/>
              </w:rPr>
              <w:t xml:space="preserve">Elsevier · Netherlands</w:t>
            </w:r>
          </w:p>
        </w:tc>
        <w:tc>
          <w:tcPr>
            <w:tcW w:type="dxa" w:w="3888"/>
            <w:tcMar>
              <w:top w:type="dxa" w:w="60"/>
              <w:left w:type="dxa" w:w="100"/>
              <w:bottom w:type="dxa" w:w="60"/>
              <w:right w:type="dxa" w:w="100"/>
            </w:tcMar>
          </w:tcPr>
          <w:p>
            <w:r>
              <w:rPr>
                <w:b w:val="false"/>
                <w:bCs w:val="false"/>
                <w:color w:val="000000"/>
                <w:sz w:val="19"/>
                <w:szCs w:val="19"/>
              </w:rPr>
              <w:t xml:space="preserve">Biomedical literature with deep drug/PK indexing (Emtree); citation index</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Europe PMC</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EMBL-EBI · UK</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Open-access full-text mining of life-science literature, incl. preprints</w:t>
            </w:r>
          </w:p>
        </w:tc>
      </w:tr>
      <w:tr>
        <w:tc>
          <w:tcPr>
            <w:tcW w:type="dxa" w:w="2735"/>
            <w:tcMar>
              <w:top w:type="dxa" w:w="60"/>
              <w:left w:type="dxa" w:w="100"/>
              <w:bottom w:type="dxa" w:w="60"/>
              <w:right w:type="dxa" w:w="100"/>
            </w:tcMar>
          </w:tcPr>
          <w:p>
            <w:r>
              <w:rPr>
                <w:b w:val="false"/>
                <w:bCs w:val="false"/>
                <w:color w:val="000000"/>
                <w:sz w:val="19"/>
                <w:szCs w:val="19"/>
              </w:rPr>
              <w:t xml:space="preserve">Cochrane Library</w:t>
            </w:r>
          </w:p>
        </w:tc>
        <w:tc>
          <w:tcPr>
            <w:tcW w:type="dxa" w:w="2735"/>
            <w:tcMar>
              <w:top w:type="dxa" w:w="60"/>
              <w:left w:type="dxa" w:w="100"/>
              <w:bottom w:type="dxa" w:w="60"/>
              <w:right w:type="dxa" w:w="100"/>
            </w:tcMar>
          </w:tcPr>
          <w:p>
            <w:r>
              <w:rPr>
                <w:b w:val="false"/>
                <w:bCs w:val="false"/>
                <w:color w:val="000000"/>
                <w:sz w:val="19"/>
                <w:szCs w:val="19"/>
              </w:rPr>
              <w:t xml:space="preserve">Cochrane · UK</w:t>
            </w:r>
          </w:p>
        </w:tc>
        <w:tc>
          <w:tcPr>
            <w:tcW w:type="dxa" w:w="3888"/>
            <w:tcMar>
              <w:top w:type="dxa" w:w="60"/>
              <w:left w:type="dxa" w:w="100"/>
              <w:bottom w:type="dxa" w:w="60"/>
              <w:right w:type="dxa" w:w="100"/>
            </w:tcMar>
          </w:tcPr>
          <w:p>
            <w:r>
              <w:rPr>
                <w:b w:val="false"/>
                <w:bCs w:val="false"/>
                <w:color w:val="000000"/>
                <w:sz w:val="19"/>
                <w:szCs w:val="19"/>
              </w:rPr>
              <w:t xml:space="preserve">Systematic reviews; comparative efficacy/safety evidence</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BASE</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Bielefeld University · Germany</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Academic open-access search across global university repositories</w:t>
            </w:r>
          </w:p>
        </w:tc>
      </w:tr>
      <w:tr>
        <w:tc>
          <w:tcPr>
            <w:tcW w:type="dxa" w:w="2735"/>
            <w:tcMar>
              <w:top w:type="dxa" w:w="60"/>
              <w:left w:type="dxa" w:w="100"/>
              <w:bottom w:type="dxa" w:w="60"/>
              <w:right w:type="dxa" w:w="100"/>
            </w:tcMar>
          </w:tcPr>
          <w:p>
            <w:r>
              <w:rPr>
                <w:b w:val="false"/>
                <w:bCs w:val="false"/>
                <w:color w:val="000000"/>
                <w:sz w:val="19"/>
                <w:szCs w:val="19"/>
              </w:rPr>
              <w:t xml:space="preserve">CORE</w:t>
            </w:r>
          </w:p>
        </w:tc>
        <w:tc>
          <w:tcPr>
            <w:tcW w:type="dxa" w:w="2735"/>
            <w:tcMar>
              <w:top w:type="dxa" w:w="60"/>
              <w:left w:type="dxa" w:w="100"/>
              <w:bottom w:type="dxa" w:w="60"/>
              <w:right w:type="dxa" w:w="100"/>
            </w:tcMar>
          </w:tcPr>
          <w:p>
            <w:r>
              <w:rPr>
                <w:b w:val="false"/>
                <w:bCs w:val="false"/>
                <w:color w:val="000000"/>
                <w:sz w:val="19"/>
                <w:szCs w:val="19"/>
              </w:rPr>
              <w:t xml:space="preserve">Open University · UK</w:t>
            </w:r>
          </w:p>
        </w:tc>
        <w:tc>
          <w:tcPr>
            <w:tcW w:type="dxa" w:w="3888"/>
            <w:tcMar>
              <w:top w:type="dxa" w:w="60"/>
              <w:left w:type="dxa" w:w="100"/>
              <w:bottom w:type="dxa" w:w="60"/>
              <w:right w:type="dxa" w:w="100"/>
            </w:tcMar>
          </w:tcPr>
          <w:p>
            <w:r>
              <w:rPr>
                <w:b w:val="false"/>
                <w:bCs w:val="false"/>
                <w:color w:val="000000"/>
                <w:sz w:val="19"/>
                <w:szCs w:val="19"/>
              </w:rPr>
              <w:t xml:space="preserve">Aggregated open-access university repository content</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OpenAIRE Explore</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OpenAIRE AMKE · EU</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EU-funded research outputs and datasets</w:t>
            </w:r>
          </w:p>
        </w:tc>
      </w:tr>
      <w:tr>
        <w:tc>
          <w:tcPr>
            <w:tcW w:type="dxa" w:w="2735"/>
            <w:tcMar>
              <w:top w:type="dxa" w:w="60"/>
              <w:left w:type="dxa" w:w="100"/>
              <w:bottom w:type="dxa" w:w="60"/>
              <w:right w:type="dxa" w:w="100"/>
            </w:tcMar>
          </w:tcPr>
          <w:p>
            <w:r>
              <w:rPr>
                <w:b w:val="false"/>
                <w:bCs w:val="false"/>
                <w:color w:val="000000"/>
                <w:sz w:val="19"/>
                <w:szCs w:val="19"/>
              </w:rPr>
              <w:t xml:space="preserve">J-STAGE</w:t>
            </w:r>
          </w:p>
        </w:tc>
        <w:tc>
          <w:tcPr>
            <w:tcW w:type="dxa" w:w="2735"/>
            <w:tcMar>
              <w:top w:type="dxa" w:w="60"/>
              <w:left w:type="dxa" w:w="100"/>
              <w:bottom w:type="dxa" w:w="60"/>
              <w:right w:type="dxa" w:w="100"/>
            </w:tcMar>
          </w:tcPr>
          <w:p>
            <w:r>
              <w:rPr>
                <w:b w:val="false"/>
                <w:bCs w:val="false"/>
                <w:color w:val="000000"/>
                <w:sz w:val="19"/>
                <w:szCs w:val="19"/>
              </w:rPr>
              <w:t xml:space="preserve">JST · Japan</w:t>
            </w:r>
          </w:p>
        </w:tc>
        <w:tc>
          <w:tcPr>
            <w:tcW w:type="dxa" w:w="3888"/>
            <w:tcMar>
              <w:top w:type="dxa" w:w="60"/>
              <w:left w:type="dxa" w:w="100"/>
              <w:bottom w:type="dxa" w:w="60"/>
              <w:right w:type="dxa" w:w="100"/>
            </w:tcMar>
          </w:tcPr>
          <w:p>
            <w:r>
              <w:rPr>
                <w:b w:val="false"/>
                <w:bCs w:val="false"/>
                <w:color w:val="000000"/>
                <w:sz w:val="19"/>
                <w:szCs w:val="19"/>
              </w:rPr>
              <w:t xml:space="preserve">Japanese scientific journals (many English-language)</w:t>
            </w:r>
          </w:p>
        </w:tc>
      </w:tr>
      <w:tr>
        <w:tc>
          <w:tcPr>
            <w:tcW w:type="dxa" w:w="2735"/>
            <w:shd w:fill="EEF2F7" w:val="clear"/>
            <w:tcMar>
              <w:top w:type="dxa" w:w="60"/>
              <w:left w:type="dxa" w:w="100"/>
              <w:bottom w:type="dxa" w:w="60"/>
              <w:right w:type="dxa" w:w="100"/>
            </w:tcMar>
          </w:tcPr>
          <w:p>
            <w:r>
              <w:rPr>
                <w:b w:val="false"/>
                <w:bCs w:val="false"/>
                <w:color w:val="000000"/>
                <w:sz w:val="19"/>
                <w:szCs w:val="19"/>
              </w:rPr>
              <w:t xml:space="preserve">CNKI</w:t>
            </w:r>
          </w:p>
        </w:tc>
        <w:tc>
          <w:tcPr>
            <w:tcW w:type="dxa" w:w="2735"/>
            <w:shd w:fill="EEF2F7" w:val="clear"/>
            <w:tcMar>
              <w:top w:type="dxa" w:w="60"/>
              <w:left w:type="dxa" w:w="100"/>
              <w:bottom w:type="dxa" w:w="60"/>
              <w:right w:type="dxa" w:w="100"/>
            </w:tcMar>
          </w:tcPr>
          <w:p>
            <w:r>
              <w:rPr>
                <w:b w:val="false"/>
                <w:bCs w:val="false"/>
                <w:color w:val="000000"/>
                <w:sz w:val="19"/>
                <w:szCs w:val="19"/>
              </w:rPr>
              <w:t xml:space="preserve">Tsinghua-affiliated · China</w:t>
            </w:r>
          </w:p>
        </w:tc>
        <w:tc>
          <w:tcPr>
            <w:tcW w:type="dxa" w:w="3888"/>
            <w:shd w:fill="EEF2F7" w:val="clear"/>
            <w:tcMar>
              <w:top w:type="dxa" w:w="60"/>
              <w:left w:type="dxa" w:w="100"/>
              <w:bottom w:type="dxa" w:w="60"/>
              <w:right w:type="dxa" w:w="100"/>
            </w:tcMar>
          </w:tcPr>
          <w:p>
            <w:r>
              <w:rPr>
                <w:b w:val="false"/>
                <w:bCs w:val="false"/>
                <w:color w:val="000000"/>
                <w:sz w:val="19"/>
                <w:szCs w:val="19"/>
              </w:rPr>
              <w:t xml:space="preserve">Chinese academic literature incl. local PK/BE studies</w:t>
            </w:r>
          </w:p>
        </w:tc>
      </w:tr>
      <w:tr>
        <w:tc>
          <w:tcPr>
            <w:tcW w:type="dxa" w:w="2735"/>
            <w:tcMar>
              <w:top w:type="dxa" w:w="60"/>
              <w:left w:type="dxa" w:w="100"/>
              <w:bottom w:type="dxa" w:w="60"/>
              <w:right w:type="dxa" w:w="100"/>
            </w:tcMar>
          </w:tcPr>
          <w:p>
            <w:r>
              <w:rPr>
                <w:b w:val="false"/>
                <w:bCs w:val="false"/>
                <w:color w:val="000000"/>
                <w:sz w:val="19"/>
                <w:szCs w:val="19"/>
              </w:rPr>
              <w:t xml:space="preserve">SciELO</w:t>
            </w:r>
          </w:p>
        </w:tc>
        <w:tc>
          <w:tcPr>
            <w:tcW w:type="dxa" w:w="2735"/>
            <w:tcMar>
              <w:top w:type="dxa" w:w="60"/>
              <w:left w:type="dxa" w:w="100"/>
              <w:bottom w:type="dxa" w:w="60"/>
              <w:right w:type="dxa" w:w="100"/>
            </w:tcMar>
          </w:tcPr>
          <w:p>
            <w:r>
              <w:rPr>
                <w:b w:val="false"/>
                <w:bCs w:val="false"/>
                <w:color w:val="000000"/>
                <w:sz w:val="19"/>
                <w:szCs w:val="19"/>
              </w:rPr>
              <w:t xml:space="preserve">FAPESP consortium · Brazil / Latin America</w:t>
            </w:r>
          </w:p>
        </w:tc>
        <w:tc>
          <w:tcPr>
            <w:tcW w:type="dxa" w:w="3888"/>
            <w:tcMar>
              <w:top w:type="dxa" w:w="60"/>
              <w:left w:type="dxa" w:w="100"/>
              <w:bottom w:type="dxa" w:w="60"/>
              <w:right w:type="dxa" w:w="100"/>
            </w:tcMar>
          </w:tcPr>
          <w:p>
            <w:r>
              <w:rPr>
                <w:b w:val="false"/>
                <w:bCs w:val="false"/>
                <w:color w:val="000000"/>
                <w:sz w:val="19"/>
                <w:szCs w:val="19"/>
              </w:rPr>
              <w:t xml:space="preserve">Latin American and Iberian journals</w:t>
            </w:r>
          </w:p>
        </w:tc>
      </w:tr>
    </w:tbl>
    <w:p>
      <w:pPr>
        <w:spacing w:after="120"/>
      </w:pPr>
    </w:p>
    <w:p>
      <w:pPr>
        <w:spacing w:after="120"/>
      </w:pPr>
      <w:r>
        <w:rPr>
          <w:i/>
          <w:iCs/>
          <w:color w:val="555555"/>
          <w:sz w:val="21"/>
          <w:szCs w:val="21"/>
        </w:rPr>
        <w:t xml:space="preserve">Coverage note: national regulatory review reports (EPAR, AusPAR, PMDA English review reports, Health Canada product monographs) are the richest public sources of authoritative human PK/PD/ADMET envelope data outside the US and should be prioritized when assembling extraction inputs. University repositories not individually listed are reachable through BASE, CORE, and OpenAIRE, which index institutional repositories from universities in essentially all countries.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2026-08-14T17:30:34.412Z</dcterms:created>
  <dcterms:modified xsi:type="dcterms:W3CDTF">2026-08-14T17:30:34.412Z</dcterms:modified>
</cp:coreProperties>
</file>

<file path=docProps/custom.xml><?xml version="1.0" encoding="utf-8"?>
<Properties xmlns="http://schemas.openxmlformats.org/officeDocument/2006/custom-properties" xmlns:vt="http://schemas.openxmlformats.org/officeDocument/2006/docPropsVTypes"/>
</file>