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 xml:space="preserve">«БАЗОВЫЕ КОМПЕТЕНЦИИ ПРЕПОДАВАТЕЛЕЙ </w:t>
      </w:r>
    </w:p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>АВИАЦИОННЫХ УЧЕБНЫХ ЦЕТРОВ»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 xml:space="preserve">ПО ДИСЦИПЛИНЕ: </w:t>
      </w:r>
    </w:p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 xml:space="preserve">«ПОДГОТОВКА ПРЕПОДАВАТЕЛЕЙ 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АВИАЦИОННЫХ УЧЕБНЫХ ЦЕНТРОВ »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/>
      </w:pPr>
      <w:r>
        <w:rPr/>
        <w:t>УЧЕБНО-ТЕМАТИЧЕСКИЙ ПЛАН</w:t>
      </w:r>
    </w:p>
    <w:tbl>
      <w:tblPr>
        <w:tblW w:w="100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4876"/>
        <w:gridCol w:w="907"/>
        <w:gridCol w:w="993"/>
        <w:gridCol w:w="1121"/>
        <w:gridCol w:w="1478"/>
      </w:tblGrid>
      <w:tr>
        <w:trPr>
          <w:tblHeader w:val="true"/>
          <w:trHeight w:val="23" w:hRule="atLeast"/>
          <w:cantSplit w:val="true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№</w:t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>
                <w:szCs w:val="24"/>
              </w:rPr>
              <w:t>п/п</w:t>
            </w:r>
          </w:p>
        </w:tc>
        <w:tc>
          <w:tcPr>
            <w:tcW w:w="48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Наименование разделов и тем программы</w:t>
            </w:r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szCs w:val="24"/>
              </w:rPr>
              <w:t xml:space="preserve">Всего, </w:t>
              <w:br/>
              <w:t>час.</w:t>
            </w:r>
          </w:p>
        </w:tc>
        <w:tc>
          <w:tcPr>
            <w:tcW w:w="2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В том числе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Форма</w:t>
              <w:br/>
              <w:t>контроля</w:t>
            </w:r>
          </w:p>
        </w:tc>
      </w:tr>
      <w:tr>
        <w:trPr>
          <w:tblHeader w:val="true"/>
          <w:trHeight w:val="23" w:hRule="atLeast"/>
          <w:cantSplit w:val="true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лекции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практ.</w:t>
              <w:br/>
              <w:t>занятия</w:t>
            </w:r>
          </w:p>
        </w:tc>
        <w:tc>
          <w:tcPr>
            <w:tcW w:w="14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1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Особенности обучения взрослых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68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1.1 Стратегия и цели бизнеса как форм-фактор корпоративного обучения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6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1.2 Принципиальные отличия бизнес-образования от профессионального дополнительного образования и профессионального обучения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1.3 Педагогика, андрагогика, герогогика: специфика и принципы работы со взрослой аудиторией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1.4 Психологические особенности людей, выступающие предпосылками успешного обучения (по К. Роджерсу)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191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1.5 Использование особенностей познавательных процессов для повышения эффективности обучения взрослых (восприятие, память, внимание, мышление)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191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2</w:t>
            </w:r>
          </w:p>
          <w:p>
            <w:pPr>
              <w:pStyle w:val="Normal"/>
              <w:jc w:val="left"/>
              <w:rPr>
                <w:szCs w:val="24"/>
                <w:highlight w:val="yellow"/>
              </w:rPr>
            </w:pPr>
            <w:r>
              <w:rPr>
                <w:b/>
                <w:szCs w:val="24"/>
              </w:rPr>
              <w:t>Нормативно-правовая база, регламентирующая деятельность преподавателей авиационных учебных центров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113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2.1 Федеральные законы и подзаконные акты, регламентирующие образовательную деятельность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2.2 Федеральные авиационные правила, регламентирующие деятельность авиационных учебных центров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64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3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Различия между организованной и неорганизованной группой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3.1 Роли в неорганизованной группе. Роль тренера, как тренера и фасилитатора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3.2 Качественный и количественный состав групп (гомогенность и гетерогенность группы). Особенности работы со смешанными группами (межфункциональные группы, группы, включающие сотрудников разного статуса)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3.3 Распознавание ролей в группе, коррекция деструктивных ролей. Фазы развития группы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4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Навыки вербальной и невербальной коммуникации в процессе обучения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147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left"/>
              <w:rPr/>
            </w:pPr>
            <w:r>
              <w:rPr/>
              <w:t xml:space="preserve">Тема 4.1 </w:t>
            </w:r>
            <w:r>
              <w:rPr>
                <w:szCs w:val="24"/>
              </w:rPr>
              <w:t>Процесс коммуникации в обучении: схема, принципы, каналы распространения информации, барьеры распространения информации, принципы эффективной коммуникации. Навыки слушания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left"/>
              <w:rPr/>
            </w:pPr>
            <w:r>
              <w:rPr/>
              <w:t xml:space="preserve">Тема 4.2 </w:t>
            </w:r>
            <w:r>
              <w:rPr>
                <w:szCs w:val="24"/>
              </w:rPr>
              <w:t>Навыки работы с вопросами. Процесс организации группового обсуждения. Методы и техники принятия групповых решений. Форматы обсуждения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5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Преимущества и эффекты групповой работы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23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left"/>
              <w:rPr/>
            </w:pPr>
            <w:r>
              <w:rPr/>
              <w:t xml:space="preserve">Тема 5.1 </w:t>
            </w:r>
            <w:r>
              <w:rPr>
                <w:szCs w:val="24"/>
              </w:rPr>
              <w:t>Групповая динамика. Факторы, влияющие на групповую динамику. Работа с групповой динамикой</w:t>
              <w:tab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3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left"/>
              <w:rPr/>
            </w:pPr>
            <w:r>
              <w:rPr/>
              <w:t xml:space="preserve">Тема 5.2 </w:t>
            </w:r>
            <w:r>
              <w:rPr>
                <w:szCs w:val="24"/>
              </w:rPr>
              <w:t>Построение работы с малыми группами на основе Теории поля К. Левина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6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Работа с участниками обучения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 Ответственность преподавателя. Возможности и мотивация обучаемых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 xml:space="preserve">Тема 6.2 </w:t>
            </w:r>
            <w:r>
              <w:rPr>
                <w:szCs w:val="24"/>
              </w:rPr>
              <w:t>Зоны ответственности преподавателя и обучаемых. Задачи преподавателя при мотивировании обучаемых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531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 xml:space="preserve">Тема 6.3 </w:t>
            </w:r>
            <w:r>
              <w:rPr>
                <w:szCs w:val="24"/>
              </w:rPr>
              <w:t>Инструменты мотивации и вовлечения в обучение. Сопротивление обучению и методы его преодоление с учетом возрастных особенностей обучаемых. Обратная связь как инструмент мотивации обучаемых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7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Оптимальный выбор метода обучения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23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7.1 Планирование системы обучения, способной реагировать на меняющиеся требования законодательства и учет отраслевых изменений. Определение  актуальных форм обучения для разной категории сотрудников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80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8</w:t>
            </w:r>
          </w:p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8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Общие методы обучения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 Групповая дискуссия. Методы, направленные на развитие социальной перцепции. Игровые методы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80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9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Интерактивные методы обучения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82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9.1 Классификация, характеристика и применение интерактивных методов обучения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737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10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Проектирование и дизайн обучения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68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10.1 Цикл Д. Колба, кривая А. Бандура, Стили обучения по Хони и Мамфорду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10.2 Составные части обучения и этапы проектирования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51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10.3 Визуализация учебного материала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395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11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 xml:space="preserve">Система оценки эффективности обучения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11.1</w:t>
            </w:r>
            <w:r>
              <w:rPr/>
              <w:t xml:space="preserve"> </w:t>
            </w:r>
            <w:r>
              <w:rPr>
                <w:szCs w:val="24"/>
              </w:rPr>
              <w:t>Способы оценки эффективности процесса обучения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11.2 Способы контроля и координации процесса обучения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11.3 Разработка индивидуальных критериев и методов оценки эффективности обучения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10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Итоговый контроль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left"/>
              <w:rPr>
                <w:b/>
                <w:b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экзамен </w:t>
            </w:r>
          </w:p>
        </w:tc>
      </w:tr>
      <w:tr>
        <w:trPr>
          <w:trHeight w:val="510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24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14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Heading1"/>
        <w:jc w:val="left"/>
        <w:rPr/>
      </w:pPr>
      <w:r>
        <w:rPr/>
        <w:t>КАЛЕНДАРНЫЙ УЧЕБНЫЙ ГРАФИК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988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509"/>
        <w:gridCol w:w="7623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Виды и уровни образования в Российской Федерации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1.2. Федеральные законы и подзаконные акты, регламентирующие образовательную деятельность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1.3. Федеральные авиационные правила, регламентирующие деятельность авиационных учебных центров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2.1. Актуальные тенденции в сфере ДПО и ПО. Современные форматы, модели и стили обучения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2.2. Особенности обучения и учёт нюансов в когнитивных процессах взрослого человека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Ответственность преподавателя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Коммуникативная компетентность преподавателя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Коммуникативная компетентность преподавателя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3.3. Ассертивное поведение преподавателя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4.1. Планирование учебного занятия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Подготовка учебных материалов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5.1. Организованная и неорганизованная группа, групповая динамика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Инструменты мотивации и вовлечения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Инструменты мотивации и вовлечения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5.3. Работа с сопротивлением и проблемными участниками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Современные концепции и технологии обучения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Традиционные и интерактивные методы обучения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7.1. Формы текущего, промежуточного, итогового контроля знаний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7.2. Способы оценки эффективности процесса обучения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Normal"/>
        <w:ind w:right="51" w:hanging="0"/>
        <w:jc w:val="center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993" w:right="851" w:header="567" w:top="1134" w:footer="720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240" w:after="0"/>
      <w:jc w:val="center"/>
      <w:rPr/>
    </w:pPr>
    <w:r>
      <w:rPr>
        <w:szCs w:val="24"/>
      </w:rPr>
      <w:t>Санкт-Петербург</w:t>
      <w:br/>
      <w:t>2018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23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</w:tblPr>
    <w:tblGrid>
      <w:gridCol w:w="2269"/>
      <w:gridCol w:w="6095"/>
      <w:gridCol w:w="1559"/>
    </w:tblGrid>
    <w:tr>
      <w:trPr>
        <w:trHeight w:val="654" w:hRule="atLeast"/>
        <w:cantSplit w:val="true"/>
      </w:trPr>
      <w:tc>
        <w:tcPr>
          <w:tcW w:w="2269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left="34" w:firstLine="1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  <w:drawing>
              <wp:inline distT="0" distB="0" distL="0" distR="0">
                <wp:extent cx="1277620" cy="35560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7620" cy="35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 xml:space="preserve"> </w:t>
          </w:r>
          <w:r>
            <w:rPr>
              <w:bCs/>
              <w:color w:val="808080"/>
              <w:szCs w:val="24"/>
            </w:rPr>
            <w:t>ООО «Воздушные Ворота Северной столицы»</w:t>
          </w:r>
        </w:p>
        <w:p>
          <w:pPr>
            <w:pStyle w:val="Normal"/>
            <w:ind w:right="51" w:hanging="0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 xml:space="preserve">Дополниельная профессиональная программа  </w:t>
          </w:r>
        </w:p>
        <w:p>
          <w:pPr>
            <w:pStyle w:val="Normal"/>
            <w:ind w:right="51" w:hanging="0"/>
            <w:jc w:val="center"/>
            <w:rPr/>
          </w:pPr>
          <w:r>
            <w:rPr>
              <w:bCs/>
              <w:color w:val="808080"/>
              <w:szCs w:val="24"/>
            </w:rPr>
            <w:t xml:space="preserve">повышения квалификации </w:t>
          </w:r>
        </w:p>
        <w:p>
          <w:pPr>
            <w:pStyle w:val="Normal"/>
            <w:ind w:right="51" w:hanging="0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>«Базовые компетенции преподавателей</w:t>
          </w:r>
        </w:p>
        <w:p>
          <w:pPr>
            <w:pStyle w:val="Normal"/>
            <w:ind w:right="51" w:hanging="0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>Авиационных учебных центров»</w:t>
          </w:r>
        </w:p>
        <w:p>
          <w:pPr>
            <w:pStyle w:val="Normal"/>
            <w:jc w:val="center"/>
            <w:rPr>
              <w:rFonts w:ascii="Arial" w:hAnsi="Arial" w:cs="Arial"/>
              <w:bCs/>
              <w:color w:val="808080"/>
              <w:sz w:val="18"/>
              <w:szCs w:val="18"/>
            </w:rPr>
          </w:pPr>
          <w:r>
            <w:rPr>
              <w:rFonts w:cs="Arial" w:ascii="Arial" w:hAnsi="Arial"/>
              <w:bCs/>
              <w:color w:val="808080"/>
              <w:sz w:val="18"/>
              <w:szCs w:val="18"/>
            </w:rPr>
          </w:r>
        </w:p>
      </w:tc>
      <w:tc>
        <w:tcPr>
          <w:tcW w:w="1559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jc w:val="right"/>
            <w:rPr>
              <w:color w:val="808080"/>
              <w:szCs w:val="24"/>
            </w:rPr>
          </w:pPr>
          <w:r>
            <w:rPr>
              <w:rStyle w:val="PageNumber"/>
              <w:color w:val="808080"/>
              <w:szCs w:val="24"/>
            </w:rPr>
            <w:t xml:space="preserve">Стр. </w:t>
          </w:r>
          <w:r>
            <w:rPr>
              <w:color w:val="808080"/>
              <w:szCs w:val="24"/>
            </w:rPr>
            <w:fldChar w:fldCharType="begin"/>
          </w:r>
          <w:r>
            <w:rPr>
              <w:szCs w:val="24"/>
              <w:color w:val="808080"/>
            </w:rPr>
            <w:instrText> PAGE </w:instrText>
          </w:r>
          <w:r>
            <w:rPr>
              <w:szCs w:val="24"/>
              <w:color w:val="808080"/>
            </w:rPr>
            <w:fldChar w:fldCharType="separate"/>
          </w:r>
          <w:r>
            <w:rPr>
              <w:szCs w:val="24"/>
              <w:color w:val="808080"/>
            </w:rPr>
            <w:t>5</w:t>
          </w:r>
          <w:r>
            <w:rPr>
              <w:szCs w:val="24"/>
              <w:color w:val="808080"/>
            </w:rPr>
            <w:fldChar w:fldCharType="end"/>
          </w:r>
          <w:r>
            <w:rPr>
              <w:color w:val="808080"/>
              <w:szCs w:val="24"/>
            </w:rPr>
            <w:t xml:space="preserve"> из </w:t>
          </w:r>
          <w:r>
            <w:rPr>
              <w:color w:val="808080"/>
              <w:szCs w:val="24"/>
            </w:rPr>
            <w:fldChar w:fldCharType="begin"/>
          </w:r>
          <w:r>
            <w:rPr>
              <w:szCs w:val="24"/>
              <w:color w:val="808080"/>
            </w:rPr>
            <w:instrText> NUMPAGES \* ARABIC </w:instrText>
          </w:r>
          <w:r>
            <w:rPr>
              <w:szCs w:val="24"/>
              <w:color w:val="808080"/>
            </w:rPr>
            <w:fldChar w:fldCharType="separate"/>
          </w:r>
          <w:r>
            <w:rPr>
              <w:szCs w:val="24"/>
              <w:color w:val="808080"/>
            </w:rPr>
            <w:t>5</w:t>
          </w:r>
          <w:r>
            <w:rPr>
              <w:szCs w:val="24"/>
              <w:color w:val="808080"/>
            </w:rPr>
            <w:fldChar w:fldCharType="end"/>
          </w:r>
        </w:p>
      </w:tc>
    </w:tr>
  </w:tbl>
  <w:p>
    <w:pPr>
      <w:pStyle w:val="Header"/>
      <w:tabs>
        <w:tab w:val="clear" w:pos="9355"/>
        <w:tab w:val="center" w:pos="4677" w:leader="none"/>
      </w:tabs>
      <w:ind w:right="360" w:hanging="0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6444" w:type="dxa"/>
      <w:jc w:val="left"/>
      <w:tblInd w:w="-993" w:type="dxa"/>
      <w:tblCellMar>
        <w:top w:w="0" w:type="dxa"/>
        <w:left w:w="108" w:type="dxa"/>
        <w:bottom w:w="0" w:type="dxa"/>
        <w:right w:w="108" w:type="dxa"/>
      </w:tblCellMar>
    </w:tblPr>
    <w:tblGrid>
      <w:gridCol w:w="11625"/>
      <w:gridCol w:w="283"/>
      <w:gridCol w:w="4536"/>
    </w:tblGrid>
    <w:tr>
      <w:trPr/>
      <w:tc>
        <w:tcPr>
          <w:tcW w:w="11625" w:type="dxa"/>
          <w:tcBorders/>
        </w:tcPr>
        <w:p>
          <w:pPr>
            <w:pStyle w:val="Header"/>
            <w:jc w:val="center"/>
            <w:rPr/>
          </w:pPr>
          <w:r>
            <w:drawing>
              <wp:anchor behindDoc="1" distT="0" distB="0" distL="114935" distR="114935" simplePos="0" locked="0" layoutInCell="1" allowOverlap="1" relativeHeight="6">
                <wp:simplePos x="0" y="0"/>
                <wp:positionH relativeFrom="margin">
                  <wp:posOffset>-199390</wp:posOffset>
                </wp:positionH>
                <wp:positionV relativeFrom="paragraph">
                  <wp:posOffset>-635</wp:posOffset>
                </wp:positionV>
                <wp:extent cx="2404110" cy="649605"/>
                <wp:effectExtent l="0" t="0" r="0" b="0"/>
                <wp:wrapNone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4110" cy="649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Cs w:val="24"/>
            </w:rPr>
            <w:t>О</w:t>
          </w:r>
          <w:r>
            <w:rPr>
              <w:szCs w:val="24"/>
            </w:rPr>
            <w:t>ОО «Воздушные Ворота Северной  Столицы»</w:t>
          </w:r>
        </w:p>
        <w:p>
          <w:pPr>
            <w:pStyle w:val="Header"/>
            <w:jc w:val="center"/>
            <w:rPr>
              <w:szCs w:val="24"/>
            </w:rPr>
          </w:pPr>
          <w:r>
            <w:rPr>
              <w:szCs w:val="24"/>
            </w:rPr>
            <w:t>Авиационный учебный центр</w:t>
          </w:r>
        </w:p>
        <w:p>
          <w:pPr>
            <w:pStyle w:val="Header"/>
            <w:ind w:left="-107" w:hanging="0"/>
            <w:rPr>
              <w:spacing w:val="20"/>
              <w:sz w:val="22"/>
              <w:szCs w:val="24"/>
            </w:rPr>
          </w:pPr>
          <w:r>
            <w:rPr>
              <w:spacing w:val="20"/>
              <w:sz w:val="22"/>
              <w:szCs w:val="24"/>
            </w:rPr>
          </w:r>
        </w:p>
      </w:tc>
      <w:tc>
        <w:tcPr>
          <w:tcW w:w="283" w:type="dxa"/>
          <w:tcBorders/>
        </w:tcPr>
        <w:p>
          <w:pPr>
            <w:pStyle w:val="Normal"/>
            <w:snapToGrid w:val="false"/>
            <w:jc w:val="center"/>
            <w:rPr>
              <w:spacing w:val="20"/>
              <w:sz w:val="32"/>
            </w:rPr>
          </w:pPr>
          <w:r>
            <w:rPr>
              <w:spacing w:val="20"/>
              <w:sz w:val="32"/>
            </w:rPr>
          </w:r>
        </w:p>
      </w:tc>
      <w:tc>
        <w:tcPr>
          <w:tcW w:w="4536" w:type="dxa"/>
          <w:tcBorders/>
        </w:tcPr>
        <w:p>
          <w:pPr>
            <w:pStyle w:val="Header"/>
            <w:snapToGrid w:val="false"/>
            <w:rPr>
              <w:spacing w:val="20"/>
              <w:sz w:val="22"/>
            </w:rPr>
          </w:pPr>
          <w:r>
            <w:rPr>
              <w:spacing w:val="20"/>
              <w:sz w:val="22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Times New Roman" w:hAnsi="Times New Roman" w:eastAsia="Times New Roman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rFonts w:ascii="Arial" w:hAnsi="Arial" w:cs="Arial"/>
      <w:b/>
      <w:kern w:val="2"/>
      <w:sz w:val="28"/>
      <w:lang w:val="ru-RU" w:bidi="ar-SA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23">
    <w:name w:val="Основной текст с отступом 2 Знак"/>
    <w:qFormat/>
    <w:rPr>
      <w:sz w:val="24"/>
    </w:rPr>
  </w:style>
  <w:style w:type="character" w:styleId="32">
    <w:name w:val="Основной текст с отступом 3 Знак"/>
    <w:qFormat/>
    <w:rPr>
      <w:sz w:val="16"/>
      <w:szCs w:val="16"/>
    </w:rPr>
  </w:style>
  <w:style w:type="character" w:styleId="W">
    <w:name w:val="w"/>
    <w:basedOn w:val="Style9"/>
    <w:qFormat/>
    <w:rPr/>
  </w:style>
  <w:style w:type="character" w:styleId="Appleconvertedspace">
    <w:name w:val="apple-converted-space"/>
    <w:basedOn w:val="Style9"/>
    <w:qFormat/>
    <w:rPr/>
  </w:style>
  <w:style w:type="character" w:styleId="Style15">
    <w:name w:val="Текст концевой сноски Знак"/>
    <w:basedOn w:val="Style9"/>
    <w:qFormat/>
    <w:rPr/>
  </w:style>
  <w:style w:type="character" w:styleId="EndnoteCharacters">
    <w:name w:val="Endnote Characters"/>
    <w:qFormat/>
    <w:rPr>
      <w:vertAlign w:val="superscript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6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4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7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8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3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9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344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cs="Cambria"/>
      <w:szCs w:val="24"/>
      <w:lang w:val="en-US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25">
    <w:name w:val="Основной текст с отступом 2"/>
    <w:basedOn w:val="Normal"/>
    <w:qFormat/>
    <w:pPr>
      <w:spacing w:lineRule="auto" w:line="480" w:before="0" w:after="120"/>
      <w:ind w:left="283" w:hanging="0"/>
    </w:pPr>
    <w:rPr>
      <w:lang w:val="en-US"/>
    </w:rPr>
  </w:style>
  <w:style w:type="paragraph" w:styleId="34">
    <w:name w:val="Основной текст с отступом 3"/>
    <w:basedOn w:val="Normal"/>
    <w:qFormat/>
    <w:pPr>
      <w:spacing w:before="0" w:after="120"/>
      <w:ind w:left="283" w:hanging="0"/>
    </w:pPr>
    <w:rPr>
      <w:sz w:val="16"/>
      <w:szCs w:val="16"/>
      <w:lang w:val="en-US"/>
    </w:rPr>
  </w:style>
  <w:style w:type="paragraph" w:styleId="Arr">
    <w:name w:val="arr"/>
    <w:basedOn w:val="Normal"/>
    <w:qFormat/>
    <w:pPr>
      <w:spacing w:before="100" w:after="100"/>
      <w:jc w:val="left"/>
    </w:pPr>
    <w:rPr>
      <w:szCs w:val="24"/>
    </w:rPr>
  </w:style>
  <w:style w:type="paragraph" w:styleId="FORMATTEXT">
    <w:name w:val=".FORMATTEXT"/>
    <w:qFormat/>
    <w:pPr>
      <w:widowControl w:val="false"/>
      <w:autoSpaceDE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211">
    <w:name w:val="Основной текст 21"/>
    <w:basedOn w:val="Normal"/>
    <w:qFormat/>
    <w:pPr>
      <w:suppressAutoHyphens w:val="true"/>
      <w:jc w:val="left"/>
    </w:pPr>
    <w:rPr>
      <w:sz w:val="28"/>
    </w:rPr>
  </w:style>
  <w:style w:type="paragraph" w:styleId="Style21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Endnote">
    <w:name w:val="Endnote Text"/>
    <w:basedOn w:val="Normal"/>
    <w:pPr/>
    <w:rPr>
      <w:sz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2495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2017-12-11T21:59:00Z</dcterms:created>
  <dc:creator>Константинова</dc:creator>
  <dc:description/>
  <cp:keywords/>
  <dc:language>en-US</dc:language>
  <cp:lastModifiedBy>student-auc</cp:lastModifiedBy>
  <cp:lastPrinted>2018-08-06T15:47:00Z</cp:lastPrinted>
  <dcterms:modified xsi:type="dcterms:W3CDTF">2020-08-14T15:46:00Z</dcterms:modified>
  <cp:revision>111</cp:revision>
  <dc:subject/>
  <dc:title>НЕГОСУДАРСТВЕННОЕ ОБРАЗОВАТЕЛЬНОЕ УЧРЕЖДЕНИЕ ВЫСШАЯ КОММЕРЧЕСКАЯ ШКОЛА «АВИАБИЗНЕС»</dc:title>
</cp:coreProperties>
</file>