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ОБСЛУЖИВАНИЯ ПАССАЖИРСКИХ ПЕРЕВОЗОК</w:t>
        <w:br/>
        <w:t>ВОЗДУШНЫМ ТРАНСПОРТОМ.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(32 часа / 4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«ПАССАЖИРСКИЕ ПЕРЕВОЗКИ»</w:t>
      </w:r>
    </w:p>
    <w:p>
      <w:pPr>
        <w:pStyle w:val="Normal"/>
        <w:jc w:val="left"/>
        <w:rPr>
          <w:szCs w:val="24"/>
        </w:rPr>
      </w:pPr>
      <w:r>
        <w:rPr>
          <w:szCs w:val="24"/>
        </w:rPr>
        <w:t xml:space="preserve"> 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пассажирских перевозок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законодательство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Внутренние нормативные документы, регламентирующие организацию обслуживания пассажирских перевозок в аэропорту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Правила и процедуры обслуживания пассажиров и оформления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2.3. Обслуживание прибывающих пассажиров, выдача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Система управления безопасностью полётов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Область применения СУБП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 полётов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Ответственность персонала в области СУБП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ЧФ в авиации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4.2. </w:t>
            </w:r>
            <w:r>
              <w:rPr/>
              <w:t xml:space="preserve">Факторы риска. Модель </w:t>
            </w:r>
            <w:r>
              <w:rPr>
                <w:lang w:val="en-US"/>
              </w:rPr>
              <w:t>SHELL</w:t>
            </w:r>
            <w:r>
              <w:rPr/>
              <w:t>. «Грязная дюжина» человеческих ошибок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Контроль проездных документов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Правовое регулирование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Особенности проведения контроля проездных документов при обслуживании пассажиров на МВЛ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Культура обслуживания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Требования к качеству обслуживания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6.3. Стандарты обслуживания пассажиров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–</w:t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6.3. Конфликт. Правила поведения сотрудника в конфликтной ситуации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Процедуры и особенности работы при обслуживании пассажиров, оформлении багажа, контроле посадки в пассажирском терминале (практическое обучение на производстве)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7.1. </w:t>
            </w:r>
            <w:r>
              <w:rPr/>
              <w:t>Оформление пассажиров, багажа и ручной клади к воздушной перевозке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7.2. </w:t>
            </w:r>
            <w:r>
              <w:rPr/>
              <w:t>Организация посадки пассажиров на воздушное судно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7.3. </w:t>
            </w:r>
            <w:r>
              <w:rPr/>
              <w:t>Встреча прибывающих пассажиров, выдача багажа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УЧЕБНО-КАЛЕНДАРНЫЙ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законодательство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Внутренние нормативные документы, регламентирующие организацию обслуживания пассажирских перевозок в аэропорту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Обслуживание пассажиров и оформление багажа на отправление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Обслуживание особых категорий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Обслуживание прибывающих пассажиров, выдача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3.1.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Ответственность персонала в области СУБП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ЧФ в авиации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Тема 4.2. Факторы риска. Модель </w:t>
            </w:r>
            <w:r>
              <w:rPr>
                <w:lang w:val="en-US"/>
              </w:rPr>
              <w:t>SHELL</w:t>
            </w:r>
            <w:r>
              <w:rPr/>
              <w:t>. «Грязная дюжина» человеческих ошибок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Правовое регулирование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Особенности проведения контроля проездных документов при обслуживании пассажиров на МВЛ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Требования к качеству обслуживания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Стандарты обслуживания пассажиров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Стандарты обслуживания пассажиров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Конфликт. Правила поведения сотрудника в конфликтной ситуации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7.1. </w:t>
            </w:r>
            <w:r>
              <w:rPr/>
              <w:t>Оформление пассажиров, багажа и ручной клади к воздушной перевозке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7.1. Оформление пассажиров, багажа и ручной клади к воздушной перевозке</w:t>
            </w:r>
          </w:p>
          <w:p>
            <w:pPr>
              <w:pStyle w:val="Normal"/>
              <w:jc w:val="left"/>
              <w:rPr/>
            </w:pPr>
            <w:r>
              <w:rPr/>
              <w:t>Тема 7.2. Организация посадки пассажиров на воздушное судно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7.2. Организация посадки пассажиров на воздушное судно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7.3. </w:t>
            </w:r>
            <w:r>
              <w:rPr/>
              <w:t>Встреча прибывающих пассажиров, выдача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«Организация обслуживания пассажирских перевозок</w:t>
            <w:br/>
            <w:t>воздушным транспортом. Базовый курс»</w:t>
          </w:r>
        </w:p>
      </w:tc>
      <w:tc>
        <w:tcPr>
          <w:tcW w:w="1807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PAGE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4</w:t>
          </w:r>
          <w:r>
            <w:rPr>
              <w:sz w:val="22"/>
              <w:szCs w:val="22"/>
              <w:lang w:val="en-US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NUMPAGES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4</w:t>
          </w:r>
          <w:r>
            <w:rPr>
              <w:sz w:val="22"/>
              <w:szCs w:val="22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2019-08-30T08:53:00Z</dcterms:created>
  <dc:creator>Константинова</dc:creator>
  <dc:description/>
  <cp:keywords/>
  <dc:language>en-US</dc:language>
  <cp:lastModifiedBy>Anna Y. Gladkovskaya</cp:lastModifiedBy>
  <cp:lastPrinted>2019-09-09T11:07:00Z</cp:lastPrinted>
  <dcterms:modified xsi:type="dcterms:W3CDTF">2020-08-14T15:08:00Z</dcterms:modified>
  <cp:revision>16</cp:revision>
  <dc:subject/>
  <dc:title>НЕГОСУДАРСТВЕННОЕ ОБРАЗОВАТЕЛЬНОЕ УЧРЕЖДЕНИЕ ВЫСШАЯ КОММЕРЧЕСКАЯ ШКОЛА «АВИАБИЗНЕС»</dc:title>
</cp:coreProperties>
</file>