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 xml:space="preserve">«ПОДГОТОВКА ПРЕПОДАВАТЕЛЕЙ 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АВИАЦИОННЫХ УЧЕБНЫХ ЦЕНТРОВ. ПРОДВИНУТЫЙ КУРС»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(16 часов / 2 дня)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 xml:space="preserve">«ПОДГОТОВКА ПРЕПОДАВАТЕЛЕЙ 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АВИАЦИОННЫХ УЧЕБНЫХ ЦЕНТРОВ»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Heading1"/>
        <w:jc w:val="left"/>
        <w:rPr/>
      </w:pPr>
      <w:r>
        <w:rPr/>
        <w:t>УЧЕБНО-ТЕМАТИЧЕСКИЙ ПЛАН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500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22"/>
        <w:gridCol w:w="3615"/>
        <w:gridCol w:w="1119"/>
        <w:gridCol w:w="1448"/>
        <w:gridCol w:w="1448"/>
        <w:gridCol w:w="1459"/>
      </w:tblGrid>
      <w:tr>
        <w:trPr>
          <w:tblHeader w:val="true"/>
        </w:trPr>
        <w:tc>
          <w:tcPr>
            <w:tcW w:w="5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</w:tc>
        <w:tc>
          <w:tcPr>
            <w:tcW w:w="3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1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Всего (час)</w:t>
            </w:r>
          </w:p>
        </w:tc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4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контроля</w:t>
            </w:r>
          </w:p>
        </w:tc>
      </w:tr>
      <w:tr>
        <w:trPr/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Законодательная база обучения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Федеральные законы и подзаконные акты, регламентирующие образовательную деятельность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Федеральные авиационные правила, регламентирующие деятельность авиационных учебных центров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Виды и уровни образования в РФ: ДПО, ПО, отличия от корпоративного обучения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2. Современные концепции и технологии обучения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Актуальные тенденции в сфере ДПО и ПО. Современные форматы, модели и стили обучения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2.2. Особенности обучения и учёт нюансов в когнитивных процессах взрослого человека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2.3. Социальное окружение, референтная группа — научающий эффект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3. Традиционные и интерактивные методы обучения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Проектирование системы обучения с учётом изменений законодательства и отрасли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Планирование учебного занятия, подготовка учебных материалов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Формы текущего, промежуточного, итогового контроля знаний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4. Работа с группой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Организованная и неорганизованная группа: отличия, особенности работы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Теория развития группы: фазы и закономерности. Групповые роли. Групповая динамика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Построение работы с малыми группами на основе Теории поля К. Левина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4.4. Групповая дискуссия. Эвристическая (поисковая) беседа. Деловые игры: имитационные, организационно-деятельностные, ролевые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4.5. Инструменты мотивации и вовлечения, обратная связь, работа с сопротивлением и проблемными участниками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5. Коммуникативная компетентность преподавателя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Эффективные речевые (вербальные) стратегии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Управление собственным состоянием («общение с собой»). Развитие поведенческой гибкости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Оценка состояния, знаний, умений собеседника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6. Профилактика стресса и профессионального выгорания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6.1. Профессиональные деформации и стрессы преподавателя. Синдром профессионального выгорания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6.2. Анализ текущих стрессогенных ситуаций, коррекция поведения и распределения ресурсов в стрессовой ситуации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Методы снятия напряжения, релаксации. Техники саморегуляции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6.4. Профилактика профессионального выгорания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1509"/>
        <w:gridCol w:w="7623"/>
      </w:tblGrid>
      <w:tr>
        <w:trPr>
          <w:tblHeader w:val="true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День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Время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Тема</w:t>
            </w:r>
          </w:p>
        </w:tc>
      </w:tr>
      <w:tr>
        <w:trPr/>
        <w:tc>
          <w:tcPr>
            <w:tcW w:w="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09:00–10:30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1.1. Федеральные законы и подзаконные акты, регламентирующие образовательную деятельность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1.2. Федеральные авиационные правила, регламентирующие деятельность авиационных учебных центров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1.3. Виды и уровни образования в РФ: ДПО, ПО, отличия от корпоративного обучения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2.1. Актуальные тенденции в сфере ДПО и ПО. Современные форматы, модели и стили обучения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2.2. Особенности обучения и учёт нюансов в когнитивных процессах взрослого человека</w:t>
            </w:r>
          </w:p>
        </w:tc>
      </w:tr>
      <w:tr>
        <w:trPr/>
        <w:tc>
          <w:tcPr>
            <w:tcW w:w="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10:40–12:10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2.2. Особенности обучения и учёт нюансов в когнитивных процессах взрослого человека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2.3. Социальное окружение, референтная группа — научающий эффект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3.1. Проектирование системы обучения с учётом изменений законодательства и отрасли</w:t>
            </w:r>
          </w:p>
        </w:tc>
      </w:tr>
      <w:tr>
        <w:trPr/>
        <w:tc>
          <w:tcPr>
            <w:tcW w:w="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12:50–14:20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3.2. Планирование учебного занятия, подготовка учебных материалов</w:t>
            </w:r>
          </w:p>
        </w:tc>
      </w:tr>
      <w:tr>
        <w:trPr/>
        <w:tc>
          <w:tcPr>
            <w:tcW w:w="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14:30–16:00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3.3. Формы текущего, промежуточного, итогового контроля знаний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4.1. Организованная и неорганизованная группа: отличия, особенности работы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4.2. Теория развития группы: фазы и закономерности. Групповые роли. Групповая динамика</w:t>
            </w:r>
          </w:p>
        </w:tc>
      </w:tr>
      <w:tr>
        <w:trPr/>
        <w:tc>
          <w:tcPr>
            <w:tcW w:w="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09:00–10:30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4.2. Теория развития группы: фазы и закономерности. Групповые роли. Групповая динамика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4.3. Построение работы с малыми группами на основе Теории поля К. Левина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4.4. Групповая дискуссия. Эвристическая (поисковая) беседа. Деловые игры: имитационные, организационно-деятельностные, ролевые</w:t>
            </w:r>
          </w:p>
        </w:tc>
      </w:tr>
      <w:tr>
        <w:trPr/>
        <w:tc>
          <w:tcPr>
            <w:tcW w:w="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10:40–12:10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4.5. Инструменты мотивации и вовлечения, обратная связь, работа с сопротивлением и проблемными участниками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5.1. Эффективные речевые (вербальные) стратегии</w:t>
            </w:r>
          </w:p>
        </w:tc>
      </w:tr>
      <w:tr>
        <w:trPr/>
        <w:tc>
          <w:tcPr>
            <w:tcW w:w="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12:50–14:20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5.2. Управление собственным состоянием («общение с собой»). Развитие поведенческой гибкости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5.3. Оценка состояния, знаний, умений собеседника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6.1. Профессиональные деформации и стрессы преподавателя. Синдром профессионального выгорания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6.2. Анализ текущих стрессогенных ситуаций, коррекция поведения и распределения ресурсов в стрессовой ситуации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6.3. Методы снятия напряжения, релаксации. Техники саморегуляции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6.4. Профилактика профессионального выгорания</w:t>
            </w:r>
          </w:p>
        </w:tc>
      </w:tr>
      <w:tr>
        <w:trPr/>
        <w:tc>
          <w:tcPr>
            <w:tcW w:w="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14:30–16:00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«Подготовка преподавателей авиационных учебных центров. Продвинутый курс»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65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5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5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 New Roman" w:hAnsi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ind w:right="423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2018-12-04T13:01:00Z</dcterms:created>
  <dc:creator>Константинова</dc:creator>
  <dc:description/>
  <cp:keywords/>
  <dc:language>en-US</dc:language>
  <cp:lastModifiedBy>Yana A. Chumakova</cp:lastModifiedBy>
  <cp:lastPrinted>2019-06-05T14:05:00Z</cp:lastPrinted>
  <dcterms:modified xsi:type="dcterms:W3CDTF">2020-08-14T16:04:00Z</dcterms:modified>
  <cp:revision>27</cp:revision>
  <dc:subject/>
  <dc:title>НЕГОСУДАРСТВЕННОЕ ОБРАЗОВАТЕЛЬНОЕ УЧРЕЖДЕНИЕ ВЫСШАЯ КОММЕРЧЕСКАЯ ШКОЛА «АВИАБИЗНЕС»</dc:title>
</cp:coreProperties>
</file>