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jc w:val="left"/>
        <w:rPr/>
      </w:pPr>
      <w:r>
        <w:rPr/>
        <w:t>ТЕМАТИКА ПЕРИОДИЧЕСКОЙ НАЗЕМНОЙ ПОДГОТОВКИ</w:t>
      </w:r>
    </w:p>
    <w:p>
      <w:pPr>
        <w:pStyle w:val="Normal"/>
        <w:rPr/>
      </w:pPr>
      <w:r>
        <w:rPr>
          <w:b/>
          <w:lang w:val="en-US"/>
        </w:rPr>
        <w:t>(</w:t>
      </w:r>
      <w:r>
        <w:rPr>
          <w:b/>
        </w:rPr>
        <w:t>Учебно-тематический план)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tbl>
      <w:tblPr>
        <w:tblW w:w="9933" w:type="dxa"/>
        <w:jc w:val="left"/>
        <w:tblInd w:w="-3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4"/>
        <w:gridCol w:w="3537"/>
        <w:gridCol w:w="851"/>
        <w:gridCol w:w="992"/>
        <w:gridCol w:w="851"/>
        <w:gridCol w:w="850"/>
        <w:gridCol w:w="851"/>
        <w:gridCol w:w="1427"/>
      </w:tblGrid>
      <w:tr>
        <w:trPr/>
        <w:tc>
          <w:tcPr>
            <w:tcW w:w="411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№ </w:t>
            </w:r>
            <w:r>
              <w:rPr>
                <w:szCs w:val="24"/>
              </w:rPr>
              <w:t>п/п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Наименование разделов и тем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Всего (час)</w:t>
            </w:r>
          </w:p>
        </w:tc>
        <w:tc>
          <w:tcPr>
            <w:tcW w:w="49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В том числе</w:t>
            </w:r>
          </w:p>
        </w:tc>
      </w:tr>
      <w:tr>
        <w:trPr/>
        <w:tc>
          <w:tcPr>
            <w:tcW w:w="411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Т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ДОТ и ЭО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ПЗК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ПЗП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Форма 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контроля</w:t>
            </w:r>
          </w:p>
        </w:tc>
      </w:tr>
      <w:tr>
        <w:trPr/>
        <w:tc>
          <w:tcPr>
            <w:tcW w:w="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№ 1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b/>
                <w:szCs w:val="24"/>
              </w:rPr>
              <w:t>Введение в курс обучения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1.1 Цели и задачи курса. Понятие о терроризме и АБ. Статистика АНВ, описание АНВ, случившихся за последние два года.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1.2 Состояние АБ в ГА. Стандарты и рекомендуемая практика ИКАО по авиационной безопасности.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1.3 Нормативная правовая база обеспечения АБ в ГА. Федеральная система обеспечения защиты ГА от АНВ.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Актуальные изменения в нормативной базе.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№ 2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b/>
                <w:szCs w:val="24"/>
              </w:rPr>
              <w:t>Регулирование АБ в аэропорту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Тема 2.1. Структура ДАБ аэропорта. Требования к сотрудникам ДАБ. Взаимодействие  сотрудников ДАБ со службами аэропорта и других ведомств.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2.2. Обеспечение безопасности аэропорта. Охрана аэропорта, пропускной и внутриобъектовый режим.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 w:val="22"/>
                <w:szCs w:val="24"/>
              </w:rPr>
              <w:t>Промежуточный контроль</w:t>
            </w:r>
          </w:p>
        </w:tc>
      </w:tr>
      <w:tr>
        <w:trPr/>
        <w:tc>
          <w:tcPr>
            <w:tcW w:w="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№ 3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b/>
                <w:szCs w:val="24"/>
              </w:rPr>
              <w:t>Действия в чрезвычайных ситуациях. Диагностика опасных предметов и веществ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3.1 Виды ЧС. Понятие АНВ. План по урегулированию ЧС, связанных с АНВ в деятельность аэропорта.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3.2 Средства, используемые в диверсионно-террористических целях. Способы их сокрытия и проноса в контролируемые зоны аэропорта. Методы выявления диверсионно-террористических устройств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3.3 Действия сотрудников групп досмотра в чрезвычайных ситуациях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 xml:space="preserve">Раздел № 4 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b/>
                <w:szCs w:val="24"/>
              </w:rPr>
              <w:t>Осуществление досмотра в аэропорту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4.1 Технология досмотра пассажиров, ручной клади, багажа и лиц, специальных категорий. Изменения технологического процесса.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4.2 Технология досмотра грузов, почты, бортовых запасов. Изменения технологического процесса.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 xml:space="preserve">Тема 4.3 Опасные грузы. Перевозка опасных грузов пассажирами или членами экипажа. Изменения в </w:t>
            </w:r>
            <w:r>
              <w:rPr>
                <w:szCs w:val="24"/>
                <w:lang w:val="en-US"/>
              </w:rPr>
              <w:t>DOC</w:t>
            </w:r>
            <w:r>
              <w:rPr>
                <w:szCs w:val="24"/>
              </w:rPr>
              <w:t xml:space="preserve"> 8294.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4.4 Выявление предметов и веществ, запрещенных к перевозке на гражданских ВС. Статистика изъятых предметов и веществ запрещенных к перевозке на борту ВС за последние два года.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4.5 Применение технических средств досмотра. Внедрение новых средств досмотра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4.6 Правила перевозки оружия и боеприпасов на гражданских ВС.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827" w:hRule="atLeast"/>
        </w:trPr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>Тема 4.7 Поведение инспектора при осуществлении досмотра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№5. Практические навыки работы с системой моделирования теневых изображений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Тема 5.1 </w:t>
            </w:r>
          </w:p>
          <w:p>
            <w:pPr>
              <w:pStyle w:val="Normal"/>
              <w:rPr>
                <w:b/>
                <w:b/>
                <w:szCs w:val="24"/>
              </w:rPr>
            </w:pPr>
            <w:r>
              <w:rPr>
                <w:szCs w:val="24"/>
              </w:rPr>
              <w:t>Практические навыки работы с системой моделирования теневых изображений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Итоговый контроль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Экзамен</w:t>
            </w:r>
          </w:p>
        </w:tc>
      </w:tr>
      <w:tr>
        <w:trPr/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</w:tbl>
    <w:p>
      <w:pPr>
        <w:pStyle w:val="Heading1"/>
        <w:jc w:val="left"/>
        <w:rPr/>
      </w:pPr>
      <w:r>
        <w:rPr/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Heading1"/>
        <w:jc w:val="left"/>
        <w:rPr/>
      </w:pPr>
      <w:r>
        <w:rPr/>
        <w:t>КАЛЕНДАРНЫЙ УЧЕБНЫЙ ГРАФИК</w:t>
      </w:r>
    </w:p>
    <w:p>
      <w:pPr>
        <w:pStyle w:val="Normal"/>
        <w:rPr>
          <w:szCs w:val="24"/>
        </w:rPr>
      </w:pPr>
      <w:r>
        <w:rPr>
          <w:szCs w:val="24"/>
        </w:rPr>
      </w:r>
    </w:p>
    <w:tbl>
      <w:tblPr>
        <w:tblW w:w="9863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507"/>
        <w:gridCol w:w="7603"/>
      </w:tblGrid>
      <w:tr>
        <w:trPr>
          <w:tblHeader w:val="true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День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Время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Цели и задачи курса. Понятие о терроризме и АБ. Статистика АНВ, описание АНВ, случившихся за последние два года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Состояние АБ в ГА. Стандарты и рекомендуемая практика ИКАО по авиационной безопасности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Состояние АБ в ГА. Стандарты и рекомендуемая практика ИКАО по авиационной безопасности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1.3. Нормативная правовая база обеспечения АБ в ГА. Федеральная система обеспечения защиты ГА от АНВ. Актуальные изменения в нормативной базе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1.3. Нормативная правовая база обеспечения АБ в ГА. Федеральная система обеспечения защиты ГА от АНВ. Актуальные изменения в нормативной базе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Структура ДАБ аэропорта. Требования к сотрудникам ДАБ. Взаимодействие сотрудников ДАБ со службами аэропорта и других ведомств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Структура ДАБ аэропорта. Требования к сотрудникам ДАБ. Взаимодействие сотрудников ДАБ со службами аэропорта и других ведомств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Обеспечение безопасности аэропорта. Охрана аэропорта, пропускной и внутриобъектовый режим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Виды ЧС. Понятие АНВ. План по урегулированию ЧС, связанных с АНВ в деятельность аэропорта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Средства, используемые в диверсионно-террористических целях. Способы их сокрытия и проноса в контролируемые зоны аэропорта. Методы выявления диверсионно-террористических устройств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3.2. Средства, используемые в диверсионно-террористических целях. Способы их сокрытия и проноса в контролируемые зоны аэропорта. Методы выявления диверсионно-террористических устройств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3.3. Действия сотрудников групп досмотра в чрезвычайных ситуациях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Технология досмотра пассажиров, ручной клади, багажа и лиц, специальных категорий. Изменения технологического процесса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Технология досмотра пассажиров, ручной клади, багажа и лиц, специальных категорий. Изменения технологического процесса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Технология досмотра пассажиров, ручной клади, багажа и лиц, специальных категорий. Изменения технологического процесса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Технология досмотра грузов, почты, бортовых запасов. Изменения технологического процесса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Опасные грузы. Перевозка опасных грузов пассажирами или членами экипажа. Изменения в DOC 8294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4.4. Выявление предметов и веществ, запрещённых к перевозке на гражданских ВС. Статистика изъятых предметов и веществ, запрещённых к перевозке на борту ВС, за последние два года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4.5. Применение технических средств досмотра. Внедрение новых средств досмотра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4.5. Применение технических средств досмотра. Внедрение новых средств досмотра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4.6. Правила перевозки оружия и боеприпасов на гражданских ВС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4.6. Правила перевозки оружия и боеприпасов на гражданских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4.7. Поведение инспектора при осуществлении досмотра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4.7. Поведение инспектора при осуществлении досмотра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Итоговый контроль (экзамен)</w:t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tabs>
          <w:tab w:val="clear" w:pos="720"/>
          <w:tab w:val="left" w:pos="7608" w:leader="none"/>
        </w:tabs>
        <w:rPr>
          <w:szCs w:val="24"/>
        </w:rPr>
      </w:pPr>
      <w:r>
        <w:rPr>
          <w:szCs w:val="24"/>
        </w:rPr>
        <w:tab/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default" r:id="rId2"/>
      <w:headerReference w:type="first" r:id="rId3"/>
      <w:type w:val="nextPage"/>
      <w:pgSz w:w="11906" w:h="16838"/>
      <w:pgMar w:left="1418" w:right="851" w:header="567" w:top="1134" w:footer="0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1908"/>
      <w:gridCol w:w="6100"/>
      <w:gridCol w:w="1629"/>
    </w:tblGrid>
    <w:tr>
      <w:trPr/>
      <w:tc>
        <w:tcPr>
          <w:tcW w:w="1908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00" w:type="dxa"/>
          <w:tcBorders>
            <w:bottom w:val="single" w:sz="4" w:space="0" w:color="000000"/>
          </w:tcBorders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/>
          </w:pPr>
          <w:r>
            <w:rPr>
              <w:bCs/>
              <w:color w:val="000000"/>
              <w:sz w:val="22"/>
              <w:szCs w:val="22"/>
            </w:rPr>
            <w:t>Программа повышения квалификации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«Предполетный досмотр пассажиров, членов экипажей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гражданских судов, обслуживающего персонала, ручной клади, багажа, грузов, почты и бортовых запасов»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29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PAGE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5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NUMPAGES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5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1908"/>
      <w:gridCol w:w="6100"/>
      <w:gridCol w:w="1629"/>
    </w:tblGrid>
    <w:tr>
      <w:trPr/>
      <w:tc>
        <w:tcPr>
          <w:tcW w:w="1908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00" w:type="dxa"/>
          <w:tcBorders>
            <w:bottom w:val="single" w:sz="4" w:space="0" w:color="000000"/>
          </w:tcBorders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/>
          </w:pPr>
          <w:r>
            <w:rPr>
              <w:bCs/>
              <w:color w:val="000000"/>
              <w:sz w:val="22"/>
              <w:szCs w:val="22"/>
            </w:rPr>
            <w:t>Программа повышения квалификации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«Предполетный досмотр пассажиров, членов экипажей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гражданских судов, обслуживающего персонала, ручной клади, багажа, грузов, почты и бортовых запасов»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29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PAGE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1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NUMPAGES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5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Times New Roman" w:hAnsi="Times New Roman" w:eastAsia="Times New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Times New Roman" w:hAnsi="Times New Roman" w:eastAsia="Times New Roman" w:cs="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Times New Roman" w:hAnsi="Times New Roman" w:eastAsia="Times New Roman" w:cs="Times New Roma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Times New Roman" w:hAnsi="Times New Roman" w:eastAsia="Times New Roman" w:cs="Times New Roma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Times New Roman" w:hAnsi="Times New Roman" w:eastAsia="Times New Roman" w:cs="Times New Roman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Times New Roman" w:hAnsi="Times New Roman" w:eastAsia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ascii="Times New Roman" w:hAnsi="Times New Roman" w:eastAsia="Times New Roman" w:cs="Times New Roman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>
      <w:rFonts w:ascii="Times New Roman" w:hAnsi="Times New Roman" w:eastAsia="Times New Roman" w:cs="Times New Roman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Wingdings" w:hAnsi="Wingdings" w:cs="Wingdings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Times New Roman" w:hAnsi="Times New Roman" w:eastAsia="Times New Roman" w:cs="Times New Roman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>
      <w:rFonts w:ascii="Times New Roman" w:hAnsi="Times New Roman" w:eastAsia="Times New Roman" w:cs="Times New Roman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>
      <w:rFonts w:ascii="Times New Roman" w:hAnsi="Times New Roman" w:eastAsia="Times New Roman" w:cs="Times New Roman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3z0">
    <w:name w:val="WW8Num43z0"/>
    <w:qFormat/>
    <w:rPr/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>
      <w:rFonts w:ascii="Times New Roman" w:hAnsi="Times New Roman" w:eastAsia="Times New Roman" w:cs="Times New Roman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2">
    <w:name w:val="WW8Num44z2"/>
    <w:qFormat/>
    <w:rPr>
      <w:rFonts w:ascii="Wingdings" w:hAnsi="Wingdings" w:cs="Wingdings"/>
    </w:rPr>
  </w:style>
  <w:style w:type="character" w:styleId="WW8Num44z3">
    <w:name w:val="WW8Num44z3"/>
    <w:qFormat/>
    <w:rPr>
      <w:rFonts w:ascii="Symbol" w:hAnsi="Symbol" w:cs="Symbol"/>
    </w:rPr>
  </w:style>
  <w:style w:type="character" w:styleId="WW8Num45z0">
    <w:name w:val="WW8Num45z0"/>
    <w:qFormat/>
    <w:rPr/>
  </w:style>
  <w:style w:type="character" w:styleId="WW8Num45z1">
    <w:name w:val="WW8Num45z1"/>
    <w:qFormat/>
    <w:rPr/>
  </w:style>
  <w:style w:type="character" w:styleId="WW8Num45z2">
    <w:name w:val="WW8Num45z2"/>
    <w:qFormat/>
    <w:rPr/>
  </w:style>
  <w:style w:type="character" w:styleId="WW8Num45z3">
    <w:name w:val="WW8Num45z3"/>
    <w:qFormat/>
    <w:rPr/>
  </w:style>
  <w:style w:type="character" w:styleId="WW8Num45z4">
    <w:name w:val="WW8Num45z4"/>
    <w:qFormat/>
    <w:rPr/>
  </w:style>
  <w:style w:type="character" w:styleId="WW8Num45z5">
    <w:name w:val="WW8Num45z5"/>
    <w:qFormat/>
    <w:rPr/>
  </w:style>
  <w:style w:type="character" w:styleId="WW8Num45z6">
    <w:name w:val="WW8Num45z6"/>
    <w:qFormat/>
    <w:rPr/>
  </w:style>
  <w:style w:type="character" w:styleId="WW8Num45z7">
    <w:name w:val="WW8Num45z7"/>
    <w:qFormat/>
    <w:rPr/>
  </w:style>
  <w:style w:type="character" w:styleId="WW8Num45z8">
    <w:name w:val="WW8Num45z8"/>
    <w:qFormat/>
    <w:rPr/>
  </w:style>
  <w:style w:type="character" w:styleId="WW8Num46z0">
    <w:name w:val="WW8Num46z0"/>
    <w:qFormat/>
    <w:rPr/>
  </w:style>
  <w:style w:type="character" w:styleId="WW8Num46z1">
    <w:name w:val="WW8Num46z1"/>
    <w:qFormat/>
    <w:rPr/>
  </w:style>
  <w:style w:type="character" w:styleId="WW8Num46z2">
    <w:name w:val="WW8Num46z2"/>
    <w:qFormat/>
    <w:rPr/>
  </w:style>
  <w:style w:type="character" w:styleId="WW8Num46z3">
    <w:name w:val="WW8Num46z3"/>
    <w:qFormat/>
    <w:rPr/>
  </w:style>
  <w:style w:type="character" w:styleId="WW8Num46z4">
    <w:name w:val="WW8Num46z4"/>
    <w:qFormat/>
    <w:rPr/>
  </w:style>
  <w:style w:type="character" w:styleId="WW8Num46z5">
    <w:name w:val="WW8Num46z5"/>
    <w:qFormat/>
    <w:rPr/>
  </w:style>
  <w:style w:type="character" w:styleId="WW8Num46z6">
    <w:name w:val="WW8Num46z6"/>
    <w:qFormat/>
    <w:rPr/>
  </w:style>
  <w:style w:type="character" w:styleId="WW8Num46z7">
    <w:name w:val="WW8Num46z7"/>
    <w:qFormat/>
    <w:rPr/>
  </w:style>
  <w:style w:type="character" w:styleId="WW8Num46z8">
    <w:name w:val="WW8Num46z8"/>
    <w:qFormat/>
    <w:rPr/>
  </w:style>
  <w:style w:type="character" w:styleId="WW8Num47z0">
    <w:name w:val="WW8Num47z0"/>
    <w:qFormat/>
    <w:rPr>
      <w:rFonts w:ascii="Symbol" w:hAnsi="Symbol" w:cs="Symbol"/>
    </w:rPr>
  </w:style>
  <w:style w:type="character" w:styleId="WW8Num47z1">
    <w:name w:val="WW8Num47z1"/>
    <w:qFormat/>
    <w:rPr>
      <w:rFonts w:ascii="Courier New" w:hAnsi="Courier New" w:cs="Courier New"/>
    </w:rPr>
  </w:style>
  <w:style w:type="character" w:styleId="WW8Num47z2">
    <w:name w:val="WW8Num47z2"/>
    <w:qFormat/>
    <w:rPr>
      <w:rFonts w:ascii="Wingdings" w:hAnsi="Wingdings" w:cs="Wingdings"/>
    </w:rPr>
  </w:style>
  <w:style w:type="character" w:styleId="WW8Num48z0">
    <w:name w:val="WW8Num48z0"/>
    <w:qFormat/>
    <w:rPr/>
  </w:style>
  <w:style w:type="character" w:styleId="WW8Num48z1">
    <w:name w:val="WW8Num48z1"/>
    <w:qFormat/>
    <w:rPr/>
  </w:style>
  <w:style w:type="character" w:styleId="WW8Num48z2">
    <w:name w:val="WW8Num48z2"/>
    <w:qFormat/>
    <w:rPr/>
  </w:style>
  <w:style w:type="character" w:styleId="WW8Num48z3">
    <w:name w:val="WW8Num48z3"/>
    <w:qFormat/>
    <w:rPr/>
  </w:style>
  <w:style w:type="character" w:styleId="WW8Num48z4">
    <w:name w:val="WW8Num48z4"/>
    <w:qFormat/>
    <w:rPr/>
  </w:style>
  <w:style w:type="character" w:styleId="WW8Num48z5">
    <w:name w:val="WW8Num48z5"/>
    <w:qFormat/>
    <w:rPr/>
  </w:style>
  <w:style w:type="character" w:styleId="WW8Num48z6">
    <w:name w:val="WW8Num48z6"/>
    <w:qFormat/>
    <w:rPr/>
  </w:style>
  <w:style w:type="character" w:styleId="WW8Num48z7">
    <w:name w:val="WW8Num48z7"/>
    <w:qFormat/>
    <w:rPr/>
  </w:style>
  <w:style w:type="character" w:styleId="WW8Num48z8">
    <w:name w:val="WW8Num48z8"/>
    <w:qFormat/>
    <w:rPr/>
  </w:style>
  <w:style w:type="character" w:styleId="WW8Num49z0">
    <w:name w:val="WW8Num49z0"/>
    <w:qFormat/>
    <w:rPr/>
  </w:style>
  <w:style w:type="character" w:styleId="WW8Num49z1">
    <w:name w:val="WW8Num49z1"/>
    <w:qFormat/>
    <w:rPr/>
  </w:style>
  <w:style w:type="character" w:styleId="WW8Num49z2">
    <w:name w:val="WW8Num49z2"/>
    <w:qFormat/>
    <w:rPr/>
  </w:style>
  <w:style w:type="character" w:styleId="WW8Num49z3">
    <w:name w:val="WW8Num49z3"/>
    <w:qFormat/>
    <w:rPr/>
  </w:style>
  <w:style w:type="character" w:styleId="WW8Num49z4">
    <w:name w:val="WW8Num49z4"/>
    <w:qFormat/>
    <w:rPr/>
  </w:style>
  <w:style w:type="character" w:styleId="WW8Num49z5">
    <w:name w:val="WW8Num49z5"/>
    <w:qFormat/>
    <w:rPr/>
  </w:style>
  <w:style w:type="character" w:styleId="WW8Num49z6">
    <w:name w:val="WW8Num49z6"/>
    <w:qFormat/>
    <w:rPr/>
  </w:style>
  <w:style w:type="character" w:styleId="WW8Num49z7">
    <w:name w:val="WW8Num49z7"/>
    <w:qFormat/>
    <w:rPr/>
  </w:style>
  <w:style w:type="character" w:styleId="WW8Num49z8">
    <w:name w:val="WW8Num49z8"/>
    <w:qFormat/>
    <w:rPr/>
  </w:style>
  <w:style w:type="character" w:styleId="WW8Num50z0">
    <w:name w:val="WW8Num50z0"/>
    <w:qFormat/>
    <w:rPr/>
  </w:style>
  <w:style w:type="character" w:styleId="WW8Num50z1">
    <w:name w:val="WW8Num50z1"/>
    <w:qFormat/>
    <w:rPr/>
  </w:style>
  <w:style w:type="character" w:styleId="WW8Num50z2">
    <w:name w:val="WW8Num50z2"/>
    <w:qFormat/>
    <w:rPr/>
  </w:style>
  <w:style w:type="character" w:styleId="WW8Num50z3">
    <w:name w:val="WW8Num50z3"/>
    <w:qFormat/>
    <w:rPr/>
  </w:style>
  <w:style w:type="character" w:styleId="WW8Num50z4">
    <w:name w:val="WW8Num50z4"/>
    <w:qFormat/>
    <w:rPr/>
  </w:style>
  <w:style w:type="character" w:styleId="WW8Num50z5">
    <w:name w:val="WW8Num50z5"/>
    <w:qFormat/>
    <w:rPr/>
  </w:style>
  <w:style w:type="character" w:styleId="WW8Num50z6">
    <w:name w:val="WW8Num50z6"/>
    <w:qFormat/>
    <w:rPr/>
  </w:style>
  <w:style w:type="character" w:styleId="WW8Num50z7">
    <w:name w:val="WW8Num50z7"/>
    <w:qFormat/>
    <w:rPr/>
  </w:style>
  <w:style w:type="character" w:styleId="WW8Num50z8">
    <w:name w:val="WW8Num50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4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Hyper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6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8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19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0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2019-10-29T09:07:00Z</dcterms:created>
  <dc:creator>Константинова</dc:creator>
  <dc:description/>
  <cp:keywords/>
  <dc:language>en-US</dc:language>
  <cp:lastModifiedBy>student-auc</cp:lastModifiedBy>
  <cp:lastPrinted>2019-11-11T12:24:00Z</cp:lastPrinted>
  <dcterms:modified xsi:type="dcterms:W3CDTF">2020-08-14T15:23:00Z</dcterms:modified>
  <cp:revision>9</cp:revision>
  <dc:subject/>
  <dc:title>НЕГОСУДАРСТВЕННОЕ ОБРАЗОВАТЕЛЬНОЕ УЧРЕЖДЕНИЕ ВЫСШАЯ КОММЕРЧЕСКАЯ ШКОЛА «АВИАБИЗНЕС»</dc:title>
</cp:coreProperties>
</file>