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«СИСТЕМА УПРАВЛЕНИЯ БЕЗОПАСНОСТЬЮ ПОЛЁТОВ</w:t>
        <w:br/>
        <w:t>ПОСТАВЩИКОВ УСЛУГ»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(40 часов / 5 дней)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«УПРАВЛЕНИЕ БЕЗОПАСНОСТЬЮ ПОЛЁТОВ»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bookmarkStart w:id="0" w:name="_Toc531004387"/>
      <w:r>
        <w:rPr/>
        <w:t>УЧЕБНО-ТЕМАТИЧЕСКИЙ ПЛАН</w:t>
      </w:r>
      <w:bookmarkEnd w:id="0"/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0"/>
        <w:gridCol w:w="3507"/>
        <w:gridCol w:w="1120"/>
        <w:gridCol w:w="1450"/>
        <w:gridCol w:w="1449"/>
        <w:gridCol w:w="1450"/>
      </w:tblGrid>
      <w:tr>
        <w:trPr>
          <w:tblHeader w:val="true"/>
        </w:trPr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  <w:r>
              <w:rPr>
                <w:sz w:val="23"/>
                <w:szCs w:val="23"/>
              </w:rPr>
              <w:t>п/п</w:t>
            </w:r>
          </w:p>
        </w:tc>
        <w:tc>
          <w:tcPr>
            <w:tcW w:w="3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Наименование разделов и тем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Всего (час)</w:t>
            </w:r>
          </w:p>
        </w:tc>
        <w:tc>
          <w:tcPr>
            <w:tcW w:w="43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Форма</w:t>
            </w:r>
          </w:p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контроля</w:t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1. Российская Федерация и Международная организация гражданской авиации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1.1. Государственная программа по безопасности полетов (ГосПБП)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1.2. Дальнейшее развитие нормативной базы СУБП в России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2. Особое место системы управления безопасностью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0,7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2.1.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2.2. Организация и организованность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3. Реализация СУБП поставщика услуг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3.1. Компоненты и элементы СУБП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3.3. Безопасность полётов и корпоративная культура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4. Ответственность за обеспечение безопасности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4.1. </w:t>
            </w:r>
            <w:r>
              <w:rPr>
                <w:iCs/>
                <w:sz w:val="23"/>
                <w:szCs w:val="23"/>
              </w:rPr>
              <w:t>Ответственность, которая не может быть делегирована другим лицам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4.2. Подразделение, ответственное за функционирование СУБП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4.3. Содержание Руководства по управлению безопасностью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Раздел 5. Область применения и интеграция СУБП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5.2. 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0,8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6. Важные составляющие СУБП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6.1. СУБП поставщика услуг как средство объединения разных направлений его деятельности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6.2. Контроль дикой природы — национальные требования и стандарты ИКАО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6.3. Оценка рисков и практические результаты на примерах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6.4. Предотвращение повреждений воздушных судов посторонними предметами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7. Идентификация опасностей и оценка рисков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Тема 7.2. Методология </w:t>
            </w:r>
            <w:r>
              <w:rPr>
                <w:sz w:val="23"/>
                <w:szCs w:val="23"/>
                <w:lang w:val="en-US"/>
              </w:rPr>
              <w:t>ARMS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7.3. Руководство по идентификации опасностей </w:t>
            </w:r>
            <w:r>
              <w:rPr>
                <w:bCs/>
                <w:sz w:val="23"/>
                <w:szCs w:val="23"/>
                <w:lang w:val="en-US"/>
              </w:rPr>
              <w:t>ECAST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7.5. Особые средства и методы идентификации опасностей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iCs/>
                <w:sz w:val="23"/>
                <w:szCs w:val="23"/>
              </w:rPr>
              <w:t>Тема 7.6.</w:t>
            </w:r>
            <w:r>
              <w:rPr>
                <w:bCs/>
                <w:sz w:val="23"/>
                <w:szCs w:val="23"/>
              </w:rPr>
              <w:t xml:space="preserve"> Идентификация будущих опасностей методом </w:t>
            </w:r>
            <w:r>
              <w:rPr>
                <w:bCs/>
                <w:sz w:val="23"/>
                <w:szCs w:val="23"/>
                <w:lang w:val="en-US"/>
              </w:rPr>
              <w:t>FAST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7.7. Приоритизация опасностей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7.8. Использование имеющихся ресурсов и типовые опасности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7.9.</w:t>
            </w:r>
            <w:r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8. Управление рисками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8.1. </w:t>
            </w:r>
            <w:r>
              <w:rPr>
                <w:sz w:val="23"/>
                <w:szCs w:val="23"/>
              </w:rPr>
              <w:t>Управление рисками на практике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Раздел 9. </w:t>
            </w:r>
            <w:r>
              <w:rPr>
                <w:b/>
                <w:bCs/>
                <w:sz w:val="23"/>
                <w:szCs w:val="23"/>
              </w:rPr>
              <w:t>Мониторинг и измерение эффективности обеспечения безопасности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9.1. </w:t>
            </w:r>
            <w:r>
              <w:rPr>
                <w:bCs/>
                <w:iCs/>
                <w:sz w:val="23"/>
                <w:szCs w:val="23"/>
              </w:rPr>
              <w:t>Интеграция СУБП и Системы менеджмента качества.</w:t>
            </w:r>
            <w:r>
              <w:rPr>
                <w:sz w:val="23"/>
                <w:szCs w:val="23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9.2. </w:t>
            </w:r>
            <w:r>
              <w:rPr>
                <w:bCs/>
                <w:iCs/>
                <w:sz w:val="23"/>
                <w:szCs w:val="23"/>
              </w:rPr>
              <w:t>Интеграция СУБП и Системы управления авиационной безопасностью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9.3. Показатели эффективности обеспечения безопасности полётов на примере российских и иностранных поставщиков услуг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9.4. </w:t>
            </w:r>
            <w:r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10. Обмен информацией и ведение документации по безопасности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10.1. Источники внешних и внутренних данных о безопасности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10.2. База данных по безопасности полётов: требования к структуре, содержание и необходимый уровень детализации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10.3. Анализ данных как процесс, позволяющий извлечь новые знания и сведения из имеющихся данных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11. Человеческие факторы и безопасность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11.1. Основные принципы учета человеческого фактора. Влияние действий человека на безопасность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>
              <w:rPr>
                <w:sz w:val="23"/>
                <w:szCs w:val="23"/>
                <w:lang w:val="en-US"/>
              </w:rPr>
              <w:t>SHELL</w:t>
            </w:r>
            <w:r>
              <w:rPr>
                <w:sz w:val="23"/>
                <w:szCs w:val="23"/>
              </w:rPr>
              <w:t>. Ошибки и нарушения. Принципы учёта ЧФ при проверках обеспечения безопасности полётов. Примеры из международной практики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12. Постоянное совершенствование СУБП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12.1. Аудит внутренней деятельности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12.3. </w:t>
            </w:r>
            <w:r>
              <w:rPr>
                <w:color w:val="000000" w:themeColor="text1"/>
                <w:sz w:val="23"/>
                <w:szCs w:val="23"/>
              </w:rPr>
              <w:t>Планирование и подготовка к проведению аудита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rFonts w:eastAsia="ArialMT"/>
                <w:sz w:val="23"/>
                <w:szCs w:val="23"/>
              </w:rPr>
              <w:t>Тема 12.4. Принципы проведения аудиторских проверок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Тема 12.5. Проведение аудита.</w:t>
            </w:r>
            <w:r>
              <w:rPr>
                <w:sz w:val="23"/>
                <w:szCs w:val="23"/>
              </w:rPr>
              <w:t xml:space="preserve"> Оформление результатов аудита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0,3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12.6. </w:t>
            </w:r>
            <w:r>
              <w:rPr>
                <w:bCs/>
                <w:sz w:val="23"/>
                <w:szCs w:val="23"/>
              </w:rPr>
              <w:t>Расследования и корректирующие действия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Раздел 13. Популяризация безопасности полётов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13.1. Подготовка и обучение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0,5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1,5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ind w:left="0" w:hanging="0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Итоговый контроль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–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Семинар</w:t>
            </w:r>
          </w:p>
        </w:tc>
      </w:tr>
      <w:tr>
        <w:trPr/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right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ВСЕГО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40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21,2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18,8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jc w:val="left"/>
        <w:rPr/>
      </w:pPr>
      <w:bookmarkStart w:id="1" w:name="_Toc531004388"/>
      <w:r>
        <w:rPr/>
        <w:t>КАЛЕНДАРНЫЙ УЧЕБНЫЙ ГРАФИК</w:t>
      </w:r>
      <w:bookmarkEnd w:id="1"/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2"/>
        <w:gridCol w:w="1509"/>
        <w:gridCol w:w="7592"/>
      </w:tblGrid>
      <w:tr>
        <w:trPr>
          <w:tblHeader w:val="true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День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Тема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pacing w:val="-6"/>
                <w:sz w:val="23"/>
                <w:szCs w:val="23"/>
              </w:rPr>
            </w:pPr>
            <w:r>
              <w:rPr>
                <w:spacing w:val="-6"/>
                <w:sz w:val="23"/>
                <w:szCs w:val="23"/>
              </w:rPr>
              <w:t>Тема 1.1. Государственная программа по безопасности полетов (ГосПБП)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1.2. Дальнейшее развитие нормативной базы СУБП в России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2.1. Системы управления безопасностью как мировая практика в различных отраслях промышленности, транспорта во всем мире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2.2. Организация и организованность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3.1. Компоненты и элементы СУБП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3.3. Безопасность полётов и корпоративная культура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i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4.1. </w:t>
            </w:r>
            <w:r>
              <w:rPr>
                <w:iCs/>
                <w:sz w:val="23"/>
                <w:szCs w:val="23"/>
              </w:rPr>
              <w:t>Ответственность, которая не может быть делегирована другим лицам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4.2. Подразделение, ответственное за функционирование СУБП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4.3. Содержание Руководства по управлению безопасностью полётов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5.2. 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6.1. СУБП поставщика услуг как средство объединения разных направлений его деятельности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6.2. Контроль дикой природы — национальные требования и стандарты ИКАО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6.3. Оценка рисков и практические результаты на примерах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6.4. Предотвращение повреждений воздушных судов посторонними предметами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7.2. Методология </w:t>
            </w:r>
            <w:r>
              <w:rPr>
                <w:sz w:val="23"/>
                <w:szCs w:val="23"/>
                <w:lang w:val="en-US"/>
              </w:rPr>
              <w:t>ARMS</w:t>
            </w:r>
          </w:p>
          <w:p>
            <w:pPr>
              <w:pStyle w:val="Normal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7.3. Руководство по идентификации опасностей </w:t>
            </w:r>
            <w:r>
              <w:rPr>
                <w:bCs/>
                <w:sz w:val="23"/>
                <w:szCs w:val="23"/>
                <w:lang w:val="en-US"/>
              </w:rPr>
              <w:t>ECAST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  <w:p>
            <w:pPr>
              <w:pStyle w:val="Normal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7.5. Особые средства и методы идентификации опасностей</w:t>
            </w:r>
          </w:p>
          <w:p>
            <w:pPr>
              <w:pStyle w:val="Normal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iCs/>
                <w:sz w:val="23"/>
                <w:szCs w:val="23"/>
              </w:rPr>
              <w:t>Тема 7.6.</w:t>
            </w:r>
            <w:r>
              <w:rPr>
                <w:bCs/>
                <w:sz w:val="23"/>
                <w:szCs w:val="23"/>
              </w:rPr>
              <w:t xml:space="preserve"> Идентификация будущих опасностей методом </w:t>
            </w:r>
            <w:r>
              <w:rPr>
                <w:bCs/>
                <w:sz w:val="23"/>
                <w:szCs w:val="23"/>
                <w:lang w:val="en-US"/>
              </w:rPr>
              <w:t>FAST</w:t>
            </w:r>
          </w:p>
          <w:p>
            <w:pPr>
              <w:pStyle w:val="Normal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7.7. Приоритизация опасностей</w:t>
            </w:r>
          </w:p>
          <w:p>
            <w:pPr>
              <w:pStyle w:val="Normal"/>
              <w:jc w:val="lef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7.8. Использование имеющихся ресурсов и типовые опасности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7.9.</w:t>
            </w:r>
            <w:r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Тема 7.9.</w:t>
            </w:r>
            <w:r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8.1. </w:t>
            </w:r>
            <w:r>
              <w:rPr>
                <w:sz w:val="23"/>
                <w:szCs w:val="23"/>
              </w:rPr>
              <w:t>Управление рисками на практике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8.1. </w:t>
            </w:r>
            <w:r>
              <w:rPr>
                <w:sz w:val="23"/>
                <w:szCs w:val="23"/>
              </w:rPr>
              <w:t>Управление рисками на практике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9.1. </w:t>
            </w:r>
            <w:r>
              <w:rPr>
                <w:bCs/>
                <w:iCs/>
                <w:sz w:val="23"/>
                <w:szCs w:val="23"/>
              </w:rPr>
              <w:t>Интеграция СУБП и Системы менеджмента качества.</w:t>
            </w:r>
            <w:r>
              <w:rPr>
                <w:sz w:val="23"/>
                <w:szCs w:val="23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bCs/>
                <w:i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Тема 9.2. </w:t>
            </w:r>
            <w:r>
              <w:rPr>
                <w:bCs/>
                <w:iCs/>
                <w:sz w:val="23"/>
                <w:szCs w:val="23"/>
              </w:rPr>
              <w:t>Интеграция СУБП и Системы управления авиационной безопасностью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9.3. Показатели эффективности обеспечения безопасности полётов на примере российских и иностранных поставщиков услуг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9.4. </w:t>
            </w:r>
            <w:r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i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9.4. </w:t>
            </w:r>
            <w:r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10.1. Источники внешних и внутренних данных о безопасности полётов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10.2. База данных по безопасности полётов: требования к структуре, содержание и необходимый уровень детализации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10.3. Анализ данных как процесс, позволяющий извлечь новые знания и сведения из имеющихся данных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11.1. Основные принципы учета человеческого фактора. Влияние действий человека на безопасность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>
              <w:rPr>
                <w:sz w:val="23"/>
                <w:szCs w:val="23"/>
                <w:lang w:val="en-US"/>
              </w:rPr>
              <w:t>SHELL</w:t>
            </w:r>
            <w:r>
              <w:rPr>
                <w:sz w:val="23"/>
                <w:szCs w:val="23"/>
              </w:rPr>
              <w:t>. Ошибки и нарушения. Принципы учёта ЧФ при проверках обеспечения безопасности полётов. Примеры из международной практики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>
              <w:rPr>
                <w:sz w:val="23"/>
                <w:szCs w:val="23"/>
                <w:lang w:val="en-US"/>
              </w:rPr>
              <w:t>SHELL</w:t>
            </w:r>
            <w:r>
              <w:rPr>
                <w:sz w:val="23"/>
                <w:szCs w:val="23"/>
              </w:rPr>
              <w:t>. Ошибки и нарушения. Принципы учета ЧФ при проверках обеспечения безопасности полётов. Примеры из международной практики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12.1. Аудит внутренней деятельности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</w:tc>
      </w:tr>
      <w:tr>
        <w:trPr/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  <w:p>
            <w:pPr>
              <w:pStyle w:val="Normal"/>
              <w:jc w:val="left"/>
              <w:rPr>
                <w:color w:val="000000" w:themeColor="text1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12.3. </w:t>
            </w:r>
            <w:r>
              <w:rPr>
                <w:color w:val="000000" w:themeColor="text1"/>
                <w:sz w:val="23"/>
                <w:szCs w:val="23"/>
              </w:rPr>
              <w:t>Планирование и подготовка к проведению аудита</w:t>
            </w:r>
          </w:p>
          <w:p>
            <w:pPr>
              <w:pStyle w:val="Normal"/>
              <w:jc w:val="left"/>
              <w:rPr>
                <w:rFonts w:eastAsia="ArialMT"/>
                <w:sz w:val="23"/>
                <w:szCs w:val="23"/>
              </w:rPr>
            </w:pPr>
            <w:r>
              <w:rPr>
                <w:rFonts w:eastAsia="ArialMT"/>
                <w:sz w:val="23"/>
                <w:szCs w:val="23"/>
              </w:rPr>
              <w:t>Тема 12.4. Принципы проведения аудиторских проверок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Тема 12.5. Проведение аудита.</w:t>
            </w:r>
            <w:r>
              <w:rPr>
                <w:sz w:val="23"/>
                <w:szCs w:val="23"/>
              </w:rPr>
              <w:t xml:space="preserve"> Оформление результатов аудита</w:t>
            </w:r>
          </w:p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Тема 12.6. </w:t>
            </w:r>
            <w:r>
              <w:rPr>
                <w:bCs/>
                <w:sz w:val="23"/>
                <w:szCs w:val="23"/>
              </w:rPr>
              <w:t>Расследования и корректирующие действия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Тема 13.1. Подготовка и обучение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Итоговый контроль (семинар)</w:t>
            </w:r>
          </w:p>
        </w:tc>
      </w:tr>
      <w:tr>
        <w:trPr/>
        <w:tc>
          <w:tcPr>
            <w:tcW w:w="7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Итоговый контроль (семинар)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>
        <w:b/>
        <w:b/>
        <w:szCs w:val="24"/>
      </w:rPr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1950"/>
      <w:gridCol w:w="6237"/>
      <w:gridCol w:w="1666"/>
    </w:tblGrid>
    <w:tr>
      <w:trPr/>
      <w:tc>
        <w:tcPr>
          <w:tcW w:w="1950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pageBreakBefore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/>
            <w:drawing>
              <wp:inline distT="0" distB="0" distL="0" distR="0">
                <wp:extent cx="1152525" cy="314325"/>
                <wp:effectExtent l="0" t="0" r="0" b="0"/>
                <wp:docPr id="1" name="Рисунок 2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ind w:right="51" w:hanging="0"/>
            <w:jc w:val="center"/>
            <w:rPr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 xml:space="preserve">Программа повышения квалификации </w:t>
          </w:r>
          <w:r>
            <w:rPr>
              <w:bCs/>
              <w:iCs/>
              <w:color w:val="000000"/>
              <w:sz w:val="22"/>
              <w:szCs w:val="22"/>
            </w:rPr>
            <w:t>руководящего состава</w:t>
            <w:br/>
            <w:t xml:space="preserve">и специалистов поставщиков услуг </w:t>
          </w:r>
          <w:r>
            <w:rPr>
              <w:color w:val="000000"/>
              <w:sz w:val="22"/>
              <w:szCs w:val="22"/>
            </w:rPr>
            <w:t>по теме: «Система</w:t>
            <w:br/>
            <w:t>управления безопасностью полётов поставщиков услуг»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66" w:type="dxa"/>
          <w:tcBorders>
            <w:bottom w:val="single" w:sz="4" w:space="0" w:color="000000"/>
          </w:tcBorders>
          <w:shd w:color="auto" w:fill="auto" w:val="clear"/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085"/>
      <w:gridCol w:w="6484"/>
    </w:tblGrid>
    <w:tr>
      <w:trPr/>
      <w:tc>
        <w:tcPr>
          <w:tcW w:w="3085" w:type="dxa"/>
          <w:tcBorders/>
          <w:shd w:color="auto"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4025" cy="466725"/>
                <wp:effectExtent l="0" t="0" r="0" b="0"/>
                <wp:docPr id="2" name="Рисунок 1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4" w:type="dxa"/>
          <w:tcBorders/>
          <w:shd w:color="auto" w:fill="auto" w:val="clear"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9473ab"/>
    <w:pPr>
      <w:keepNext w:val="true"/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link w:val="20"/>
    <w:qFormat/>
    <w:pPr>
      <w:keepNext w:val="true"/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30"/>
    <w:qFormat/>
    <w:pPr>
      <w:keepNext w:val="true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40"/>
    <w:qFormat/>
    <w:rsid w:val="00d4201c"/>
    <w:pPr>
      <w:keepNext w:val="true"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1" w:customStyle="1">
    <w:name w:val="Заголовок 1 Знак"/>
    <w:link w:val="1"/>
    <w:qFormat/>
    <w:locked/>
    <w:rsid w:val="009473ab"/>
    <w:rPr>
      <w:b/>
      <w:kern w:val="2"/>
      <w:sz w:val="24"/>
    </w:rPr>
  </w:style>
  <w:style w:type="character" w:styleId="2" w:customStyle="1">
    <w:name w:val="Заголовок 2 Знак"/>
    <w:link w:val="2"/>
    <w:semiHidden/>
    <w:qFormat/>
    <w:locked/>
    <w:rsid w:val="00d4201c"/>
    <w:rPr>
      <w:sz w:val="24"/>
      <w:u w:val="single"/>
      <w:lang w:val="ru-RU" w:eastAsia="ru-RU" w:bidi="ar-SA"/>
    </w:rPr>
  </w:style>
  <w:style w:type="character" w:styleId="3" w:customStyle="1">
    <w:name w:val="Заголовок 3 Знак"/>
    <w:link w:val="3"/>
    <w:semiHidden/>
    <w:qFormat/>
    <w:locked/>
    <w:rsid w:val="00d4201c"/>
    <w:rPr>
      <w:b/>
      <w:sz w:val="28"/>
      <w:lang w:val="ru-RU" w:eastAsia="ru-RU" w:bidi="ar-SA"/>
    </w:rPr>
  </w:style>
  <w:style w:type="character" w:styleId="4" w:customStyle="1">
    <w:name w:val="Заголовок 4 Знак"/>
    <w:link w:val="4"/>
    <w:semiHidden/>
    <w:qFormat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styleId="6" w:customStyle="1">
    <w:name w:val="Заголовок 6 Знак"/>
    <w:link w:val="6"/>
    <w:semiHidden/>
    <w:qFormat/>
    <w:locked/>
    <w:rsid w:val="00d4201c"/>
    <w:rPr>
      <w:b/>
      <w:bCs/>
      <w:sz w:val="22"/>
      <w:szCs w:val="22"/>
      <w:lang w:val="ru-RU" w:eastAsia="ru-RU" w:bidi="ar-SA"/>
    </w:rPr>
  </w:style>
  <w:style w:type="character" w:styleId="Style9" w:customStyle="1">
    <w:name w:val="Основной текст Знак"/>
    <w:link w:val="a3"/>
    <w:semiHidden/>
    <w:qFormat/>
    <w:locked/>
    <w:rsid w:val="00d4201c"/>
    <w:rPr>
      <w:b/>
      <w:sz w:val="28"/>
      <w:lang w:val="ru-RU" w:eastAsia="ru-RU" w:bidi="ar-SA"/>
    </w:rPr>
  </w:style>
  <w:style w:type="character" w:styleId="21" w:customStyle="1">
    <w:name w:val="Основной текст 2 Знак"/>
    <w:link w:val="21"/>
    <w:semiHidden/>
    <w:qFormat/>
    <w:locked/>
    <w:rsid w:val="00d4201c"/>
    <w:rPr>
      <w:w w:val="85"/>
      <w:sz w:val="28"/>
      <w:lang w:val="ru-RU" w:eastAsia="ru-RU" w:bidi="ar-SA"/>
    </w:rPr>
  </w:style>
  <w:style w:type="character" w:styleId="31" w:customStyle="1">
    <w:name w:val="Основной текст 3 Знак"/>
    <w:link w:val="31"/>
    <w:semiHidden/>
    <w:qFormat/>
    <w:locked/>
    <w:rsid w:val="00d4201c"/>
    <w:rPr>
      <w:sz w:val="16"/>
      <w:szCs w:val="16"/>
      <w:lang w:val="ru-RU" w:eastAsia="ru-RU" w:bidi="ar-SA"/>
    </w:rPr>
  </w:style>
  <w:style w:type="character" w:styleId="Style10" w:customStyle="1">
    <w:name w:val="Нижний колонтитул Знак"/>
    <w:link w:val="ab"/>
    <w:uiPriority w:val="99"/>
    <w:qFormat/>
    <w:locked/>
    <w:rsid w:val="00d4201c"/>
    <w:rPr>
      <w:sz w:val="24"/>
      <w:lang w:val="ru-RU" w:eastAsia="ru-RU" w:bidi="ar-SA"/>
    </w:rPr>
  </w:style>
  <w:style w:type="character" w:styleId="Style11" w:customStyle="1">
    <w:name w:val="Верхний колонтитул Знак"/>
    <w:link w:val="a9"/>
    <w:qFormat/>
    <w:locked/>
    <w:rsid w:val="00d4201c"/>
    <w:rPr>
      <w:sz w:val="24"/>
      <w:lang w:val="ru-RU" w:eastAsia="ru-RU" w:bidi="ar-SA"/>
    </w:rPr>
  </w:style>
  <w:style w:type="character" w:styleId="Style12" w:customStyle="1">
    <w:name w:val="Текст выноски Знак"/>
    <w:link w:val="a5"/>
    <w:qFormat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styleId="41" w:customStyle="1">
    <w:name w:val="Знак Знак4"/>
    <w:semiHidden/>
    <w:qFormat/>
    <w:locked/>
    <w:rsid w:val="00c6557d"/>
    <w:rPr>
      <w:b/>
      <w:sz w:val="28"/>
      <w:lang w:val="ru-RU" w:eastAsia="ru-RU" w:bidi="ar-SA"/>
    </w:rPr>
  </w:style>
  <w:style w:type="character" w:styleId="22" w:customStyle="1">
    <w:name w:val="Знак Знак2"/>
    <w:semiHidden/>
    <w:qFormat/>
    <w:locked/>
    <w:rsid w:val="00ba3ecc"/>
    <w:rPr>
      <w:sz w:val="16"/>
      <w:szCs w:val="16"/>
      <w:lang w:val="ru-RU" w:eastAsia="ru-RU" w:bidi="ar-SA"/>
    </w:rPr>
  </w:style>
  <w:style w:type="character" w:styleId="InternetLink">
    <w:name w:val="Hyperlink"/>
    <w:uiPriority w:val="99"/>
    <w:unhideWhenUsed/>
    <w:rsid w:val="00330fc3"/>
    <w:rPr>
      <w:color w:val="0000FF"/>
      <w:u w:val="single"/>
    </w:rPr>
  </w:style>
  <w:style w:type="character" w:styleId="Style13" w:customStyle="1">
    <w:name w:val="Подзаголовок Знак"/>
    <w:link w:val="af2"/>
    <w:qFormat/>
    <w:rsid w:val="00330fc3"/>
    <w:rPr>
      <w:rFonts w:ascii="Cambria" w:hAnsi="Cambria" w:eastAsia="Times New Roman" w:cs="Times New Roman"/>
      <w:sz w:val="24"/>
      <w:szCs w:val="24"/>
    </w:rPr>
  </w:style>
  <w:style w:type="character" w:styleId="Appleconvertedspace" w:customStyle="1">
    <w:name w:val="apple-converted-space"/>
    <w:qFormat/>
    <w:rsid w:val="00115773"/>
    <w:rPr/>
  </w:style>
  <w:style w:type="character" w:styleId="Emphasis">
    <w:name w:val="Emphasis"/>
    <w:basedOn w:val="DefaultParagraphFont"/>
    <w:qFormat/>
    <w:rsid w:val="000a1b2e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link w:val="a4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a6"/>
    <w:semiHidden/>
    <w:qFormat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2">
    <w:name w:val="Body Text 2"/>
    <w:basedOn w:val="Normal"/>
    <w:link w:val="22"/>
    <w:qFormat/>
    <w:pPr>
      <w:jc w:val="center"/>
    </w:pPr>
    <w:rPr>
      <w:w w:val="85"/>
      <w:sz w:val="28"/>
    </w:rPr>
  </w:style>
  <w:style w:type="paragraph" w:styleId="Style14" w:customStyle="1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5" w:customStyle="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rsid w:val="003d1631"/>
    <w:pPr>
      <w:spacing w:before="0" w:after="120"/>
      <w:ind w:left="283" w:hanging="0"/>
    </w:pPr>
    <w:rPr/>
  </w:style>
  <w:style w:type="paragraph" w:styleId="BodyText3">
    <w:name w:val="Body Text 3"/>
    <w:basedOn w:val="Normal"/>
    <w:link w:val="32"/>
    <w:qFormat/>
    <w:rsid w:val="00d4201c"/>
    <w:pPr>
      <w:spacing w:before="0" w:after="120"/>
    </w:pPr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fc3"/>
    <w:pPr>
      <w:keepLines/>
      <w:spacing w:lineRule="auto" w:line="276" w:before="480" w:after="0"/>
      <w:jc w:val="left"/>
    </w:pPr>
    <w:rPr>
      <w:rFonts w:ascii="Cambria" w:hAnsi="Cambria"/>
      <w:bCs/>
      <w:color w:val="365F91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rsid w:val="001e0116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link w:val="af3"/>
    <w:qFormat/>
    <w:rsid w:val="00330fc3"/>
    <w:pPr>
      <w:spacing w:before="0" w:after="60"/>
      <w:jc w:val="center"/>
      <w:outlineLvl w:val="1"/>
    </w:pPr>
    <w:rPr>
      <w:rFonts w:ascii="Cambria" w:hAnsi="Cambria"/>
      <w:szCs w:val="24"/>
    </w:rPr>
  </w:style>
  <w:style w:type="paragraph" w:styleId="Contents2">
    <w:name w:val="TOC 2"/>
    <w:basedOn w:val="Normal"/>
    <w:next w:val="Normal"/>
    <w:autoRedefine/>
    <w:uiPriority w:val="39"/>
    <w:rsid w:val="00115773"/>
    <w:pPr>
      <w:tabs>
        <w:tab w:val="clear" w:pos="720"/>
        <w:tab w:val="right" w:pos="9344" w:leader="dot"/>
      </w:tabs>
    </w:pPr>
    <w:rPr/>
  </w:style>
  <w:style w:type="paragraph" w:styleId="ListParagraph">
    <w:name w:val="List Paragraph"/>
    <w:basedOn w:val="Normal"/>
    <w:uiPriority w:val="34"/>
    <w:qFormat/>
    <w:rsid w:val="00af0354"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23" w:customStyle="1">
    <w:name w:val="Обычный2"/>
    <w:qFormat/>
    <w:rsid w:val="00b10f44"/>
    <w:pPr>
      <w:widowControl w:val="false"/>
      <w:bidi w:val="0"/>
      <w:spacing w:before="0" w:after="0"/>
      <w:ind w:firstLine="72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211" w:customStyle="1">
    <w:name w:val="Основной текст 21"/>
    <w:basedOn w:val="Normal"/>
    <w:qFormat/>
    <w:rsid w:val="00cf75da"/>
    <w:pPr>
      <w:jc w:val="left"/>
    </w:pPr>
    <w:rPr>
      <w:rFonts w:eastAsia="Calibri"/>
      <w:sz w:val="28"/>
      <w:szCs w:val="28"/>
      <w:lang w:eastAsia="ar-SA"/>
    </w:rPr>
  </w:style>
  <w:style w:type="paragraph" w:styleId="NormalWeb">
    <w:name w:val="Normal (Web)"/>
    <w:basedOn w:val="Normal"/>
    <w:uiPriority w:val="99"/>
    <w:unhideWhenUsed/>
    <w:qFormat/>
    <w:rsid w:val="0032279c"/>
    <w:pPr>
      <w:spacing w:beforeAutospacing="1" w:afterAutospacing="1"/>
      <w:jc w:val="left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055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3CD0C-7A79-4ED7-AA2A-DD6AF7BC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1508</Words>
  <Characters>8598</Characters>
  <CharactersWithSpaces>10086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2019-02-11T08:59:00Z</dcterms:created>
  <dc:creator>Константинова</dc:creator>
  <dc:description/>
  <dc:language>en-US</dc:language>
  <cp:lastModifiedBy>Yana A. Chumakova</cp:lastModifiedBy>
  <cp:lastPrinted>2019-02-14T08:40:00Z</cp:lastPrinted>
  <dcterms:modified xsi:type="dcterms:W3CDTF">2020-08-14T13:53:00Z</dcterms:modified>
  <cp:revision>12</cp:revision>
  <dc:subject/>
  <dc:title>НЕГОСУДАРСТВЕННОЕ ОБРАЗОВАТЕЛЬНОЕ УЧРЕЖДЕНИЕ ВЫСШАЯ КОММЕРЧЕСКАЯ ШКОЛА «АВИАБИЗНЕС»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