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2024年AI芯片行业发展动态报告</w:t>
      </w:r>
    </w:p>
    <w:p>
      <w:pPr>
        <w:pStyle w:val="Heading2"/>
        <w:spacing w:after="120" w:before="240"/>
      </w:pPr>
      <w:r>
        <w:t xml:space="preserve">概述</w:t>
      </w:r>
    </w:p>
    <w:p>
      <w:pPr>
        <w:spacing w:after="120" w:before="120"/>
      </w:pPr>
      <w:r>
        <w:t xml:space="preserve">2024年是AI芯片行业竞争白热化的一年，随着生成式AI和大模型的爆发式增长，AI加速芯片市场需求持续攀升。英伟达、AMD和英特尔三大巨头在这一年展开了激烈的技术与市场份额争夺战。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一、英伟达（NVIDIA）：继续领跑</w:t>
      </w:r>
    </w:p>
    <w:p>
      <w:pPr>
        <w:pStyle w:val="Heading3"/>
        <w:spacing w:after="120" w:before="240"/>
      </w:pPr>
      <w:r>
        <w:t xml:space="preserve">新产品发布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Blackwell架构</w:t>
      </w:r>
      <w:r>
        <w:t xml:space="preserve">：2024年3月GTC大会上，英伟达正式发布Blackwell架构，包括B100和B200 GPU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GB200 Grace Blackwell</w:t>
      </w:r>
      <w:r>
        <w:t xml:space="preserve">：将Grace CPU与Blackwell GPU整合的超级芯片，性能较前代Hopper提升显著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RTX 50系列</w:t>
      </w:r>
      <w:r>
        <w:t xml:space="preserve">：面向消费市场的新一代GPU，强化AI推理能力</w:t>
      </w:r>
    </w:p>
    <w:p>
      <w:pPr>
        <w:pStyle w:val="Heading3"/>
        <w:spacing w:after="120" w:before="240"/>
      </w:pPr>
      <w:r>
        <w:t xml:space="preserve">市场地位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数据中心AI芯片市场份额保持在</w:t>
      </w:r>
      <w:r>
        <w:rPr>
          <w:b/>
          <w:bCs/>
        </w:rPr>
        <w:t xml:space="preserve">80%以上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市值突破3万亿美元，成为全球最有价值公司之一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H100/H200 GPU持续供不应求，订单排期长达数月</w:t>
      </w:r>
    </w:p>
    <w:p>
      <w:pPr>
        <w:pStyle w:val="Heading3"/>
        <w:spacing w:after="120" w:before="240"/>
      </w:pPr>
      <w:r>
        <w:t xml:space="preserve">技术突破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采用台积电4NP工艺，晶体管数量达2080亿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支持FP4精度，AI推理效率提升30倍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第五代NVLink技术，GPU间带宽达130TB/s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二、AMD：强势追赶</w:t>
      </w:r>
    </w:p>
    <w:p>
      <w:pPr>
        <w:pStyle w:val="Heading3"/>
        <w:spacing w:after="120" w:before="240"/>
      </w:pPr>
      <w:r>
        <w:t xml:space="preserve">新产品发布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MI300系列</w:t>
      </w:r>
      <w:r>
        <w:t xml:space="preserve">：MI300X AI加速器正式量产，直接对标H100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MI325X</w:t>
      </w:r>
      <w:r>
        <w:t xml:space="preserve">：2024年下半年发布，HBM3e内存容量达288GB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Ryzen AI</w:t>
      </w:r>
      <w:r>
        <w:t xml:space="preserve">：将NPU集成到消费级处理器，推动端侧AI</w:t>
      </w:r>
    </w:p>
    <w:p>
      <w:pPr>
        <w:pStyle w:val="Heading3"/>
        <w:spacing w:after="120" w:before="240"/>
      </w:pPr>
      <w:r>
        <w:t xml:space="preserve">市场进展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数据中心GPU市场份额从2%提升至</w:t>
      </w:r>
      <w:r>
        <w:rPr>
          <w:b/>
          <w:bCs/>
        </w:rPr>
        <w:t xml:space="preserve">5-8%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获得微软、Meta、Oracle等大厂订单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ROCm软件生态持续完善，兼容性大幅提升</w:t>
      </w:r>
    </w:p>
    <w:p>
      <w:pPr>
        <w:pStyle w:val="Heading3"/>
        <w:spacing w:after="120" w:before="240"/>
      </w:pPr>
      <w:r>
        <w:t xml:space="preserve">技术亮点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采用Chiplet设计，成本效益优于英伟达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HBM3e高带宽内存，带宽达6TB/s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CDNA 3架构，AI训练性能接近H100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三、英特尔（Intel）：艰难转型</w:t>
      </w:r>
    </w:p>
    <w:p>
      <w:pPr>
        <w:pStyle w:val="Heading3"/>
        <w:spacing w:after="120" w:before="240"/>
      </w:pPr>
      <w:r>
        <w:t xml:space="preserve">新产品发布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Gaudi 3</w:t>
      </w:r>
      <w:r>
        <w:t xml:space="preserve">：2024年4月发布，宣称性能优于H100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Falcon Shores</w:t>
      </w:r>
      <w:r>
        <w:t xml:space="preserve">：CPU+GPU整合架构，预计2025年量产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Core Ultra</w:t>
      </w:r>
      <w:r>
        <w:t xml:space="preserve">：消费级处理器集成NPU，强化AI PC概念</w:t>
      </w:r>
    </w:p>
    <w:p>
      <w:pPr>
        <w:pStyle w:val="Heading3"/>
        <w:spacing w:after="120" w:before="240"/>
      </w:pPr>
      <w:r>
        <w:t xml:space="preserve">市场挑战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AI芯片市场份额仍不足</w:t>
      </w:r>
      <w:r>
        <w:rPr>
          <w:b/>
          <w:bCs/>
        </w:rPr>
        <w:t xml:space="preserve">3%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代工业务持续亏损，战略调整中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依赖政府补贴和生态合作维持竞争力</w:t>
      </w:r>
    </w:p>
    <w:p>
      <w:pPr>
        <w:pStyle w:val="Heading3"/>
        <w:spacing w:after="120" w:before="240"/>
      </w:pPr>
      <w:r>
        <w:t xml:space="preserve">技术方向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聚焦开放式生态，支持PyTorch、TensorFlow主流框架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推进Intel Foundry服务，争取外部客户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18A工艺节点进展顺利，计划2025年量产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四、市场趋势与展望</w:t>
      </w:r>
    </w:p>
    <w:p>
      <w:pPr>
        <w:pStyle w:val="Heading3"/>
        <w:spacing w:after="120" w:before="240"/>
      </w:pPr>
      <w:r>
        <w:t xml:space="preserve">整体市场规模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2024年全球AI芯片市场规模预计达</w:t>
      </w:r>
      <w:r>
        <w:rPr>
          <w:b/>
          <w:bCs/>
        </w:rPr>
        <w:t xml:space="preserve">1500-1800亿美元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年增长率超过50%，数据中心是主要驱动力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边缘AI芯片市场快速崛起</w:t>
      </w:r>
    </w:p>
    <w:p>
      <w:pPr>
        <w:pStyle w:val="Heading3"/>
        <w:spacing w:after="120" w:before="240"/>
      </w:pPr>
      <w:r>
        <w:t xml:space="preserve">关键技术趋势</w:t>
      </w:r>
    </w:p>
    <w:p>
      <w:pPr>
        <w:spacing w:after="120" w:before="120"/>
      </w:pPr>
      <w:r>
        <w:t xml:space="preserve">1. </w:t>
      </w:r>
      <w:r>
        <w:rPr>
          <w:b/>
          <w:bCs/>
        </w:rPr>
        <w:t xml:space="preserve">Chiplet技术</w:t>
      </w:r>
      <w:r>
        <w:t xml:space="preserve">：模块化设计降低成本，提升良率</w:t>
      </w:r>
    </w:p>
    <w:p>
      <w:pPr>
        <w:spacing w:after="120" w:before="120"/>
      </w:pPr>
      <w:r>
        <w:t xml:space="preserve">2. </w:t>
      </w:r>
      <w:r>
        <w:rPr>
          <w:b/>
          <w:bCs/>
        </w:rPr>
        <w:t xml:space="preserve">HBM3e内存</w:t>
      </w:r>
      <w:r>
        <w:t xml:space="preserve">：高带宽内存成为高端AI芯片标配</w:t>
      </w:r>
    </w:p>
    <w:p>
      <w:pPr>
        <w:spacing w:after="120" w:before="120"/>
      </w:pPr>
      <w:r>
        <w:t xml:space="preserve">3. </w:t>
      </w:r>
      <w:r>
        <w:rPr>
          <w:b/>
          <w:bCs/>
        </w:rPr>
        <w:t xml:space="preserve">液冷散热</w:t>
      </w:r>
      <w:r>
        <w:t xml:space="preserve">：功耗攀升推动散热技术革新</w:t>
      </w:r>
    </w:p>
    <w:p>
      <w:pPr>
        <w:spacing w:after="120" w:before="120"/>
      </w:pPr>
      <w:r>
        <w:t xml:space="preserve">4. </w:t>
      </w:r>
      <w:r>
        <w:rPr>
          <w:b/>
          <w:bCs/>
        </w:rPr>
        <w:t xml:space="preserve">软件生态</w:t>
      </w:r>
      <w:r>
        <w:t xml:space="preserve">：CUDA护城河面临ROCm、oneAPI挑战</w:t>
      </w:r>
    </w:p>
    <w:p>
      <w:pPr>
        <w:pStyle w:val="Heading3"/>
        <w:spacing w:after="120" w:before="240"/>
      </w:pPr>
      <w:r>
        <w:t xml:space="preserve">竞争格局展望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英伟达短期难以撼动，但面临AMD和定制芯片双重压力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云厂商自研芯片（TPU、Trainium、Maia）占比提升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中国厂商（华为昇腾、寒武纪等）在本地市场持续发力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结语</w:t>
      </w:r>
    </w:p>
    <w:p>
      <w:pPr>
        <w:spacing w:after="120" w:before="120"/>
      </w:pPr>
      <w:r>
        <w:t xml:space="preserve">2024年AI芯片行业呈现"一超多强"格局，英伟达凭借技术领先和生态优势继续主导市场，但AMD的追赶和英特尔的转型正在改变竞争态势。随着AI应用从云端向边缘端扩展，未来芯片架构将更加多元化，软件生态的重要性也将进一步提升。</w:t>
      </w:r>
    </w:p>
    <w:p>
      <w:pPr>
        <w:pBdr>
          <w:bottom w:color="auto" w:sz="6" w:space="1"/>
        </w:pBdr>
        <w:spacing w:after="120" w:before="120"/>
      </w:pPr>
    </w:p>
    <w:p>
      <w:pPr>
        <w:spacing w:after="120" w:before="120"/>
      </w:pPr>
      <w:r>
        <w:rPr>
          <w:i/>
          <w:iCs/>
        </w:rPr>
        <w:t xml:space="preserve">报告生成时间：2026年2月25日</w:t>
      </w:r>
    </w:p>
    <w:p>
      <w:pPr>
        <w:spacing w:after="120" w:before="120"/>
      </w:pPr>
      <w:r>
        <w:rPr>
          <w:i/>
          <w:iCs/>
        </w:rPr>
        <w:t xml:space="preserve">数据来源：公开市场信息与行业分析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2026-02-27T00:16:47.263Z</dcterms:created>
  <dcterms:modified xsi:type="dcterms:W3CDTF">2026-02-27T00:16:47.263Z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