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12B6" w:rsidRDefault="009F2B0A">
      <w:pPr>
        <w:spacing w:after="60"/>
      </w:pPr>
      <w:r>
        <w:rPr>
          <w:b/>
          <w:color w:val="0284C7"/>
          <w:sz w:val="18"/>
        </w:rPr>
        <w:t>ENTERPRISE HYDRAULIC ENGINEERING SUITE  •  WWW.PUMPMASTERPRO.COM</w:t>
      </w:r>
    </w:p>
    <w:p w:rsidR="004612B6" w:rsidRDefault="009F2B0A">
      <w:pPr>
        <w:spacing w:after="40"/>
      </w:pPr>
      <w:r>
        <w:rPr>
          <w:b/>
          <w:color w:val="1E3A8A"/>
          <w:sz w:val="52"/>
        </w:rPr>
        <w:t>PUMP MASTER PRO™</w:t>
      </w:r>
    </w:p>
    <w:p w:rsidR="004612B6" w:rsidRDefault="009F2B0A">
      <w:pPr>
        <w:spacing w:after="240"/>
      </w:pPr>
      <w:r>
        <w:rPr>
          <w:b/>
          <w:color w:val="0284C7"/>
          <w:sz w:val="25"/>
        </w:rPr>
        <w:t>Next-Genera</w:t>
      </w:r>
      <w:r w:rsidR="00D34F5E">
        <w:rPr>
          <w:b/>
          <w:color w:val="0284C7"/>
          <w:sz w:val="25"/>
        </w:rPr>
        <w:t>tion Industrial Pump Sizing, Schematic</w:t>
      </w:r>
      <w:r>
        <w:rPr>
          <w:b/>
          <w:color w:val="0284C7"/>
          <w:sz w:val="25"/>
        </w:rPr>
        <w:t xml:space="preserve"> Pipe Network Modeling, Projects &amp; Submittal Automation</w:t>
      </w:r>
    </w:p>
    <w:p w:rsidR="004612B6" w:rsidRDefault="009F2B0A">
      <w:pPr>
        <w:spacing w:after="280"/>
      </w:pPr>
      <w:r>
        <w:rPr>
          <w:b/>
          <w:color w:val="1E3A8A"/>
          <w:sz w:val="17"/>
        </w:rPr>
        <w:t xml:space="preserve"> [✓] ISO 9906:2012 (Grade 1 &amp; 2) </w:t>
      </w:r>
      <w:r>
        <w:t xml:space="preserve">   </w:t>
      </w:r>
      <w:r>
        <w:rPr>
          <w:b/>
          <w:color w:val="1E3A8A"/>
          <w:sz w:val="17"/>
        </w:rPr>
        <w:t xml:space="preserve"> [✓] ANSI/HI 14.6 Test Methods </w:t>
      </w:r>
      <w:r>
        <w:t xml:space="preserve">   </w:t>
      </w:r>
      <w:r>
        <w:rPr>
          <w:b/>
          <w:color w:val="1E3A8A"/>
          <w:sz w:val="17"/>
        </w:rPr>
        <w:t xml:space="preserve"> [✓] API 610 (11th/12th Edition) </w:t>
      </w:r>
      <w:r>
        <w:t xml:space="preserve">   </w:t>
      </w:r>
      <w:r w:rsidR="00DC1C47">
        <w:rPr>
          <w:b/>
          <w:color w:val="1E3A8A"/>
          <w:sz w:val="17"/>
        </w:rPr>
        <w:t xml:space="preserve"> [✓] Pipe Network </w:t>
      </w:r>
      <w:r>
        <w:rPr>
          <w:b/>
          <w:color w:val="1E3A8A"/>
          <w:sz w:val="17"/>
        </w:rPr>
        <w:t xml:space="preserve">Solvers </w:t>
      </w:r>
      <w:r>
        <w:t xml:space="preserve">   </w:t>
      </w:r>
      <w:r w:rsidR="00DC1C47">
        <w:rPr>
          <w:b/>
          <w:color w:val="1E3A8A"/>
          <w:sz w:val="17"/>
        </w:rPr>
        <w:t xml:space="preserve"> [✓] Pixel-Perfect </w:t>
      </w:r>
      <w:r>
        <w:rPr>
          <w:b/>
          <w:color w:val="1E3A8A"/>
          <w:sz w:val="17"/>
        </w:rPr>
        <w:t>PDF</w:t>
      </w:r>
      <w:r w:rsidR="00DC1C47">
        <w:rPr>
          <w:b/>
          <w:color w:val="1E3A8A"/>
          <w:sz w:val="17"/>
        </w:rPr>
        <w:t xml:space="preserve"> Reports</w:t>
      </w:r>
      <w:r>
        <w:rPr>
          <w:b/>
          <w:color w:val="1E3A8A"/>
          <w:sz w:val="17"/>
        </w:rPr>
        <w:t xml:space="preserve"> </w:t>
      </w:r>
      <w:proofErr w:type="gramStart"/>
      <w:r>
        <w:rPr>
          <w:b/>
          <w:color w:val="1E3A8A"/>
          <w:sz w:val="17"/>
        </w:rPr>
        <w:t xml:space="preserve">Engine </w:t>
      </w:r>
      <w:r w:rsidR="00DC1C47">
        <w:rPr>
          <w:b/>
          <w:color w:val="1E3A8A"/>
          <w:sz w:val="17"/>
        </w:rPr>
        <w:t xml:space="preserve"> </w:t>
      </w:r>
      <w:r w:rsidR="00DC1C47">
        <w:rPr>
          <w:b/>
          <w:color w:val="1E3A8A"/>
          <w:sz w:val="17"/>
        </w:rPr>
        <w:t>[</w:t>
      </w:r>
      <w:proofErr w:type="gramEnd"/>
      <w:r w:rsidR="00DC1C47">
        <w:rPr>
          <w:b/>
          <w:color w:val="1E3A8A"/>
          <w:sz w:val="17"/>
        </w:rPr>
        <w:t xml:space="preserve">✓] </w:t>
      </w:r>
      <w:r w:rsidR="00DC1C47">
        <w:rPr>
          <w:b/>
          <w:color w:val="1E3A8A"/>
          <w:sz w:val="17"/>
        </w:rPr>
        <w:t xml:space="preserve">Highly customizable to suit your </w:t>
      </w:r>
      <w:proofErr w:type="spellStart"/>
      <w:r w:rsidR="00DC1C47">
        <w:rPr>
          <w:b/>
          <w:color w:val="1E3A8A"/>
          <w:sz w:val="17"/>
        </w:rPr>
        <w:t>organisation</w:t>
      </w:r>
      <w:proofErr w:type="spellEnd"/>
    </w:p>
    <w:tbl>
      <w:tblPr>
        <w:tblW w:w="0" w:type="auto"/>
        <w:jc w:val="center"/>
        <w:tblLook w:val="04A0" w:firstRow="1" w:lastRow="0" w:firstColumn="1" w:lastColumn="0" w:noHBand="0" w:noVBand="1"/>
      </w:tblPr>
      <w:tblGrid>
        <w:gridCol w:w="10050"/>
      </w:tblGrid>
      <w:tr w:rsidR="004612B6">
        <w:trPr>
          <w:jc w:val="center"/>
        </w:trPr>
        <w:tc>
          <w:tcPr>
            <w:tcW w:w="10080" w:type="dxa"/>
            <w:tcBorders>
              <w:left w:val="single" w:sz="24" w:space="0" w:color="0284C7"/>
            </w:tcBorders>
            <w:shd w:val="clear" w:color="auto" w:fill="F0F9FF"/>
            <w:tcMar>
              <w:top w:w="140" w:type="dxa"/>
              <w:left w:w="200" w:type="dxa"/>
              <w:bottom w:w="140" w:type="dxa"/>
              <w:right w:w="200" w:type="dxa"/>
            </w:tcMar>
          </w:tcPr>
          <w:p w:rsidR="004612B6" w:rsidRDefault="009F2B0A">
            <w:pPr>
              <w:spacing w:after="80"/>
            </w:pPr>
            <w:r>
              <w:rPr>
                <w:b/>
                <w:i/>
                <w:color w:val="1E3A8A"/>
                <w:sz w:val="22"/>
              </w:rPr>
              <w:t>“From Raw Operating Duty Point to Publication-Grade Customer Submittal in Under 3 Minutes.”</w:t>
            </w:r>
            <w:bookmarkStart w:id="0" w:name="_GoBack"/>
            <w:bookmarkEnd w:id="0"/>
            <w:r>
              <w:rPr>
                <w:b/>
                <w:i/>
                <w:color w:val="1E3A8A"/>
                <w:sz w:val="22"/>
              </w:rPr>
              <w:br/>
            </w:r>
            <w:r>
              <w:rPr>
                <w:sz w:val="19"/>
              </w:rPr>
              <w:t>Pump Master Pro is the cloud-native hydraulic sizing, cur</w:t>
            </w:r>
            <w:r>
              <w:rPr>
                <w:sz w:val="19"/>
              </w:rPr>
              <w:t>ve-fitting, project management, and pipe network analysis platform bu</w:t>
            </w:r>
            <w:r w:rsidR="00DC1C47">
              <w:rPr>
                <w:sz w:val="19"/>
              </w:rPr>
              <w:t xml:space="preserve">ilt specifically for </w:t>
            </w:r>
            <w:r>
              <w:rPr>
                <w:sz w:val="19"/>
              </w:rPr>
              <w:t xml:space="preserve"> Pump Manufacturers (OEMs), EPC Contractors, Consulting Engineers, and Heavy Industrial Plants (Mining, Water &amp; Slurry). Designed for complete flexibility,</w:t>
            </w:r>
            <w:r>
              <w:rPr>
                <w:sz w:val="19"/>
              </w:rPr>
              <w:t xml:space="preserve"> users can add their own pump models and test bench curves, organize tender quotations into dedicated project folders, customize PDF submittal templates with corporate branding, and execute complex hydraulic friction solving with zero desktop installations</w:t>
            </w:r>
            <w:r>
              <w:rPr>
                <w:sz w:val="19"/>
              </w:rPr>
              <w:t>.</w:t>
            </w:r>
          </w:p>
        </w:tc>
      </w:tr>
    </w:tbl>
    <w:p w:rsidR="004612B6" w:rsidRDefault="004612B6">
      <w:pPr>
        <w:spacing w:after="120"/>
      </w:pPr>
    </w:p>
    <w:p w:rsidR="004612B6" w:rsidRDefault="009F2B0A">
      <w:pPr>
        <w:pStyle w:val="Heading1"/>
        <w:spacing w:before="280" w:after="120"/>
      </w:pPr>
      <w:r>
        <w:rPr>
          <w:color w:val="1E3A8A"/>
        </w:rPr>
        <w:t>1. Target Audiences &amp; Value Delivered</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592"/>
        <w:gridCol w:w="3312"/>
        <w:gridCol w:w="3744"/>
      </w:tblGrid>
      <w:tr w:rsidR="004612B6">
        <w:trPr>
          <w:jc w:val="center"/>
        </w:trPr>
        <w:tc>
          <w:tcPr>
            <w:tcW w:w="2592" w:type="dxa"/>
            <w:shd w:val="clear" w:color="auto" w:fill="1E3A8A"/>
            <w:tcMar>
              <w:top w:w="120" w:type="dxa"/>
              <w:left w:w="120" w:type="dxa"/>
              <w:bottom w:w="120" w:type="dxa"/>
              <w:right w:w="120" w:type="dxa"/>
            </w:tcMar>
          </w:tcPr>
          <w:p w:rsidR="004612B6" w:rsidRDefault="009F2B0A">
            <w:r>
              <w:rPr>
                <w:b/>
                <w:color w:val="FFFFFF"/>
                <w:sz w:val="18"/>
              </w:rPr>
              <w:t>Industry / Stakeholder</w:t>
            </w:r>
          </w:p>
        </w:tc>
        <w:tc>
          <w:tcPr>
            <w:tcW w:w="3312" w:type="dxa"/>
            <w:shd w:val="clear" w:color="auto" w:fill="1E3A8A"/>
            <w:tcMar>
              <w:top w:w="120" w:type="dxa"/>
              <w:left w:w="120" w:type="dxa"/>
              <w:bottom w:w="120" w:type="dxa"/>
              <w:right w:w="120" w:type="dxa"/>
            </w:tcMar>
          </w:tcPr>
          <w:p w:rsidR="004612B6" w:rsidRDefault="009F2B0A">
            <w:r>
              <w:rPr>
                <w:b/>
                <w:color w:val="FFFFFF"/>
                <w:sz w:val="18"/>
              </w:rPr>
              <w:t>Traditional Bottleneck</w:t>
            </w:r>
          </w:p>
        </w:tc>
        <w:tc>
          <w:tcPr>
            <w:tcW w:w="3744" w:type="dxa"/>
            <w:shd w:val="clear" w:color="auto" w:fill="1E3A8A"/>
            <w:tcMar>
              <w:top w:w="120" w:type="dxa"/>
              <w:left w:w="120" w:type="dxa"/>
              <w:bottom w:w="120" w:type="dxa"/>
              <w:right w:w="120" w:type="dxa"/>
            </w:tcMar>
          </w:tcPr>
          <w:p w:rsidR="004612B6" w:rsidRDefault="009F2B0A">
            <w:r>
              <w:rPr>
                <w:b/>
                <w:color w:val="FFFFFF"/>
                <w:sz w:val="18"/>
              </w:rPr>
              <w:t>Pump Master Pro Solution</w:t>
            </w:r>
          </w:p>
        </w:tc>
      </w:tr>
      <w:tr w:rsidR="004612B6">
        <w:trPr>
          <w:jc w:val="center"/>
        </w:trPr>
        <w:tc>
          <w:tcPr>
            <w:tcW w:w="2592" w:type="dxa"/>
            <w:shd w:val="clear" w:color="auto" w:fill="FFFFFF"/>
            <w:tcMar>
              <w:top w:w="90" w:type="dxa"/>
              <w:left w:w="110" w:type="dxa"/>
              <w:bottom w:w="90" w:type="dxa"/>
              <w:right w:w="110" w:type="dxa"/>
            </w:tcMar>
          </w:tcPr>
          <w:p w:rsidR="004612B6" w:rsidRDefault="009F2B0A">
            <w:r>
              <w:rPr>
                <w:sz w:val="17"/>
              </w:rPr>
              <w:t>Pump OEMs &amp; Sales Distributors</w:t>
            </w:r>
          </w:p>
        </w:tc>
        <w:tc>
          <w:tcPr>
            <w:tcW w:w="3312" w:type="dxa"/>
            <w:shd w:val="clear" w:color="auto" w:fill="FFFFFF"/>
            <w:tcMar>
              <w:top w:w="90" w:type="dxa"/>
              <w:left w:w="110" w:type="dxa"/>
              <w:bottom w:w="90" w:type="dxa"/>
              <w:right w:w="110" w:type="dxa"/>
            </w:tcMar>
          </w:tcPr>
          <w:p w:rsidR="004612B6" w:rsidRDefault="009F2B0A">
            <w:r>
              <w:rPr>
                <w:sz w:val="17"/>
              </w:rPr>
              <w:t>Slow quotation turnaround (2–4 hours per quote) and risk of sales reps recommending off-design pumps.</w:t>
            </w:r>
          </w:p>
        </w:tc>
        <w:tc>
          <w:tcPr>
            <w:tcW w:w="3744" w:type="dxa"/>
            <w:shd w:val="clear" w:color="auto" w:fill="FFFFFF"/>
            <w:tcMar>
              <w:top w:w="90" w:type="dxa"/>
              <w:left w:w="110" w:type="dxa"/>
              <w:bottom w:w="90" w:type="dxa"/>
              <w:right w:w="110" w:type="dxa"/>
            </w:tcMar>
          </w:tcPr>
          <w:p w:rsidR="004612B6" w:rsidRDefault="009F2B0A">
            <w:r>
              <w:rPr>
                <w:sz w:val="17"/>
              </w:rPr>
              <w:t xml:space="preserve">Instant </w:t>
            </w:r>
            <w:r>
              <w:rPr>
                <w:sz w:val="17"/>
              </w:rPr>
              <w:t>duty point matching, automated impeller trims, branded submittal generation, and multi-tenant catalog hosting.</w:t>
            </w:r>
          </w:p>
        </w:tc>
      </w:tr>
      <w:tr w:rsidR="004612B6">
        <w:trPr>
          <w:jc w:val="center"/>
        </w:trPr>
        <w:tc>
          <w:tcPr>
            <w:tcW w:w="2592" w:type="dxa"/>
            <w:shd w:val="clear" w:color="auto" w:fill="F8FAFC"/>
            <w:tcMar>
              <w:top w:w="90" w:type="dxa"/>
              <w:left w:w="110" w:type="dxa"/>
              <w:bottom w:w="90" w:type="dxa"/>
              <w:right w:w="110" w:type="dxa"/>
            </w:tcMar>
          </w:tcPr>
          <w:p w:rsidR="004612B6" w:rsidRDefault="009F2B0A">
            <w:r>
              <w:rPr>
                <w:sz w:val="17"/>
              </w:rPr>
              <w:t>EPC &amp; Consulting Engineers</w:t>
            </w:r>
          </w:p>
        </w:tc>
        <w:tc>
          <w:tcPr>
            <w:tcW w:w="3312" w:type="dxa"/>
            <w:shd w:val="clear" w:color="auto" w:fill="F8FAFC"/>
            <w:tcMar>
              <w:top w:w="90" w:type="dxa"/>
              <w:left w:w="110" w:type="dxa"/>
              <w:bottom w:w="90" w:type="dxa"/>
              <w:right w:w="110" w:type="dxa"/>
            </w:tcMar>
          </w:tcPr>
          <w:p w:rsidR="004612B6" w:rsidRDefault="009F2B0A">
            <w:r>
              <w:rPr>
                <w:sz w:val="17"/>
              </w:rPr>
              <w:t>Error-prone spreadsheet friction formulas, lost project files, and tedious manual NPSHa safety margin checks.</w:t>
            </w:r>
          </w:p>
        </w:tc>
        <w:tc>
          <w:tcPr>
            <w:tcW w:w="3744" w:type="dxa"/>
            <w:shd w:val="clear" w:color="auto" w:fill="F8FAFC"/>
            <w:tcMar>
              <w:top w:w="90" w:type="dxa"/>
              <w:left w:w="110" w:type="dxa"/>
              <w:bottom w:w="90" w:type="dxa"/>
              <w:right w:w="110" w:type="dxa"/>
            </w:tcMar>
          </w:tcPr>
          <w:p w:rsidR="004612B6" w:rsidRDefault="009F2B0A">
            <w:r>
              <w:rPr>
                <w:sz w:val="17"/>
              </w:rPr>
              <w:t>Interactive orthogonal CAD pipe network modeling, automated Colebrook-White friction solving, and project versioning.</w:t>
            </w:r>
          </w:p>
        </w:tc>
      </w:tr>
      <w:tr w:rsidR="004612B6">
        <w:trPr>
          <w:jc w:val="center"/>
        </w:trPr>
        <w:tc>
          <w:tcPr>
            <w:tcW w:w="2592" w:type="dxa"/>
            <w:shd w:val="clear" w:color="auto" w:fill="FFFFFF"/>
            <w:tcMar>
              <w:top w:w="90" w:type="dxa"/>
              <w:left w:w="110" w:type="dxa"/>
              <w:bottom w:w="90" w:type="dxa"/>
              <w:right w:w="110" w:type="dxa"/>
            </w:tcMar>
          </w:tcPr>
          <w:p w:rsidR="004612B6" w:rsidRDefault="009F2B0A">
            <w:r>
              <w:rPr>
                <w:sz w:val="17"/>
              </w:rPr>
              <w:t>Mining &amp; Slurry Plants</w:t>
            </w:r>
          </w:p>
        </w:tc>
        <w:tc>
          <w:tcPr>
            <w:tcW w:w="3312" w:type="dxa"/>
            <w:shd w:val="clear" w:color="auto" w:fill="FFFFFF"/>
            <w:tcMar>
              <w:top w:w="90" w:type="dxa"/>
              <w:left w:w="110" w:type="dxa"/>
              <w:bottom w:w="90" w:type="dxa"/>
              <w:right w:w="110" w:type="dxa"/>
            </w:tcMar>
          </w:tcPr>
          <w:p w:rsidR="004612B6" w:rsidRDefault="009F2B0A">
            <w:r>
              <w:rPr>
                <w:sz w:val="17"/>
              </w:rPr>
              <w:t>Unpredicted pipe sanding, line blockage, or catastrophic pump wear due to incorrect slurry settling physics.</w:t>
            </w:r>
          </w:p>
        </w:tc>
        <w:tc>
          <w:tcPr>
            <w:tcW w:w="3744" w:type="dxa"/>
            <w:shd w:val="clear" w:color="auto" w:fill="FFFFFF"/>
            <w:tcMar>
              <w:top w:w="90" w:type="dxa"/>
              <w:left w:w="110" w:type="dxa"/>
              <w:bottom w:w="90" w:type="dxa"/>
              <w:right w:w="110" w:type="dxa"/>
            </w:tcMar>
          </w:tcPr>
          <w:p w:rsidR="004612B6" w:rsidRDefault="009F2B0A">
            <w:r>
              <w:rPr>
                <w:sz w:val="17"/>
              </w:rPr>
              <w:t>Nativ</w:t>
            </w:r>
            <w:r>
              <w:rPr>
                <w:sz w:val="17"/>
              </w:rPr>
              <w:t>e Durand critical deposition velocity (Vc) and Ferguson &amp; Church particle settling velocity algorithms.</w:t>
            </w:r>
          </w:p>
        </w:tc>
      </w:tr>
      <w:tr w:rsidR="004612B6">
        <w:trPr>
          <w:jc w:val="center"/>
        </w:trPr>
        <w:tc>
          <w:tcPr>
            <w:tcW w:w="2592" w:type="dxa"/>
            <w:shd w:val="clear" w:color="auto" w:fill="F8FAFC"/>
            <w:tcMar>
              <w:top w:w="90" w:type="dxa"/>
              <w:left w:w="110" w:type="dxa"/>
              <w:bottom w:w="90" w:type="dxa"/>
              <w:right w:w="110" w:type="dxa"/>
            </w:tcMar>
          </w:tcPr>
          <w:p w:rsidR="004612B6" w:rsidRDefault="009F2B0A">
            <w:r>
              <w:rPr>
                <w:sz w:val="17"/>
              </w:rPr>
              <w:t>Water &amp; Wastewater Utilities</w:t>
            </w:r>
          </w:p>
        </w:tc>
        <w:tc>
          <w:tcPr>
            <w:tcW w:w="3312" w:type="dxa"/>
            <w:shd w:val="clear" w:color="auto" w:fill="F8FAFC"/>
            <w:tcMar>
              <w:top w:w="90" w:type="dxa"/>
              <w:left w:w="110" w:type="dxa"/>
              <w:bottom w:w="90" w:type="dxa"/>
              <w:right w:w="110" w:type="dxa"/>
            </w:tcMar>
          </w:tcPr>
          <w:p w:rsidR="004612B6" w:rsidRDefault="009F2B0A">
            <w:r>
              <w:rPr>
                <w:sz w:val="17"/>
              </w:rPr>
              <w:t>Operating off Best Efficiency Point (BEP), uncontrolled energy waste, and cavitation damage in parallel pumps.</w:t>
            </w:r>
          </w:p>
        </w:tc>
        <w:tc>
          <w:tcPr>
            <w:tcW w:w="3744" w:type="dxa"/>
            <w:shd w:val="clear" w:color="auto" w:fill="F8FAFC"/>
            <w:tcMar>
              <w:top w:w="90" w:type="dxa"/>
              <w:left w:w="110" w:type="dxa"/>
              <w:bottom w:w="90" w:type="dxa"/>
              <w:right w:w="110" w:type="dxa"/>
            </w:tcMar>
          </w:tcPr>
          <w:p w:rsidR="004612B6" w:rsidRDefault="009F2B0A">
            <w:r>
              <w:rPr>
                <w:sz w:val="17"/>
              </w:rPr>
              <w:t>Comprehensive POR/AOR envelope visualization, VFD speed affinity curves, and multi-pump side-by-side comparison.</w:t>
            </w:r>
          </w:p>
        </w:tc>
      </w:tr>
    </w:tbl>
    <w:p w:rsidR="004612B6" w:rsidRDefault="004612B6">
      <w:pPr>
        <w:spacing w:after="160"/>
      </w:pPr>
    </w:p>
    <w:p w:rsidR="004612B6" w:rsidRDefault="009F2B0A">
      <w:pPr>
        <w:pStyle w:val="Heading1"/>
        <w:spacing w:before="280" w:after="120"/>
      </w:pPr>
      <w:r>
        <w:rPr>
          <w:color w:val="1E3A8A"/>
        </w:rPr>
        <w:lastRenderedPageBreak/>
        <w:t>2. 100% Customizable: Add Your Own Pumps &amp; Catalogues</w:t>
      </w:r>
    </w:p>
    <w:p w:rsidR="004612B6" w:rsidRDefault="009F2B0A">
      <w:pPr>
        <w:spacing w:after="120"/>
      </w:pPr>
      <w:r>
        <w:rPr>
          <w:sz w:val="19"/>
        </w:rPr>
        <w:t xml:space="preserve">Unlike rigid legacy tools that lock you into static third-party databases, Pump Master </w:t>
      </w:r>
      <w:r>
        <w:rPr>
          <w:sz w:val="19"/>
        </w:rPr>
        <w:t>Pro is built to be fully customizable by the user. Whether you are an equipment manufacturer introducing a new product line, or an engineering consultancy managing bespoke client assets, you have full ownership of your data.</w:t>
      </w:r>
    </w:p>
    <w:p w:rsidR="004612B6" w:rsidRDefault="009F2B0A">
      <w:pPr>
        <w:spacing w:before="80" w:after="40"/>
      </w:pPr>
      <w:r>
        <w:rPr>
          <w:b/>
          <w:color w:val="0284C7"/>
          <w:sz w:val="19"/>
        </w:rPr>
        <w:t>✔</w:t>
      </w:r>
      <w:r>
        <w:rPr>
          <w:b/>
          <w:color w:val="0284C7"/>
          <w:sz w:val="19"/>
        </w:rPr>
        <w:t xml:space="preserve">  Add &amp; Manage Your Own Pumps:</w:t>
      </w:r>
      <w:r>
        <w:rPr>
          <w:b/>
          <w:color w:val="0284C7"/>
          <w:sz w:val="19"/>
        </w:rPr>
        <w:t xml:space="preserve"> </w:t>
      </w:r>
      <w:r>
        <w:rPr>
          <w:sz w:val="19"/>
        </w:rPr>
        <w:t>Easily register any centrifugal or slurry pump model. Define pump family, series, discharge/suction flange ratings, impeller trim diameter ranges (min, rated, max), design speeds, and motor configurations.</w:t>
      </w:r>
    </w:p>
    <w:p w:rsidR="004612B6" w:rsidRDefault="009F2B0A">
      <w:pPr>
        <w:spacing w:before="80" w:after="40"/>
      </w:pPr>
      <w:r>
        <w:rPr>
          <w:b/>
          <w:color w:val="0284C7"/>
          <w:sz w:val="19"/>
        </w:rPr>
        <w:t>✔</w:t>
      </w:r>
      <w:r>
        <w:rPr>
          <w:b/>
          <w:color w:val="0284C7"/>
          <w:sz w:val="19"/>
        </w:rPr>
        <w:t xml:space="preserve">  Automated Test Bench Curve Fitting: </w:t>
      </w:r>
      <w:r>
        <w:rPr>
          <w:sz w:val="19"/>
        </w:rPr>
        <w:t>Simply ent</w:t>
      </w:r>
      <w:r>
        <w:rPr>
          <w:sz w:val="19"/>
        </w:rPr>
        <w:t>er discrete performance test points (Flow, Head, Efficiency, Power, NPSHr). The system's mathematical engine automatically generates high-order polynomial regression curves (R² &gt; 0.998) and affinity law speed/trim variations.</w:t>
      </w:r>
    </w:p>
    <w:p w:rsidR="004612B6" w:rsidRDefault="009F2B0A">
      <w:pPr>
        <w:spacing w:before="80" w:after="40"/>
      </w:pPr>
      <w:r>
        <w:rPr>
          <w:b/>
          <w:color w:val="0284C7"/>
          <w:sz w:val="19"/>
        </w:rPr>
        <w:t>✔</w:t>
      </w:r>
      <w:r>
        <w:rPr>
          <w:b/>
          <w:color w:val="0284C7"/>
          <w:sz w:val="19"/>
        </w:rPr>
        <w:t xml:space="preserve">  Custom Branding &amp; White-Lab</w:t>
      </w:r>
      <w:r>
        <w:rPr>
          <w:b/>
          <w:color w:val="0284C7"/>
          <w:sz w:val="19"/>
        </w:rPr>
        <w:t xml:space="preserve">eling: </w:t>
      </w:r>
      <w:r>
        <w:rPr>
          <w:sz w:val="19"/>
        </w:rPr>
        <w:t>Fully customize PDF datasheets and client proposals with your corporate logo, custom primary banner colors, report headers, engineering notes, and warranty disclaimers.</w:t>
      </w:r>
    </w:p>
    <w:p w:rsidR="004612B6" w:rsidRDefault="009F2B0A">
      <w:pPr>
        <w:spacing w:before="80" w:after="40"/>
      </w:pPr>
      <w:r>
        <w:rPr>
          <w:b/>
          <w:color w:val="0284C7"/>
          <w:sz w:val="19"/>
        </w:rPr>
        <w:t>✔</w:t>
      </w:r>
      <w:r>
        <w:rPr>
          <w:b/>
          <w:color w:val="0284C7"/>
          <w:sz w:val="19"/>
        </w:rPr>
        <w:t xml:space="preserve">  Custom Fluid, Slurry &amp; Pipe Profiles: </w:t>
      </w:r>
      <w:r>
        <w:rPr>
          <w:sz w:val="19"/>
        </w:rPr>
        <w:t xml:space="preserve">Create bespoke fluid libraries: define </w:t>
      </w:r>
      <w:r>
        <w:rPr>
          <w:sz w:val="19"/>
        </w:rPr>
        <w:t>custom slurry specific gravities, d50 particle sizes, non-Newtonian viscosities, pipe materials, roughness factors (ε), and proprietary fitting K-values.</w:t>
      </w:r>
    </w:p>
    <w:p w:rsidR="004612B6" w:rsidRDefault="004612B6">
      <w:pPr>
        <w:spacing w:after="120"/>
      </w:pPr>
    </w:p>
    <w:p w:rsidR="004612B6" w:rsidRDefault="009F2B0A">
      <w:pPr>
        <w:pStyle w:val="Heading1"/>
        <w:spacing w:before="280" w:after="120"/>
      </w:pPr>
      <w:r>
        <w:rPr>
          <w:color w:val="1E3A8A"/>
        </w:rPr>
        <w:t>3. Core Engineering Modules &amp; Software Walkthrough</w:t>
      </w:r>
    </w:p>
    <w:p w:rsidR="004612B6" w:rsidRDefault="009F2B0A">
      <w:pPr>
        <w:spacing w:before="120" w:after="40"/>
      </w:pPr>
      <w:r>
        <w:rPr>
          <w:b/>
          <w:color w:val="0284C7"/>
          <w:sz w:val="22"/>
        </w:rPr>
        <w:t>■ Module 1: Intelligent Pump Sizing &amp; BEP Operatin</w:t>
      </w:r>
      <w:r>
        <w:rPr>
          <w:b/>
          <w:color w:val="0284C7"/>
          <w:sz w:val="22"/>
        </w:rPr>
        <w:t>g Envelope</w:t>
      </w:r>
    </w:p>
    <w:p w:rsidR="004612B6" w:rsidRDefault="009F2B0A">
      <w:pPr>
        <w:spacing w:after="120"/>
        <w:ind w:left="216"/>
      </w:pPr>
      <w:r>
        <w:t xml:space="preserve">Filters pump models by target Flow (Q), Head (H), and available NPSH. Ranks selections by proximity to Best Efficiency Point (BEP), displaying Preferred Operating Regions (POR) and Allowable Operating Regions (AOR) with automated Karassik trim </w:t>
      </w:r>
      <w:r>
        <w:t>corrections and multi-speed affinity law scaling.</w:t>
      </w:r>
    </w:p>
    <w:tbl>
      <w:tblPr>
        <w:tblW w:w="0" w:type="auto"/>
        <w:jc w:val="center"/>
        <w:tblLook w:val="04A0" w:firstRow="1" w:lastRow="0" w:firstColumn="1" w:lastColumn="0" w:noHBand="0" w:noVBand="1"/>
      </w:tblPr>
      <w:tblGrid>
        <w:gridCol w:w="10080"/>
      </w:tblGrid>
      <w:tr w:rsidR="004612B6" w:rsidTr="00DC1C47">
        <w:trPr>
          <w:trHeight w:val="432"/>
          <w:jc w:val="center"/>
        </w:trPr>
        <w:tc>
          <w:tcPr>
            <w:tcW w:w="10080" w:type="dxa"/>
            <w:shd w:val="clear" w:color="auto" w:fill="0D1117"/>
            <w:tcMar>
              <w:top w:w="100" w:type="dxa"/>
              <w:left w:w="100" w:type="dxa"/>
              <w:bottom w:w="100" w:type="dxa"/>
              <w:right w:w="100" w:type="dxa"/>
            </w:tcMar>
          </w:tcPr>
          <w:p w:rsidR="004612B6" w:rsidRDefault="009F2B0A">
            <w:pPr>
              <w:jc w:val="center"/>
            </w:pPr>
            <w:r>
              <w:rPr>
                <w:noProof/>
              </w:rPr>
              <w:drawing>
                <wp:inline distT="0" distB="0" distL="0" distR="0">
                  <wp:extent cx="5219700" cy="33555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pump_selection.png"/>
                          <pic:cNvPicPr/>
                        </pic:nvPicPr>
                        <pic:blipFill>
                          <a:blip r:embed="rId6"/>
                          <a:stretch>
                            <a:fillRect/>
                          </a:stretch>
                        </pic:blipFill>
                        <pic:spPr>
                          <a:xfrm>
                            <a:off x="0" y="0"/>
                            <a:ext cx="5234396" cy="3364970"/>
                          </a:xfrm>
                          <a:prstGeom prst="rect">
                            <a:avLst/>
                          </a:prstGeom>
                        </pic:spPr>
                      </pic:pic>
                    </a:graphicData>
                  </a:graphic>
                </wp:inline>
              </w:drawing>
            </w:r>
          </w:p>
        </w:tc>
      </w:tr>
      <w:tr w:rsidR="004612B6" w:rsidTr="00DC1C47">
        <w:trPr>
          <w:trHeight w:val="432"/>
          <w:jc w:val="center"/>
        </w:trPr>
        <w:tc>
          <w:tcPr>
            <w:tcW w:w="10080" w:type="dxa"/>
            <w:shd w:val="clear" w:color="auto" w:fill="F8FAFC"/>
            <w:tcMar>
              <w:top w:w="80" w:type="dxa"/>
              <w:left w:w="140" w:type="dxa"/>
              <w:bottom w:w="80" w:type="dxa"/>
              <w:right w:w="140" w:type="dxa"/>
            </w:tcMar>
          </w:tcPr>
          <w:p w:rsidR="004612B6" w:rsidRDefault="009F2B0A">
            <w:r>
              <w:rPr>
                <w:b/>
                <w:color w:val="1E3A8A"/>
                <w:sz w:val="18"/>
              </w:rPr>
              <w:t xml:space="preserve">▲ Figure 1: Pump Selection &amp; Sizing Tool — </w:t>
            </w:r>
            <w:r>
              <w:rPr>
                <w:color w:val="64748B"/>
                <w:sz w:val="17"/>
              </w:rPr>
              <w:t>Interactive duty point matching showing superimposed Head (H-Q), Efficiency (η-Q), Power (P-Q), and NPSHr curves with BEP proximity rating.</w:t>
            </w:r>
          </w:p>
        </w:tc>
      </w:tr>
    </w:tbl>
    <w:p w:rsidR="004612B6" w:rsidRDefault="004612B6"/>
    <w:p w:rsidR="004612B6" w:rsidRDefault="009F2B0A">
      <w:pPr>
        <w:spacing w:before="120" w:after="40"/>
      </w:pPr>
      <w:r>
        <w:rPr>
          <w:b/>
          <w:color w:val="0284C7"/>
          <w:sz w:val="22"/>
        </w:rPr>
        <w:t>■ Module 2: Intera</w:t>
      </w:r>
      <w:r>
        <w:rPr>
          <w:b/>
          <w:color w:val="0284C7"/>
          <w:sz w:val="22"/>
        </w:rPr>
        <w:t>ctive CAD Pipe Network Designer</w:t>
      </w:r>
    </w:p>
    <w:p w:rsidR="004612B6" w:rsidRDefault="009F2B0A">
      <w:pPr>
        <w:spacing w:after="120"/>
        <w:ind w:left="216"/>
      </w:pPr>
      <w:r>
        <w:t>Full orthogonal pipe routing with integrated elbows, check valves, foot valves, and inline fittings. Iteratively solves Darcy-Weisbach head loss using Colebrook-White friction factors and automatically computes the parabolic</w:t>
      </w:r>
      <w:r>
        <w:t xml:space="preserve"> system curve (Hsys = Hstatic + k·Q²) overlaid onto pump performance curves.</w:t>
      </w:r>
    </w:p>
    <w:tbl>
      <w:tblPr>
        <w:tblW w:w="0" w:type="auto"/>
        <w:jc w:val="center"/>
        <w:tblLook w:val="04A0" w:firstRow="1" w:lastRow="0" w:firstColumn="1" w:lastColumn="0" w:noHBand="0" w:noVBand="1"/>
      </w:tblPr>
      <w:tblGrid>
        <w:gridCol w:w="10080"/>
      </w:tblGrid>
      <w:tr w:rsidR="004612B6">
        <w:trPr>
          <w:jc w:val="center"/>
        </w:trPr>
        <w:tc>
          <w:tcPr>
            <w:tcW w:w="10080" w:type="dxa"/>
            <w:shd w:val="clear" w:color="auto" w:fill="0D1117"/>
            <w:tcMar>
              <w:top w:w="100" w:type="dxa"/>
              <w:left w:w="100" w:type="dxa"/>
              <w:bottom w:w="100" w:type="dxa"/>
              <w:right w:w="100" w:type="dxa"/>
            </w:tcMar>
          </w:tcPr>
          <w:p w:rsidR="004612B6" w:rsidRDefault="009F2B0A">
            <w:pPr>
              <w:jc w:val="center"/>
            </w:pPr>
            <w:r>
              <w:rPr>
                <w:noProof/>
              </w:rPr>
              <w:drawing>
                <wp:inline distT="0" distB="0" distL="0" distR="0">
                  <wp:extent cx="5852160" cy="37621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pipe_network.png"/>
                          <pic:cNvPicPr/>
                        </pic:nvPicPr>
                        <pic:blipFill>
                          <a:blip r:embed="rId7"/>
                          <a:stretch>
                            <a:fillRect/>
                          </a:stretch>
                        </pic:blipFill>
                        <pic:spPr>
                          <a:xfrm>
                            <a:off x="0" y="0"/>
                            <a:ext cx="5852160" cy="3762103"/>
                          </a:xfrm>
                          <a:prstGeom prst="rect">
                            <a:avLst/>
                          </a:prstGeom>
                        </pic:spPr>
                      </pic:pic>
                    </a:graphicData>
                  </a:graphic>
                </wp:inline>
              </w:drawing>
            </w:r>
          </w:p>
        </w:tc>
      </w:tr>
      <w:tr w:rsidR="004612B6">
        <w:trPr>
          <w:jc w:val="center"/>
        </w:trPr>
        <w:tc>
          <w:tcPr>
            <w:tcW w:w="10080" w:type="dxa"/>
            <w:shd w:val="clear" w:color="auto" w:fill="F8FAFC"/>
            <w:tcMar>
              <w:top w:w="80" w:type="dxa"/>
              <w:left w:w="140" w:type="dxa"/>
              <w:bottom w:w="80" w:type="dxa"/>
              <w:right w:w="140" w:type="dxa"/>
            </w:tcMar>
          </w:tcPr>
          <w:p w:rsidR="004612B6" w:rsidRDefault="009F2B0A">
            <w:r>
              <w:rPr>
                <w:b/>
                <w:color w:val="1E3A8A"/>
                <w:sz w:val="18"/>
              </w:rPr>
              <w:t xml:space="preserve">▲ Figure 2: Interactive CAD Pipe Network Designer — </w:t>
            </w:r>
            <w:r>
              <w:rPr>
                <w:color w:val="64748B"/>
                <w:sz w:val="17"/>
              </w:rPr>
              <w:t>Orthogonal pipe layout canvas with hydraulic solver method (GGM / Newton-Raphson), fluid settings, and real-time friction ca</w:t>
            </w:r>
            <w:r>
              <w:rPr>
                <w:color w:val="64748B"/>
                <w:sz w:val="17"/>
              </w:rPr>
              <w:t>lculations.</w:t>
            </w:r>
          </w:p>
        </w:tc>
      </w:tr>
    </w:tbl>
    <w:p w:rsidR="004612B6" w:rsidRDefault="004612B6"/>
    <w:p w:rsidR="004612B6" w:rsidRDefault="009F2B0A">
      <w:pPr>
        <w:spacing w:before="120" w:after="40"/>
      </w:pPr>
      <w:r>
        <w:rPr>
          <w:b/>
          <w:color w:val="0284C7"/>
          <w:sz w:val="22"/>
        </w:rPr>
        <w:t>■ Module 3: Custom Pump Builder — Add Your Own Proprietary Pumps</w:t>
      </w:r>
    </w:p>
    <w:p w:rsidR="004612B6" w:rsidRDefault="009F2B0A">
      <w:pPr>
        <w:spacing w:after="120"/>
        <w:ind w:left="216"/>
      </w:pPr>
      <w:r>
        <w:t xml:space="preserve">Add custom pump models with ease. Input raw manufacturer test bench points, specify impeller trim diameter ranges, define motor ratings and flange ratings, and preview fitted </w:t>
      </w:r>
      <w:r>
        <w:t>curves in real-time.</w:t>
      </w:r>
    </w:p>
    <w:p w:rsidR="004612B6" w:rsidRDefault="004612B6"/>
    <w:p w:rsidR="00B54DCF" w:rsidRDefault="00B54DCF">
      <w:pPr>
        <w:spacing w:after="120"/>
        <w:ind w:left="216"/>
      </w:pPr>
    </w:p>
    <w:tbl>
      <w:tblPr>
        <w:tblW w:w="0" w:type="auto"/>
        <w:jc w:val="center"/>
        <w:tblLook w:val="04A0" w:firstRow="1" w:lastRow="0" w:firstColumn="1" w:lastColumn="0" w:noHBand="0" w:noVBand="1"/>
      </w:tblPr>
      <w:tblGrid>
        <w:gridCol w:w="10080"/>
      </w:tblGrid>
      <w:tr w:rsidR="00B54DCF" w:rsidTr="00B54DCF">
        <w:trPr>
          <w:jc w:val="center"/>
        </w:trPr>
        <w:tc>
          <w:tcPr>
            <w:tcW w:w="10280" w:type="dxa"/>
            <w:shd w:val="clear" w:color="auto" w:fill="0D1117"/>
            <w:tcMar>
              <w:top w:w="100" w:type="dxa"/>
              <w:left w:w="100" w:type="dxa"/>
              <w:bottom w:w="100" w:type="dxa"/>
              <w:right w:w="100" w:type="dxa"/>
            </w:tcMar>
          </w:tcPr>
          <w:p w:rsidR="00B54DCF" w:rsidRDefault="00B54DCF" w:rsidP="00C526BB">
            <w:pPr>
              <w:jc w:val="center"/>
              <w:rPr>
                <w:noProof/>
              </w:rPr>
            </w:pPr>
            <w:r>
              <w:rPr>
                <w:noProof/>
              </w:rPr>
              <w:lastRenderedPageBreak/>
              <w:drawing>
                <wp:inline distT="0" distB="0" distL="0" distR="0" wp14:anchorId="2370D027" wp14:editId="39EE406F">
                  <wp:extent cx="6454367" cy="2301240"/>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503635" cy="2318806"/>
                          </a:xfrm>
                          <a:prstGeom prst="rect">
                            <a:avLst/>
                          </a:prstGeom>
                        </pic:spPr>
                      </pic:pic>
                    </a:graphicData>
                  </a:graphic>
                </wp:inline>
              </w:drawing>
            </w:r>
          </w:p>
        </w:tc>
      </w:tr>
      <w:tr w:rsidR="00B54DCF" w:rsidTr="00B54DCF">
        <w:trPr>
          <w:jc w:val="center"/>
        </w:trPr>
        <w:tc>
          <w:tcPr>
            <w:tcW w:w="10280" w:type="dxa"/>
            <w:shd w:val="clear" w:color="auto" w:fill="F8FAFC"/>
            <w:tcMar>
              <w:top w:w="80" w:type="dxa"/>
              <w:left w:w="140" w:type="dxa"/>
              <w:bottom w:w="80" w:type="dxa"/>
              <w:right w:w="140" w:type="dxa"/>
            </w:tcMar>
          </w:tcPr>
          <w:p w:rsidR="00B54DCF" w:rsidRDefault="00B54DCF" w:rsidP="00C526BB">
            <w:r>
              <w:rPr>
                <w:b/>
                <w:color w:val="1E3A8A"/>
                <w:sz w:val="18"/>
              </w:rPr>
              <w:t xml:space="preserve">▲ Figure 3: Custom Pump Data Entry &amp; Curve Fitting Form — </w:t>
            </w:r>
            <w:r>
              <w:rPr>
                <w:color w:val="64748B"/>
                <w:sz w:val="17"/>
              </w:rPr>
              <w:t>Add new pump models with live interactive curve fitting, operating limits, and motor specifications.</w:t>
            </w:r>
          </w:p>
        </w:tc>
      </w:tr>
    </w:tbl>
    <w:p w:rsidR="00B54DCF" w:rsidRDefault="00B54DCF">
      <w:pPr>
        <w:spacing w:after="120"/>
        <w:ind w:left="216"/>
      </w:pPr>
    </w:p>
    <w:p w:rsidR="00B54DCF" w:rsidRDefault="00B54DCF" w:rsidP="00B54DCF">
      <w:pPr>
        <w:spacing w:before="120" w:after="40"/>
      </w:pPr>
      <w:r>
        <w:rPr>
          <w:b/>
          <w:color w:val="0284C7"/>
          <w:sz w:val="22"/>
        </w:rPr>
        <w:t>■ Module 4: Centralized Pump Data Catalogue &amp; Inventory</w:t>
      </w:r>
    </w:p>
    <w:p w:rsidR="00B54DCF" w:rsidRDefault="00B54DCF" w:rsidP="00B54DCF">
      <w:pPr>
        <w:spacing w:after="120"/>
        <w:ind w:left="216"/>
      </w:pPr>
      <w:r>
        <w:t>Manage your complete inventory of pumps, series, and multi-speed curves. Search, filter, and organize by manufacturer, application category, and impeller trim configurations.</w:t>
      </w:r>
    </w:p>
    <w:p w:rsidR="004612B6" w:rsidRDefault="009F2B0A">
      <w:pPr>
        <w:spacing w:before="120" w:after="40"/>
      </w:pPr>
      <w:r>
        <w:rPr>
          <w:b/>
          <w:color w:val="0284C7"/>
          <w:sz w:val="22"/>
        </w:rPr>
        <w:t>■ Module 5: Projects &amp; Saved Selections Management</w:t>
      </w:r>
    </w:p>
    <w:p w:rsidR="004612B6" w:rsidRDefault="009F2B0A">
      <w:pPr>
        <w:spacing w:after="120"/>
        <w:ind w:left="216"/>
      </w:pPr>
      <w:r>
        <w:t xml:space="preserve">The Projects module serves as the commercial and engineering repository for all client tenders and quotations. Key </w:t>
      </w:r>
      <w:r>
        <w:t>capabilities include:</w:t>
      </w:r>
      <w:r>
        <w:br/>
        <w:t>• Complete Selection Snapshot: In a single click, save the selected pump model, operating duty point (Q, H, η, P, NPSHr), fluid rheology, and the COMPLETE CAD pipe network topology directly into a project record.</w:t>
      </w:r>
      <w:r>
        <w:br/>
        <w:t>• Up to 10 Custom Org</w:t>
      </w:r>
      <w:r>
        <w:t>anization Attributes: Configure bespoke metadata per organization (e.g. Plant Area, Mine Site, Fluid Stream, Piping Class, Lead Engineer, Tender Reference, Budget Code).</w:t>
      </w:r>
      <w:r>
        <w:br/>
        <w:t>• Instant Workspace Reload: Any team member can reopen a past saved selection with 1 c</w:t>
      </w:r>
      <w:r>
        <w:t>lick directly back into the live selection tool or CAD pipe canvas to re-simulate, modify parameters, or regenerate updated submittals without re-typing data.</w:t>
      </w:r>
    </w:p>
    <w:tbl>
      <w:tblPr>
        <w:tblW w:w="0" w:type="auto"/>
        <w:jc w:val="center"/>
        <w:tblLook w:val="04A0" w:firstRow="1" w:lastRow="0" w:firstColumn="1" w:lastColumn="0" w:noHBand="0" w:noVBand="1"/>
      </w:tblPr>
      <w:tblGrid>
        <w:gridCol w:w="10080"/>
      </w:tblGrid>
      <w:tr w:rsidR="004612B6">
        <w:trPr>
          <w:jc w:val="center"/>
        </w:trPr>
        <w:tc>
          <w:tcPr>
            <w:tcW w:w="10080" w:type="dxa"/>
            <w:shd w:val="clear" w:color="auto" w:fill="0D1117"/>
            <w:tcMar>
              <w:top w:w="100" w:type="dxa"/>
              <w:left w:w="100" w:type="dxa"/>
              <w:bottom w:w="100" w:type="dxa"/>
              <w:right w:w="100" w:type="dxa"/>
            </w:tcMar>
          </w:tcPr>
          <w:p w:rsidR="004612B6" w:rsidRDefault="009F2B0A">
            <w:pPr>
              <w:jc w:val="center"/>
            </w:pPr>
            <w:r>
              <w:rPr>
                <w:noProof/>
              </w:rPr>
              <w:lastRenderedPageBreak/>
              <w:drawing>
                <wp:inline distT="0" distB="0" distL="0" distR="0">
                  <wp:extent cx="5539175" cy="3560899"/>
                  <wp:effectExtent l="0" t="0" r="444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projects.png"/>
                          <pic:cNvPicPr/>
                        </pic:nvPicPr>
                        <pic:blipFill>
                          <a:blip r:embed="rId9"/>
                          <a:stretch>
                            <a:fillRect/>
                          </a:stretch>
                        </pic:blipFill>
                        <pic:spPr>
                          <a:xfrm>
                            <a:off x="0" y="0"/>
                            <a:ext cx="5545695" cy="3565091"/>
                          </a:xfrm>
                          <a:prstGeom prst="rect">
                            <a:avLst/>
                          </a:prstGeom>
                        </pic:spPr>
                      </pic:pic>
                    </a:graphicData>
                  </a:graphic>
                </wp:inline>
              </w:drawing>
            </w:r>
          </w:p>
        </w:tc>
      </w:tr>
      <w:tr w:rsidR="004612B6">
        <w:trPr>
          <w:jc w:val="center"/>
        </w:trPr>
        <w:tc>
          <w:tcPr>
            <w:tcW w:w="10080" w:type="dxa"/>
            <w:shd w:val="clear" w:color="auto" w:fill="F8FAFC"/>
            <w:tcMar>
              <w:top w:w="80" w:type="dxa"/>
              <w:left w:w="140" w:type="dxa"/>
              <w:bottom w:w="80" w:type="dxa"/>
              <w:right w:w="140" w:type="dxa"/>
            </w:tcMar>
          </w:tcPr>
          <w:p w:rsidR="004612B6" w:rsidRDefault="009F2B0A">
            <w:r>
              <w:rPr>
                <w:b/>
                <w:color w:val="1E3A8A"/>
                <w:sz w:val="18"/>
              </w:rPr>
              <w:t xml:space="preserve">▲ Figure 5: Projects Directory &amp; Saved Selections Management — </w:t>
            </w:r>
            <w:r>
              <w:rPr>
                <w:color w:val="64748B"/>
                <w:sz w:val="17"/>
              </w:rPr>
              <w:t xml:space="preserve">Centralized project repository </w:t>
            </w:r>
            <w:r>
              <w:rPr>
                <w:color w:val="64748B"/>
                <w:sz w:val="17"/>
              </w:rPr>
              <w:t>displaying client details, tender references, custom metadata attributes, and saved pump selection histories.</w:t>
            </w:r>
          </w:p>
        </w:tc>
      </w:tr>
    </w:tbl>
    <w:p w:rsidR="004612B6" w:rsidRDefault="004612B6"/>
    <w:p w:rsidR="004612B6" w:rsidRDefault="009F2B0A">
      <w:pPr>
        <w:spacing w:before="120" w:after="40"/>
      </w:pPr>
      <w:r>
        <w:rPr>
          <w:b/>
          <w:color w:val="0284C7"/>
          <w:sz w:val="22"/>
        </w:rPr>
        <w:t>■ Module 6: Technical Reports &amp; PDF Submittal Engine</w:t>
      </w:r>
    </w:p>
    <w:p w:rsidR="004612B6" w:rsidRDefault="009F2B0A">
      <w:pPr>
        <w:spacing w:after="120"/>
        <w:ind w:left="216"/>
      </w:pPr>
      <w:r>
        <w:t>Generate publication-grade engineering submittals and tender datasheets in seconds. Key cap</w:t>
      </w:r>
      <w:r>
        <w:t>abilities include:</w:t>
      </w:r>
      <w:r>
        <w:br/>
        <w:t>• Pixel-Perfect Vector PDF Generation: Utilizes a dedicated Headless Chromium engine to render razor-sharp vector PDF files matching the on-screen browser preview 100% identically—eliminating blurry canvas captures or broken print layout</w:t>
      </w:r>
      <w:r>
        <w:t>s.</w:t>
      </w:r>
      <w:r>
        <w:br/>
        <w:t>• Flexible 1 to 4 Graph Stacking: Configure 1, 2, 3, or 4 stacked performance charts (H-Q, Efficiency, Power, NPSHr) with customizable display sequence and height percentage splits.</w:t>
      </w:r>
      <w:r>
        <w:br/>
        <w:t>• Comprehensive Technical Sections: Includes operating duty point badge</w:t>
      </w:r>
      <w:r>
        <w:t>s, rated curve overlays, speed/trim isolines, complete construction &amp; materials specification table, hydraulic design specs, and engineering approval remarks.</w:t>
      </w:r>
      <w:r>
        <w:br/>
        <w:t>• Multi-Supplier White-Labeling: Customize header banners, footer notices, corporate logos, and p</w:t>
      </w:r>
      <w:r>
        <w:t>rimary brand theme colors per manufacturer or distributor.</w:t>
      </w:r>
    </w:p>
    <w:tbl>
      <w:tblPr>
        <w:tblW w:w="0" w:type="auto"/>
        <w:jc w:val="center"/>
        <w:tblLook w:val="04A0" w:firstRow="1" w:lastRow="0" w:firstColumn="1" w:lastColumn="0" w:noHBand="0" w:noVBand="1"/>
      </w:tblPr>
      <w:tblGrid>
        <w:gridCol w:w="9347"/>
      </w:tblGrid>
      <w:tr w:rsidR="004612B6" w:rsidTr="00DC1C47">
        <w:trPr>
          <w:trHeight w:val="258"/>
          <w:jc w:val="center"/>
        </w:trPr>
        <w:tc>
          <w:tcPr>
            <w:tcW w:w="9347" w:type="dxa"/>
            <w:shd w:val="clear" w:color="auto" w:fill="0D1117"/>
            <w:tcMar>
              <w:top w:w="100" w:type="dxa"/>
              <w:left w:w="100" w:type="dxa"/>
              <w:bottom w:w="100" w:type="dxa"/>
              <w:right w:w="100" w:type="dxa"/>
            </w:tcMar>
          </w:tcPr>
          <w:p w:rsidR="004612B6" w:rsidRDefault="009F2B0A">
            <w:pPr>
              <w:jc w:val="center"/>
            </w:pPr>
            <w:r>
              <w:rPr>
                <w:noProof/>
              </w:rPr>
              <w:lastRenderedPageBreak/>
              <w:drawing>
                <wp:inline distT="0" distB="0" distL="0" distR="0">
                  <wp:extent cx="5584895" cy="35902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reports_settings.png"/>
                          <pic:cNvPicPr/>
                        </pic:nvPicPr>
                        <pic:blipFill>
                          <a:blip r:embed="rId10"/>
                          <a:stretch>
                            <a:fillRect/>
                          </a:stretch>
                        </pic:blipFill>
                        <pic:spPr>
                          <a:xfrm>
                            <a:off x="0" y="0"/>
                            <a:ext cx="5592107" cy="3594926"/>
                          </a:xfrm>
                          <a:prstGeom prst="rect">
                            <a:avLst/>
                          </a:prstGeom>
                        </pic:spPr>
                      </pic:pic>
                    </a:graphicData>
                  </a:graphic>
                </wp:inline>
              </w:drawing>
            </w:r>
          </w:p>
        </w:tc>
      </w:tr>
      <w:tr w:rsidR="004612B6" w:rsidTr="00DC1C47">
        <w:trPr>
          <w:trHeight w:val="258"/>
          <w:jc w:val="center"/>
        </w:trPr>
        <w:tc>
          <w:tcPr>
            <w:tcW w:w="9347" w:type="dxa"/>
            <w:shd w:val="clear" w:color="auto" w:fill="F8FAFC"/>
            <w:tcMar>
              <w:top w:w="80" w:type="dxa"/>
              <w:left w:w="140" w:type="dxa"/>
              <w:bottom w:w="80" w:type="dxa"/>
              <w:right w:w="140" w:type="dxa"/>
            </w:tcMar>
          </w:tcPr>
          <w:p w:rsidR="004612B6" w:rsidRDefault="009F2B0A">
            <w:r>
              <w:rPr>
                <w:b/>
                <w:color w:val="1E3A8A"/>
                <w:sz w:val="18"/>
              </w:rPr>
              <w:t xml:space="preserve">▲ Figure 6: PDF Report Configuration &amp; Graph Layout Settings — </w:t>
            </w:r>
            <w:r>
              <w:rPr>
                <w:color w:val="64748B"/>
                <w:sz w:val="17"/>
              </w:rPr>
              <w:t>Customizable report builder allowing multi-chart sequence ordering, height splits, isoline styling, and corporate white-label brand</w:t>
            </w:r>
            <w:r>
              <w:rPr>
                <w:color w:val="64748B"/>
                <w:sz w:val="17"/>
              </w:rPr>
              <w:t>ing.</w:t>
            </w:r>
          </w:p>
        </w:tc>
      </w:tr>
    </w:tbl>
    <w:p w:rsidR="004612B6" w:rsidRDefault="009F2B0A">
      <w:pPr>
        <w:pStyle w:val="Heading1"/>
        <w:spacing w:before="280" w:after="120"/>
      </w:pPr>
      <w:r>
        <w:rPr>
          <w:color w:val="1E3A8A"/>
        </w:rPr>
        <w:t>4. Business Impact &amp; Return on Investment (ROI)</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214"/>
        <w:gridCol w:w="2970"/>
        <w:gridCol w:w="3150"/>
        <w:gridCol w:w="1314"/>
      </w:tblGrid>
      <w:tr w:rsidR="004612B6" w:rsidTr="00DC1C47">
        <w:trPr>
          <w:jc w:val="center"/>
        </w:trPr>
        <w:tc>
          <w:tcPr>
            <w:tcW w:w="2214" w:type="dxa"/>
            <w:shd w:val="clear" w:color="auto" w:fill="1E3A8A"/>
            <w:tcMar>
              <w:top w:w="120" w:type="dxa"/>
              <w:left w:w="120" w:type="dxa"/>
              <w:bottom w:w="120" w:type="dxa"/>
              <w:right w:w="120" w:type="dxa"/>
            </w:tcMar>
          </w:tcPr>
          <w:p w:rsidR="004612B6" w:rsidRDefault="009F2B0A">
            <w:r>
              <w:rPr>
                <w:b/>
                <w:color w:val="FFFFFF"/>
                <w:sz w:val="18"/>
              </w:rPr>
              <w:t>Key Performance Metric</w:t>
            </w:r>
          </w:p>
        </w:tc>
        <w:tc>
          <w:tcPr>
            <w:tcW w:w="2970" w:type="dxa"/>
            <w:shd w:val="clear" w:color="auto" w:fill="1E3A8A"/>
            <w:tcMar>
              <w:top w:w="120" w:type="dxa"/>
              <w:left w:w="120" w:type="dxa"/>
              <w:bottom w:w="120" w:type="dxa"/>
              <w:right w:w="120" w:type="dxa"/>
            </w:tcMar>
          </w:tcPr>
          <w:p w:rsidR="004612B6" w:rsidRDefault="009F2B0A">
            <w:r>
              <w:rPr>
                <w:b/>
                <w:color w:val="FFFFFF"/>
                <w:sz w:val="18"/>
              </w:rPr>
              <w:t>Traditional Method (Excel / Desktop)</w:t>
            </w:r>
          </w:p>
        </w:tc>
        <w:tc>
          <w:tcPr>
            <w:tcW w:w="3150" w:type="dxa"/>
            <w:shd w:val="clear" w:color="auto" w:fill="1E3A8A"/>
            <w:tcMar>
              <w:top w:w="120" w:type="dxa"/>
              <w:left w:w="120" w:type="dxa"/>
              <w:bottom w:w="120" w:type="dxa"/>
              <w:right w:w="120" w:type="dxa"/>
            </w:tcMar>
          </w:tcPr>
          <w:p w:rsidR="004612B6" w:rsidRDefault="009F2B0A">
            <w:r>
              <w:rPr>
                <w:b/>
                <w:color w:val="FFFFFF"/>
                <w:sz w:val="18"/>
              </w:rPr>
              <w:t>With Pump Master Pro</w:t>
            </w:r>
          </w:p>
        </w:tc>
        <w:tc>
          <w:tcPr>
            <w:tcW w:w="1314" w:type="dxa"/>
            <w:shd w:val="clear" w:color="auto" w:fill="1E3A8A"/>
            <w:tcMar>
              <w:top w:w="120" w:type="dxa"/>
              <w:left w:w="120" w:type="dxa"/>
              <w:bottom w:w="120" w:type="dxa"/>
              <w:right w:w="120" w:type="dxa"/>
            </w:tcMar>
          </w:tcPr>
          <w:p w:rsidR="004612B6" w:rsidRDefault="009F2B0A">
            <w:r>
              <w:rPr>
                <w:b/>
                <w:color w:val="FFFFFF"/>
                <w:sz w:val="18"/>
              </w:rPr>
              <w:t>Net Impact / ROI</w:t>
            </w:r>
          </w:p>
        </w:tc>
      </w:tr>
      <w:tr w:rsidR="004612B6" w:rsidTr="00DC1C47">
        <w:trPr>
          <w:jc w:val="center"/>
        </w:trPr>
        <w:tc>
          <w:tcPr>
            <w:tcW w:w="2214" w:type="dxa"/>
            <w:shd w:val="clear" w:color="auto" w:fill="FFFFFF"/>
            <w:tcMar>
              <w:top w:w="90" w:type="dxa"/>
              <w:left w:w="110" w:type="dxa"/>
              <w:bottom w:w="90" w:type="dxa"/>
              <w:right w:w="110" w:type="dxa"/>
            </w:tcMar>
          </w:tcPr>
          <w:p w:rsidR="004612B6" w:rsidRDefault="009F2B0A">
            <w:r>
              <w:rPr>
                <w:sz w:val="17"/>
              </w:rPr>
              <w:t>Quotation Turnaround Time</w:t>
            </w:r>
          </w:p>
        </w:tc>
        <w:tc>
          <w:tcPr>
            <w:tcW w:w="2970" w:type="dxa"/>
            <w:shd w:val="clear" w:color="auto" w:fill="FFFFFF"/>
            <w:tcMar>
              <w:top w:w="90" w:type="dxa"/>
              <w:left w:w="110" w:type="dxa"/>
              <w:bottom w:w="90" w:type="dxa"/>
              <w:right w:w="110" w:type="dxa"/>
            </w:tcMar>
          </w:tcPr>
          <w:p w:rsidR="004612B6" w:rsidRDefault="009F2B0A">
            <w:r>
              <w:rPr>
                <w:sz w:val="17"/>
              </w:rPr>
              <w:t>2 to 4 hours per complex pump quotation.</w:t>
            </w:r>
          </w:p>
        </w:tc>
        <w:tc>
          <w:tcPr>
            <w:tcW w:w="3150" w:type="dxa"/>
            <w:shd w:val="clear" w:color="auto" w:fill="FFFFFF"/>
            <w:tcMar>
              <w:top w:w="90" w:type="dxa"/>
              <w:left w:w="110" w:type="dxa"/>
              <w:bottom w:w="90" w:type="dxa"/>
              <w:right w:w="110" w:type="dxa"/>
            </w:tcMar>
          </w:tcPr>
          <w:p w:rsidR="004612B6" w:rsidRDefault="009F2B0A">
            <w:r>
              <w:rPr>
                <w:sz w:val="17"/>
              </w:rPr>
              <w:t>Under 3 minutes end-to-end.</w:t>
            </w:r>
          </w:p>
        </w:tc>
        <w:tc>
          <w:tcPr>
            <w:tcW w:w="1314" w:type="dxa"/>
            <w:shd w:val="clear" w:color="auto" w:fill="FFFFFF"/>
            <w:tcMar>
              <w:top w:w="90" w:type="dxa"/>
              <w:left w:w="110" w:type="dxa"/>
              <w:bottom w:w="90" w:type="dxa"/>
              <w:right w:w="110" w:type="dxa"/>
            </w:tcMar>
          </w:tcPr>
          <w:p w:rsidR="004612B6" w:rsidRDefault="009F2B0A" w:rsidP="00B54DCF">
            <w:pPr>
              <w:ind w:left="358" w:hanging="358"/>
            </w:pPr>
            <w:r>
              <w:rPr>
                <w:b/>
                <w:color w:val="10B981"/>
                <w:sz w:val="17"/>
              </w:rPr>
              <w:t xml:space="preserve">90% </w:t>
            </w:r>
            <w:r>
              <w:rPr>
                <w:b/>
                <w:color w:val="10B981"/>
                <w:sz w:val="17"/>
              </w:rPr>
              <w:t>Time Savings</w:t>
            </w:r>
          </w:p>
        </w:tc>
      </w:tr>
      <w:tr w:rsidR="004612B6" w:rsidTr="00DC1C47">
        <w:trPr>
          <w:trHeight w:val="827"/>
          <w:jc w:val="center"/>
        </w:trPr>
        <w:tc>
          <w:tcPr>
            <w:tcW w:w="2214" w:type="dxa"/>
            <w:shd w:val="clear" w:color="auto" w:fill="F8FAFC"/>
            <w:tcMar>
              <w:top w:w="90" w:type="dxa"/>
              <w:left w:w="110" w:type="dxa"/>
              <w:bottom w:w="90" w:type="dxa"/>
              <w:right w:w="110" w:type="dxa"/>
            </w:tcMar>
          </w:tcPr>
          <w:p w:rsidR="004612B6" w:rsidRDefault="009F2B0A">
            <w:r>
              <w:rPr>
                <w:sz w:val="17"/>
              </w:rPr>
              <w:t>Project Archiving &amp; Traceability</w:t>
            </w:r>
          </w:p>
        </w:tc>
        <w:tc>
          <w:tcPr>
            <w:tcW w:w="2970" w:type="dxa"/>
            <w:shd w:val="clear" w:color="auto" w:fill="F8FAFC"/>
            <w:tcMar>
              <w:top w:w="90" w:type="dxa"/>
              <w:left w:w="110" w:type="dxa"/>
              <w:bottom w:w="90" w:type="dxa"/>
              <w:right w:w="110" w:type="dxa"/>
            </w:tcMar>
          </w:tcPr>
          <w:p w:rsidR="004612B6" w:rsidRDefault="009F2B0A">
            <w:r>
              <w:rPr>
                <w:sz w:val="17"/>
              </w:rPr>
              <w:t>Scattered Excel files across local drives; impossible to audit.</w:t>
            </w:r>
          </w:p>
        </w:tc>
        <w:tc>
          <w:tcPr>
            <w:tcW w:w="3150" w:type="dxa"/>
            <w:shd w:val="clear" w:color="auto" w:fill="F8FAFC"/>
            <w:tcMar>
              <w:top w:w="90" w:type="dxa"/>
              <w:left w:w="110" w:type="dxa"/>
              <w:bottom w:w="90" w:type="dxa"/>
              <w:right w:w="110" w:type="dxa"/>
            </w:tcMar>
          </w:tcPr>
          <w:p w:rsidR="004612B6" w:rsidRDefault="009F2B0A">
            <w:r>
              <w:rPr>
                <w:sz w:val="17"/>
              </w:rPr>
              <w:t>Centralized database with custom attributes and 1-click reload.</w:t>
            </w:r>
          </w:p>
        </w:tc>
        <w:tc>
          <w:tcPr>
            <w:tcW w:w="1314" w:type="dxa"/>
            <w:shd w:val="clear" w:color="auto" w:fill="F8FAFC"/>
            <w:tcMar>
              <w:top w:w="90" w:type="dxa"/>
              <w:left w:w="110" w:type="dxa"/>
              <w:bottom w:w="90" w:type="dxa"/>
              <w:right w:w="110" w:type="dxa"/>
            </w:tcMar>
          </w:tcPr>
          <w:p w:rsidR="004612B6" w:rsidRDefault="009F2B0A">
            <w:r>
              <w:rPr>
                <w:b/>
                <w:color w:val="10B981"/>
                <w:sz w:val="17"/>
              </w:rPr>
              <w:t>100% Traceability</w:t>
            </w:r>
          </w:p>
        </w:tc>
      </w:tr>
      <w:tr w:rsidR="004612B6" w:rsidTr="00DC1C47">
        <w:trPr>
          <w:jc w:val="center"/>
        </w:trPr>
        <w:tc>
          <w:tcPr>
            <w:tcW w:w="2214" w:type="dxa"/>
            <w:shd w:val="clear" w:color="auto" w:fill="FFFFFF"/>
            <w:tcMar>
              <w:top w:w="90" w:type="dxa"/>
              <w:left w:w="110" w:type="dxa"/>
              <w:bottom w:w="90" w:type="dxa"/>
              <w:right w:w="110" w:type="dxa"/>
            </w:tcMar>
          </w:tcPr>
          <w:p w:rsidR="004612B6" w:rsidRDefault="009F2B0A">
            <w:r>
              <w:rPr>
                <w:sz w:val="17"/>
              </w:rPr>
              <w:t>Submittal Deliverable Quality</w:t>
            </w:r>
          </w:p>
        </w:tc>
        <w:tc>
          <w:tcPr>
            <w:tcW w:w="2970" w:type="dxa"/>
            <w:shd w:val="clear" w:color="auto" w:fill="FFFFFF"/>
            <w:tcMar>
              <w:top w:w="90" w:type="dxa"/>
              <w:left w:w="110" w:type="dxa"/>
              <w:bottom w:w="90" w:type="dxa"/>
              <w:right w:w="110" w:type="dxa"/>
            </w:tcMar>
          </w:tcPr>
          <w:p w:rsidR="004612B6" w:rsidRDefault="009F2B0A">
            <w:r>
              <w:rPr>
                <w:sz w:val="17"/>
              </w:rPr>
              <w:t xml:space="preserve">Fragmented screenshots, manual </w:t>
            </w:r>
            <w:r>
              <w:rPr>
                <w:sz w:val="17"/>
              </w:rPr>
              <w:t>copy-pasting, and uneven styling.</w:t>
            </w:r>
          </w:p>
        </w:tc>
        <w:tc>
          <w:tcPr>
            <w:tcW w:w="3150" w:type="dxa"/>
            <w:shd w:val="clear" w:color="auto" w:fill="FFFFFF"/>
            <w:tcMar>
              <w:top w:w="90" w:type="dxa"/>
              <w:left w:w="110" w:type="dxa"/>
              <w:bottom w:w="90" w:type="dxa"/>
              <w:right w:w="110" w:type="dxa"/>
            </w:tcMar>
          </w:tcPr>
          <w:p w:rsidR="004612B6" w:rsidRDefault="009F2B0A">
            <w:r>
              <w:rPr>
                <w:sz w:val="17"/>
              </w:rPr>
              <w:t>Publication-grade vector PDF datasheets with corporate branding.</w:t>
            </w:r>
          </w:p>
        </w:tc>
        <w:tc>
          <w:tcPr>
            <w:tcW w:w="1314" w:type="dxa"/>
            <w:shd w:val="clear" w:color="auto" w:fill="FFFFFF"/>
            <w:tcMar>
              <w:top w:w="90" w:type="dxa"/>
              <w:left w:w="110" w:type="dxa"/>
              <w:bottom w:w="90" w:type="dxa"/>
              <w:right w:w="110" w:type="dxa"/>
            </w:tcMar>
          </w:tcPr>
          <w:p w:rsidR="004612B6" w:rsidRDefault="009F2B0A">
            <w:r>
              <w:rPr>
                <w:b/>
                <w:color w:val="10B981"/>
                <w:sz w:val="17"/>
              </w:rPr>
              <w:t>Professional Brand Edge</w:t>
            </w:r>
          </w:p>
        </w:tc>
      </w:tr>
      <w:tr w:rsidR="004612B6" w:rsidTr="00DC1C47">
        <w:trPr>
          <w:jc w:val="center"/>
        </w:trPr>
        <w:tc>
          <w:tcPr>
            <w:tcW w:w="2214" w:type="dxa"/>
            <w:shd w:val="clear" w:color="auto" w:fill="F8FAFC"/>
            <w:tcMar>
              <w:top w:w="90" w:type="dxa"/>
              <w:left w:w="110" w:type="dxa"/>
              <w:bottom w:w="90" w:type="dxa"/>
              <w:right w:w="110" w:type="dxa"/>
            </w:tcMar>
          </w:tcPr>
          <w:p w:rsidR="004612B6" w:rsidRDefault="009F2B0A">
            <w:r>
              <w:rPr>
                <w:sz w:val="17"/>
              </w:rPr>
              <w:t>Calculation &amp; Unit Accuracy</w:t>
            </w:r>
          </w:p>
        </w:tc>
        <w:tc>
          <w:tcPr>
            <w:tcW w:w="2970" w:type="dxa"/>
            <w:shd w:val="clear" w:color="auto" w:fill="F8FAFC"/>
            <w:tcMar>
              <w:top w:w="90" w:type="dxa"/>
              <w:left w:w="110" w:type="dxa"/>
              <w:bottom w:w="90" w:type="dxa"/>
              <w:right w:w="110" w:type="dxa"/>
            </w:tcMar>
          </w:tcPr>
          <w:p w:rsidR="004612B6" w:rsidRDefault="009F2B0A">
            <w:r>
              <w:rPr>
                <w:sz w:val="17"/>
              </w:rPr>
              <w:t>Manual formulas prone to broken cells and unit conversion errors.</w:t>
            </w:r>
          </w:p>
        </w:tc>
        <w:tc>
          <w:tcPr>
            <w:tcW w:w="3150" w:type="dxa"/>
            <w:shd w:val="clear" w:color="auto" w:fill="F8FAFC"/>
            <w:tcMar>
              <w:top w:w="90" w:type="dxa"/>
              <w:left w:w="110" w:type="dxa"/>
              <w:bottom w:w="90" w:type="dxa"/>
              <w:right w:w="110" w:type="dxa"/>
            </w:tcMar>
          </w:tcPr>
          <w:p w:rsidR="004612B6" w:rsidRDefault="009F2B0A">
            <w:r>
              <w:rPr>
                <w:sz w:val="17"/>
              </w:rPr>
              <w:t>Automated server-side Python engineeri</w:t>
            </w:r>
            <w:r>
              <w:rPr>
                <w:sz w:val="17"/>
              </w:rPr>
              <w:t>ng solvers.</w:t>
            </w:r>
          </w:p>
        </w:tc>
        <w:tc>
          <w:tcPr>
            <w:tcW w:w="1314" w:type="dxa"/>
            <w:shd w:val="clear" w:color="auto" w:fill="F8FAFC"/>
            <w:tcMar>
              <w:top w:w="90" w:type="dxa"/>
              <w:left w:w="110" w:type="dxa"/>
              <w:bottom w:w="90" w:type="dxa"/>
              <w:right w:w="110" w:type="dxa"/>
            </w:tcMar>
          </w:tcPr>
          <w:p w:rsidR="004612B6" w:rsidRDefault="009F2B0A">
            <w:r>
              <w:rPr>
                <w:b/>
                <w:color w:val="10B981"/>
                <w:sz w:val="17"/>
              </w:rPr>
              <w:t>Zero Math Errors</w:t>
            </w:r>
          </w:p>
        </w:tc>
      </w:tr>
      <w:tr w:rsidR="004612B6" w:rsidTr="00DC1C47">
        <w:trPr>
          <w:jc w:val="center"/>
        </w:trPr>
        <w:tc>
          <w:tcPr>
            <w:tcW w:w="2214" w:type="dxa"/>
            <w:shd w:val="clear" w:color="auto" w:fill="FFFFFF"/>
            <w:tcMar>
              <w:top w:w="90" w:type="dxa"/>
              <w:left w:w="110" w:type="dxa"/>
              <w:bottom w:w="90" w:type="dxa"/>
              <w:right w:w="110" w:type="dxa"/>
            </w:tcMar>
          </w:tcPr>
          <w:p w:rsidR="004612B6" w:rsidRDefault="009F2B0A">
            <w:r>
              <w:rPr>
                <w:sz w:val="17"/>
              </w:rPr>
              <w:t>Field Cavitation &amp; Reliability</w:t>
            </w:r>
          </w:p>
        </w:tc>
        <w:tc>
          <w:tcPr>
            <w:tcW w:w="2970" w:type="dxa"/>
            <w:shd w:val="clear" w:color="auto" w:fill="FFFFFF"/>
            <w:tcMar>
              <w:top w:w="90" w:type="dxa"/>
              <w:left w:w="110" w:type="dxa"/>
              <w:bottom w:w="90" w:type="dxa"/>
              <w:right w:w="110" w:type="dxa"/>
            </w:tcMar>
          </w:tcPr>
          <w:p w:rsidR="004612B6" w:rsidRDefault="009F2B0A">
            <w:r>
              <w:rPr>
                <w:sz w:val="17"/>
              </w:rPr>
              <w:t>Improper NPSHa safety margins leading to early impeller wear.</w:t>
            </w:r>
          </w:p>
        </w:tc>
        <w:tc>
          <w:tcPr>
            <w:tcW w:w="3150" w:type="dxa"/>
            <w:shd w:val="clear" w:color="auto" w:fill="FFFFFF"/>
            <w:tcMar>
              <w:top w:w="90" w:type="dxa"/>
              <w:left w:w="110" w:type="dxa"/>
              <w:bottom w:w="90" w:type="dxa"/>
              <w:right w:w="110" w:type="dxa"/>
            </w:tcMar>
          </w:tcPr>
          <w:p w:rsidR="004612B6" w:rsidRDefault="009F2B0A">
            <w:r>
              <w:rPr>
                <w:sz w:val="17"/>
              </w:rPr>
              <w:t>Explicit POR/AOR checks and NPSH margin validation.</w:t>
            </w:r>
          </w:p>
        </w:tc>
        <w:tc>
          <w:tcPr>
            <w:tcW w:w="1314" w:type="dxa"/>
            <w:shd w:val="clear" w:color="auto" w:fill="FFFFFF"/>
            <w:tcMar>
              <w:top w:w="90" w:type="dxa"/>
              <w:left w:w="110" w:type="dxa"/>
              <w:bottom w:w="90" w:type="dxa"/>
              <w:right w:w="110" w:type="dxa"/>
            </w:tcMar>
          </w:tcPr>
          <w:p w:rsidR="004612B6" w:rsidRDefault="009F2B0A">
            <w:r>
              <w:rPr>
                <w:b/>
                <w:color w:val="10B981"/>
                <w:sz w:val="17"/>
              </w:rPr>
              <w:t>Fewer Warranty Claims</w:t>
            </w:r>
          </w:p>
        </w:tc>
      </w:tr>
    </w:tbl>
    <w:p w:rsidR="004612B6" w:rsidRDefault="004612B6">
      <w:pPr>
        <w:spacing w:after="240"/>
      </w:pPr>
    </w:p>
    <w:tbl>
      <w:tblPr>
        <w:tblW w:w="0" w:type="auto"/>
        <w:jc w:val="center"/>
        <w:tblLook w:val="04A0" w:firstRow="1" w:lastRow="0" w:firstColumn="1" w:lastColumn="0" w:noHBand="0" w:noVBand="1"/>
      </w:tblPr>
      <w:tblGrid>
        <w:gridCol w:w="10080"/>
      </w:tblGrid>
      <w:tr w:rsidR="004612B6">
        <w:trPr>
          <w:jc w:val="center"/>
        </w:trPr>
        <w:tc>
          <w:tcPr>
            <w:tcW w:w="10080" w:type="dxa"/>
            <w:shd w:val="clear" w:color="auto" w:fill="1E3A8A"/>
            <w:tcMar>
              <w:top w:w="200" w:type="dxa"/>
              <w:left w:w="240" w:type="dxa"/>
              <w:bottom w:w="200" w:type="dxa"/>
              <w:right w:w="240" w:type="dxa"/>
            </w:tcMar>
          </w:tcPr>
          <w:p w:rsidR="004612B6" w:rsidRDefault="009F2B0A">
            <w:pPr>
              <w:spacing w:after="80"/>
              <w:jc w:val="center"/>
            </w:pPr>
            <w:r>
              <w:rPr>
                <w:b/>
                <w:color w:val="FFFFFF"/>
                <w:sz w:val="28"/>
              </w:rPr>
              <w:t>Ready to Modernize Your Pump Sizing &amp; Quotation Workflow?</w:t>
            </w:r>
            <w:r>
              <w:rPr>
                <w:b/>
                <w:color w:val="FFFFFF"/>
                <w:sz w:val="28"/>
              </w:rPr>
              <w:br/>
            </w:r>
          </w:p>
          <w:p w:rsidR="004612B6" w:rsidRDefault="009F2B0A">
            <w:pPr>
              <w:spacing w:after="160"/>
              <w:jc w:val="center"/>
            </w:pPr>
            <w:r>
              <w:rPr>
                <w:color w:val="E0E7FF"/>
              </w:rPr>
              <w:t>Experience automated pump curves, CAD pipe network analysis, project tracking, and instant engineering submittals today.</w:t>
            </w:r>
            <w:r>
              <w:rPr>
                <w:color w:val="E0E7FF"/>
              </w:rPr>
              <w:br/>
            </w:r>
          </w:p>
          <w:p w:rsidR="004612B6" w:rsidRDefault="009F2B0A">
            <w:pPr>
              <w:jc w:val="center"/>
            </w:pPr>
            <w:r>
              <w:rPr>
                <w:b/>
                <w:color w:val="38BDF8"/>
              </w:rPr>
              <w:t>🌐</w:t>
            </w:r>
            <w:r>
              <w:rPr>
                <w:b/>
                <w:color w:val="38BDF8"/>
              </w:rPr>
              <w:t xml:space="preserve"> Website: https://</w:t>
            </w:r>
            <w:r w:rsidR="00D424A5">
              <w:rPr>
                <w:b/>
                <w:color w:val="38BDF8"/>
              </w:rPr>
              <w:t>www.</w:t>
            </w:r>
            <w:r>
              <w:rPr>
                <w:b/>
                <w:color w:val="38BDF8"/>
              </w:rPr>
              <w:t>pumpmasterpro.com    |    ✉ Contact &amp; Access: admin@pumpmasterpro.com</w:t>
            </w:r>
          </w:p>
        </w:tc>
      </w:tr>
    </w:tbl>
    <w:p w:rsidR="009F2B0A" w:rsidRDefault="009F2B0A"/>
    <w:sectPr w:rsidR="009F2B0A"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405A26"/>
    <w:rsid w:val="004612B6"/>
    <w:rsid w:val="004F168C"/>
    <w:rsid w:val="009F2B0A"/>
    <w:rsid w:val="00AA1D8D"/>
    <w:rsid w:val="00B47730"/>
    <w:rsid w:val="00B54DCF"/>
    <w:rsid w:val="00CB0664"/>
    <w:rsid w:val="00D34F5E"/>
    <w:rsid w:val="00D424A5"/>
    <w:rsid w:val="00DC1C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E01034B-6581-4B1C-9FA2-AEEF06CEB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Segoe UI" w:hAnsi="Segoe UI"/>
      <w:color w:val="1E293B"/>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E04002-3D4A-430C-84EE-BA5B47F746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1305</Words>
  <Characters>7445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8733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4</cp:revision>
  <cp:lastPrinted>2026-09-27T15:03:00Z</cp:lastPrinted>
  <dcterms:created xsi:type="dcterms:W3CDTF">2026-09-27T15:02:00Z</dcterms:created>
  <dcterms:modified xsi:type="dcterms:W3CDTF">2026-09-27T15:11:00Z</dcterms:modified>
  <cp:category/>
</cp:coreProperties>
</file>