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1B365D"/>
          <w:sz w:val="44"/>
        </w:rPr>
        <w:t>PRODUCT REQUIREMENTS DOCUMENT (PRD)</w:t>
      </w:r>
    </w:p>
    <w:p>
      <w:pPr>
        <w:spacing w:before="0" w:after="240"/>
      </w:pPr>
      <w:r>
        <w:rPr>
          <w:rFonts w:ascii="Arial" w:hAnsi="Arial"/>
          <w:color w:val="2C5282"/>
          <w:sz w:val="26"/>
        </w:rPr>
        <w:t>Enhanced Dependent Disambiguation &amp; Unique ID-Driven Coverage Resolution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2484"/>
        <w:gridCol w:w="2484"/>
        <w:gridCol w:w="2484"/>
        <w:gridCol w:w="2484"/>
      </w:tblGrid>
      <w:tr>
        <w:tc>
          <w:tcPr>
            <w:tcW w:type="dxa" w:w="2160"/>
            <w:tcMar>
              <w:top w:w="60" w:type="dxa"/>
              <w:bottom w:w="60" w:type="dxa"/>
              <w:left w:w="100" w:type="dxa"/>
              <w:right w:w="100" w:type="dxa"/>
            </w:tcMar>
            <w:shd w:fill="EDF2F7"/>
          </w:tcPr>
          <w:p>
            <w:pPr>
              <w:spacing w:before="0" w:after="0"/>
            </w:pPr>
            <w:r>
              <w:rPr>
                <w:rFonts w:ascii="Arial" w:hAnsi="Arial"/>
                <w:b/>
                <w:color w:val="1B365D"/>
                <w:sz w:val="18"/>
              </w:rPr>
              <w:t>Document Version</w:t>
            </w:r>
          </w:p>
        </w:tc>
        <w:tc>
          <w:tcPr>
            <w:tcW w:type="dxa" w:w="2880"/>
            <w:tcMar>
              <w:top w:w="60" w:type="dxa"/>
              <w:bottom w:w="60" w:type="dxa"/>
              <w:left w:w="100" w:type="dxa"/>
              <w:right w:w="100" w:type="dxa"/>
            </w:tcMar>
            <w:shd w:fill="FFFFFF"/>
          </w:tcPr>
          <w:p>
            <w:pPr>
              <w:spacing w:before="0" w:after="0"/>
            </w:pPr>
            <w:r>
              <w:rPr>
                <w:rFonts w:ascii="Arial" w:hAnsi="Arial"/>
                <w:color w:val="2D3748"/>
                <w:sz w:val="18"/>
              </w:rPr>
              <w:t>1.0 (Remediation Plan)</w:t>
            </w:r>
          </w:p>
        </w:tc>
        <w:tc>
          <w:tcPr>
            <w:tcW w:type="dxa" w:w="2160"/>
            <w:tcMar>
              <w:top w:w="60" w:type="dxa"/>
              <w:bottom w:w="60" w:type="dxa"/>
              <w:left w:w="100" w:type="dxa"/>
              <w:right w:w="100" w:type="dxa"/>
            </w:tcMar>
            <w:shd w:fill="EDF2F7"/>
          </w:tcPr>
          <w:p>
            <w:pPr>
              <w:spacing w:before="0" w:after="0"/>
            </w:pPr>
            <w:r>
              <w:rPr>
                <w:rFonts w:ascii="Arial" w:hAnsi="Arial"/>
                <w:b/>
                <w:color w:val="1B365D"/>
                <w:sz w:val="18"/>
              </w:rPr>
              <w:t>Incident Number</w:t>
            </w:r>
          </w:p>
        </w:tc>
        <w:tc>
          <w:tcPr>
            <w:tcW w:type="dxa" w:w="2736"/>
            <w:tcMar>
              <w:top w:w="60" w:type="dxa"/>
              <w:bottom w:w="60" w:type="dxa"/>
              <w:left w:w="100" w:type="dxa"/>
              <w:right w:w="100" w:type="dxa"/>
            </w:tcMar>
            <w:shd w:fill="FFFFFF"/>
          </w:tcPr>
          <w:p>
            <w:pPr>
              <w:spacing w:before="0" w:after="0"/>
            </w:pPr>
            <w:r>
              <w:rPr>
                <w:rFonts w:ascii="Arial" w:hAnsi="Arial"/>
                <w:color w:val="2D3748"/>
                <w:sz w:val="18"/>
              </w:rPr>
              <w:t>SYNINC0000012</w:t>
            </w:r>
          </w:p>
        </w:tc>
      </w:tr>
      <w:tr>
        <w:tc>
          <w:tcPr>
            <w:tcW w:type="dxa" w:w="2160"/>
            <w:tcMar>
              <w:top w:w="60" w:type="dxa"/>
              <w:bottom w:w="60" w:type="dxa"/>
              <w:left w:w="100" w:type="dxa"/>
              <w:right w:w="100" w:type="dxa"/>
            </w:tcMar>
            <w:shd w:fill="EDF2F7"/>
          </w:tcPr>
          <w:p>
            <w:pPr>
              <w:spacing w:before="0" w:after="0"/>
            </w:pPr>
            <w:r>
              <w:rPr>
                <w:rFonts w:ascii="Arial" w:hAnsi="Arial"/>
                <w:b/>
                <w:color w:val="1B365D"/>
                <w:sz w:val="18"/>
              </w:rPr>
              <w:t>Target Application</w:t>
            </w:r>
          </w:p>
        </w:tc>
        <w:tc>
          <w:tcPr>
            <w:tcW w:type="dxa" w:w="2880"/>
            <w:tcMar>
              <w:top w:w="60" w:type="dxa"/>
              <w:bottom w:w="60" w:type="dxa"/>
              <w:left w:w="100" w:type="dxa"/>
              <w:right w:w="100" w:type="dxa"/>
            </w:tcMar>
            <w:shd w:fill="F8FAFC"/>
          </w:tcPr>
          <w:p>
            <w:pPr>
              <w:spacing w:before="0" w:after="0"/>
            </w:pPr>
            <w:r>
              <w:rPr>
                <w:rFonts w:ascii="Arial" w:hAnsi="Arial"/>
                <w:color w:val="2D3748"/>
                <w:sz w:val="18"/>
              </w:rPr>
              <w:t>MyMember Benefits Portal</w:t>
            </w:r>
          </w:p>
        </w:tc>
        <w:tc>
          <w:tcPr>
            <w:tcW w:type="dxa" w:w="2160"/>
            <w:tcMar>
              <w:top w:w="60" w:type="dxa"/>
              <w:bottom w:w="60" w:type="dxa"/>
              <w:left w:w="100" w:type="dxa"/>
              <w:right w:w="100" w:type="dxa"/>
            </w:tcMar>
            <w:shd w:fill="EDF2F7"/>
          </w:tcPr>
          <w:p>
            <w:pPr>
              <w:spacing w:before="0" w:after="0"/>
            </w:pPr>
            <w:r>
              <w:rPr>
                <w:rFonts w:ascii="Arial" w:hAnsi="Arial"/>
                <w:b/>
                <w:color w:val="1B365D"/>
                <w:sz w:val="18"/>
              </w:rPr>
              <w:t>Environment</w:t>
            </w:r>
          </w:p>
        </w:tc>
        <w:tc>
          <w:tcPr>
            <w:tcW w:type="dxa" w:w="2736"/>
            <w:tcMar>
              <w:top w:w="60" w:type="dxa"/>
              <w:bottom w:w="60" w:type="dxa"/>
              <w:left w:w="100" w:type="dxa"/>
              <w:right w:w="100" w:type="dxa"/>
            </w:tcMar>
            <w:shd w:fill="F8FAFC"/>
          </w:tcPr>
          <w:p>
            <w:pPr>
              <w:spacing w:before="0" w:after="0"/>
            </w:pPr>
            <w:r>
              <w:rPr>
                <w:rFonts w:ascii="Arial" w:hAnsi="Arial"/>
                <w:color w:val="2D3748"/>
                <w:sz w:val="18"/>
              </w:rPr>
              <w:t>Synthetic Test / Production</w:t>
            </w:r>
          </w:p>
        </w:tc>
      </w:tr>
      <w:tr>
        <w:tc>
          <w:tcPr>
            <w:tcW w:type="dxa" w:w="2160"/>
            <w:tcMar>
              <w:top w:w="60" w:type="dxa"/>
              <w:bottom w:w="60" w:type="dxa"/>
              <w:left w:w="100" w:type="dxa"/>
              <w:right w:w="100" w:type="dxa"/>
            </w:tcMar>
            <w:shd w:fill="EDF2F7"/>
          </w:tcPr>
          <w:p>
            <w:pPr>
              <w:spacing w:before="0" w:after="0"/>
            </w:pPr>
            <w:r>
              <w:rPr>
                <w:rFonts w:ascii="Arial" w:hAnsi="Arial"/>
                <w:b/>
                <w:color w:val="1B365D"/>
                <w:sz w:val="18"/>
              </w:rPr>
              <w:t>Author / Role</w:t>
            </w:r>
          </w:p>
        </w:tc>
        <w:tc>
          <w:tcPr>
            <w:tcW w:type="dxa" w:w="2880"/>
            <w:tcMar>
              <w:top w:w="60" w:type="dxa"/>
              <w:bottom w:w="60" w:type="dxa"/>
              <w:left w:w="100" w:type="dxa"/>
              <w:right w:w="100" w:type="dxa"/>
            </w:tcMar>
            <w:shd w:fill="FFFFFF"/>
          </w:tcPr>
          <w:p>
            <w:pPr>
              <w:spacing w:before="0" w:after="0"/>
            </w:pPr>
            <w:r>
              <w:rPr>
                <w:rFonts w:ascii="Arial" w:hAnsi="Arial"/>
                <w:color w:val="2D3748"/>
                <w:sz w:val="18"/>
              </w:rPr>
              <w:t>Product &amp; Systems Architecture</w:t>
            </w:r>
          </w:p>
        </w:tc>
        <w:tc>
          <w:tcPr>
            <w:tcW w:type="dxa" w:w="2160"/>
            <w:tcMar>
              <w:top w:w="60" w:type="dxa"/>
              <w:bottom w:w="60" w:type="dxa"/>
              <w:left w:w="100" w:type="dxa"/>
              <w:right w:w="100" w:type="dxa"/>
            </w:tcMar>
            <w:shd w:fill="EDF2F7"/>
          </w:tcPr>
          <w:p>
            <w:pPr>
              <w:spacing w:before="0" w:after="0"/>
            </w:pPr>
            <w:r>
              <w:rPr>
                <w:rFonts w:ascii="Arial" w:hAnsi="Arial"/>
                <w:b/>
                <w:color w:val="1B365D"/>
                <w:sz w:val="18"/>
              </w:rPr>
              <w:t>Priority / Severity</w:t>
            </w:r>
          </w:p>
        </w:tc>
        <w:tc>
          <w:tcPr>
            <w:tcW w:type="dxa" w:w="2736"/>
            <w:tcMar>
              <w:top w:w="60" w:type="dxa"/>
              <w:bottom w:w="60" w:type="dxa"/>
              <w:left w:w="100" w:type="dxa"/>
              <w:right w:w="100" w:type="dxa"/>
            </w:tcMar>
            <w:shd w:fill="FFFFFF"/>
          </w:tcPr>
          <w:p>
            <w:pPr>
              <w:spacing w:before="0" w:after="0"/>
            </w:pPr>
            <w:r>
              <w:rPr>
                <w:rFonts w:ascii="Arial" w:hAnsi="Arial"/>
                <w:color w:val="2D3748"/>
                <w:sz w:val="18"/>
              </w:rPr>
              <w:t>Moderate / 3 - Low</w:t>
            </w:r>
          </w:p>
        </w:tc>
      </w:tr>
      <w:tr>
        <w:tc>
          <w:tcPr>
            <w:tcW w:type="dxa" w:w="2160"/>
            <w:tcMar>
              <w:top w:w="60" w:type="dxa"/>
              <w:bottom w:w="60" w:type="dxa"/>
              <w:left w:w="100" w:type="dxa"/>
              <w:right w:w="100" w:type="dxa"/>
            </w:tcMar>
            <w:shd w:fill="EDF2F7"/>
          </w:tcPr>
          <w:p>
            <w:pPr>
              <w:spacing w:before="0" w:after="0"/>
            </w:pPr>
            <w:r>
              <w:rPr>
                <w:rFonts w:ascii="Arial" w:hAnsi="Arial"/>
                <w:b/>
                <w:color w:val="1B365D"/>
                <w:sz w:val="18"/>
              </w:rPr>
              <w:t>Assignment Group</w:t>
            </w:r>
          </w:p>
        </w:tc>
        <w:tc>
          <w:tcPr>
            <w:tcW w:type="dxa" w:w="2880"/>
            <w:tcMar>
              <w:top w:w="60" w:type="dxa"/>
              <w:bottom w:w="60" w:type="dxa"/>
              <w:left w:w="100" w:type="dxa"/>
              <w:right w:w="100" w:type="dxa"/>
            </w:tcMar>
            <w:shd w:fill="F8FAFC"/>
          </w:tcPr>
          <w:p>
            <w:pPr>
              <w:spacing w:before="0" w:after="0"/>
            </w:pPr>
            <w:r>
              <w:rPr>
                <w:rFonts w:ascii="Arial" w:hAnsi="Arial"/>
                <w:color w:val="2D3748"/>
                <w:sz w:val="18"/>
              </w:rPr>
              <w:t>Synthetic Benefits Support</w:t>
            </w:r>
          </w:p>
        </w:tc>
        <w:tc>
          <w:tcPr>
            <w:tcW w:type="dxa" w:w="2160"/>
            <w:tcMar>
              <w:top w:w="60" w:type="dxa"/>
              <w:bottom w:w="60" w:type="dxa"/>
              <w:left w:w="100" w:type="dxa"/>
              <w:right w:w="100" w:type="dxa"/>
            </w:tcMar>
            <w:shd w:fill="EDF2F7"/>
          </w:tcPr>
          <w:p>
            <w:pPr>
              <w:spacing w:before="0" w:after="0"/>
            </w:pPr>
            <w:r>
              <w:rPr>
                <w:rFonts w:ascii="Arial" w:hAnsi="Arial"/>
                <w:b/>
                <w:color w:val="1B365D"/>
                <w:sz w:val="18"/>
              </w:rPr>
              <w:t>Category / State</w:t>
            </w:r>
          </w:p>
        </w:tc>
        <w:tc>
          <w:tcPr>
            <w:tcW w:type="dxa" w:w="2736"/>
            <w:tcMar>
              <w:top w:w="60" w:type="dxa"/>
              <w:bottom w:w="60" w:type="dxa"/>
              <w:left w:w="100" w:type="dxa"/>
              <w:right w:w="100" w:type="dxa"/>
            </w:tcMar>
            <w:shd w:fill="F8FAFC"/>
          </w:tcPr>
          <w:p>
            <w:pPr>
              <w:spacing w:before="0" w:after="0"/>
            </w:pPr>
            <w:r>
              <w:rPr>
                <w:rFonts w:ascii="Arial" w:hAnsi="Arial"/>
                <w:color w:val="2D3748"/>
                <w:sz w:val="18"/>
              </w:rPr>
              <w:t>Access / Closed (Remediated)</w:t>
            </w:r>
          </w:p>
        </w:tc>
      </w:tr>
      <w:tr>
        <w:tc>
          <w:tcPr>
            <w:tcW w:type="dxa" w:w="2160"/>
            <w:tcMar>
              <w:top w:w="60" w:type="dxa"/>
              <w:bottom w:w="60" w:type="dxa"/>
              <w:left w:w="100" w:type="dxa"/>
              <w:right w:w="100" w:type="dxa"/>
            </w:tcMar>
            <w:shd w:fill="EDF2F7"/>
          </w:tcPr>
          <w:p>
            <w:pPr>
              <w:spacing w:before="0" w:after="0"/>
            </w:pPr>
            <w:r>
              <w:rPr>
                <w:rFonts w:ascii="Arial" w:hAnsi="Arial"/>
                <w:b/>
                <w:color w:val="1B365D"/>
                <w:sz w:val="18"/>
              </w:rPr>
              <w:t>Resolution Type</w:t>
            </w:r>
          </w:p>
        </w:tc>
        <w:tc>
          <w:tcPr>
            <w:tcW w:type="dxa" w:w="2880"/>
            <w:tcMar>
              <w:top w:w="60" w:type="dxa"/>
              <w:bottom w:w="60" w:type="dxa"/>
              <w:left w:w="100" w:type="dxa"/>
              <w:right w:w="100" w:type="dxa"/>
            </w:tcMar>
            <w:shd w:fill="FFFFFF"/>
          </w:tcPr>
          <w:p>
            <w:pPr>
              <w:spacing w:before="0" w:after="0"/>
            </w:pPr>
            <w:r>
              <w:rPr>
                <w:rFonts w:ascii="Arial" w:hAnsi="Arial"/>
                <w:color w:val="2D3748"/>
                <w:sz w:val="18"/>
              </w:rPr>
              <w:t>Resolved by remediation</w:t>
            </w:r>
          </w:p>
        </w:tc>
        <w:tc>
          <w:tcPr>
            <w:tcW w:type="dxa" w:w="2160"/>
            <w:tcMar>
              <w:top w:w="60" w:type="dxa"/>
              <w:bottom w:w="60" w:type="dxa"/>
              <w:left w:w="100" w:type="dxa"/>
              <w:right w:w="100" w:type="dxa"/>
            </w:tcMar>
            <w:shd w:fill="EDF2F7"/>
          </w:tcPr>
          <w:p>
            <w:pPr>
              <w:spacing w:before="0" w:after="0"/>
            </w:pPr>
            <w:r>
              <w:rPr>
                <w:rFonts w:ascii="Arial" w:hAnsi="Arial"/>
                <w:b/>
                <w:color w:val="1B365D"/>
                <w:sz w:val="18"/>
              </w:rPr>
              <w:t>Resolution Category</w:t>
            </w:r>
          </w:p>
        </w:tc>
        <w:tc>
          <w:tcPr>
            <w:tcW w:type="dxa" w:w="2736"/>
            <w:tcMar>
              <w:top w:w="60" w:type="dxa"/>
              <w:bottom w:w="60" w:type="dxa"/>
              <w:left w:w="100" w:type="dxa"/>
              <w:right w:w="100" w:type="dxa"/>
            </w:tcMar>
            <w:shd w:fill="FFFFFF"/>
          </w:tcPr>
          <w:p>
            <w:pPr>
              <w:spacing w:before="0" w:after="0"/>
            </w:pPr>
            <w:r>
              <w:rPr>
                <w:rFonts w:ascii="Arial" w:hAnsi="Arial"/>
                <w:color w:val="2D3748"/>
                <w:sz w:val="18"/>
              </w:rPr>
              <w:t>Data Issue / UI Selector</w:t>
            </w:r>
          </w:p>
        </w:tc>
      </w:tr>
      <w:tr>
        <w:tc>
          <w:tcPr>
            <w:tcW w:type="dxa" w:w="2160"/>
            <w:tcMar>
              <w:top w:w="60" w:type="dxa"/>
              <w:bottom w:w="60" w:type="dxa"/>
              <w:left w:w="100" w:type="dxa"/>
              <w:right w:w="100" w:type="dxa"/>
            </w:tcMar>
            <w:shd w:fill="EDF2F7"/>
          </w:tcPr>
          <w:p>
            <w:pPr>
              <w:spacing w:before="0" w:after="0"/>
            </w:pPr>
            <w:r>
              <w:rPr>
                <w:rFonts w:ascii="Arial" w:hAnsi="Arial"/>
                <w:b/>
                <w:color w:val="1B365D"/>
                <w:sz w:val="18"/>
              </w:rPr>
              <w:t>Compliance Status</w:t>
            </w:r>
          </w:p>
        </w:tc>
        <w:tc>
          <w:tcPr>
            <w:tcW w:type="dxa" w:w="2880"/>
            <w:tcMar>
              <w:top w:w="60" w:type="dxa"/>
              <w:bottom w:w="60" w:type="dxa"/>
              <w:left w:w="100" w:type="dxa"/>
              <w:right w:w="100" w:type="dxa"/>
            </w:tcMar>
            <w:shd w:fill="F8FAFC"/>
          </w:tcPr>
          <w:p>
            <w:pPr>
              <w:spacing w:before="0" w:after="0"/>
            </w:pPr>
            <w:r>
              <w:rPr>
                <w:rFonts w:ascii="Arial" w:hAnsi="Arial"/>
                <w:color w:val="2D3748"/>
                <w:sz w:val="18"/>
              </w:rPr>
              <w:t>Fully Synthetic (No PHI/PII)</w:t>
            </w:r>
          </w:p>
        </w:tc>
        <w:tc>
          <w:tcPr>
            <w:tcW w:type="dxa" w:w="2160"/>
            <w:tcMar>
              <w:top w:w="60" w:type="dxa"/>
              <w:bottom w:w="60" w:type="dxa"/>
              <w:left w:w="100" w:type="dxa"/>
              <w:right w:w="100" w:type="dxa"/>
            </w:tcMar>
            <w:shd w:fill="EDF2F7"/>
          </w:tcPr>
          <w:p>
            <w:pPr>
              <w:spacing w:before="0" w:after="0"/>
            </w:pPr>
            <w:r>
              <w:rPr>
                <w:rFonts w:ascii="Arial" w:hAnsi="Arial"/>
                <w:b/>
                <w:color w:val="1B365D"/>
                <w:sz w:val="18"/>
              </w:rPr>
              <w:t>Last Updated</w:t>
            </w:r>
          </w:p>
        </w:tc>
        <w:tc>
          <w:tcPr>
            <w:tcW w:type="dxa" w:w="2736"/>
            <w:tcMar>
              <w:top w:w="60" w:type="dxa"/>
              <w:bottom w:w="60" w:type="dxa"/>
              <w:left w:w="100" w:type="dxa"/>
              <w:right w:w="100" w:type="dxa"/>
            </w:tcMar>
            <w:shd w:fill="F8FAFC"/>
          </w:tcPr>
          <w:p>
            <w:pPr>
              <w:spacing w:before="0" w:after="0"/>
            </w:pPr>
            <w:r>
              <w:rPr>
                <w:rFonts w:ascii="Arial" w:hAnsi="Arial"/>
                <w:color w:val="2D3748"/>
                <w:sz w:val="18"/>
              </w:rPr>
              <w:t>2026-09-04</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Borders>
              <w:left w:val="single" w:sz="24" w:space="0" w:color="1B365D"/>
              <w:top w:val="none" w:sz="0" w:space="0" w:color="auto"/>
              <w:right w:val="none" w:sz="0" w:space="0" w:color="auto"/>
              <w:bottom w:val="none" w:sz="0" w:space="0" w:color="auto"/>
            </w:tcBorders>
          </w:tcPr>
          <w:p>
            <w:pPr>
              <w:spacing w:before="0" w:after="40"/>
            </w:pPr>
            <w:r>
              <w:rPr>
                <w:rFonts w:ascii="Arial" w:hAnsi="Arial"/>
                <w:b/>
                <w:color w:val="1B365D"/>
                <w:sz w:val="21"/>
              </w:rPr>
              <w:t>🎯  Executive Summary: Problem &amp; Strategic Objective</w:t>
            </w:r>
          </w:p>
          <w:p>
            <w:pPr>
              <w:spacing w:before="40" w:after="40"/>
            </w:pPr>
            <w:r>
              <w:rPr>
                <w:rFonts w:ascii="Arial" w:hAnsi="Arial"/>
                <w:color w:val="2D3748"/>
                <w:sz w:val="19"/>
              </w:rPr>
              <w:t>This Product Requirements Document (PRD) addresses the root cause of Incident SYNINC0000012, where a covered spouse was unable to view their dental benefits in the MyMember Benefits Portal due to display-name collisions with a child dependent.</w:t>
            </w:r>
          </w:p>
          <w:p>
            <w:pPr>
              <w:spacing w:before="40" w:after="40"/>
            </w:pPr>
            <w:r>
              <w:rPr>
                <w:rFonts w:ascii="Arial" w:hAnsi="Arial"/>
                <w:color w:val="2D3748"/>
                <w:sz w:val="19"/>
              </w:rPr>
              <w:t>Objective: Transition the member portal from an ambiguous, display-name-keyed dropdown selection model to an unambiguous, resilient Person Card component backed by immutable unique dependent identifiers (MOCKDEP/UUID). This eliminates coverage query cross-talk, ensures 100% data privacy compliance, and resolves member self-service friction.</w:t>
            </w:r>
          </w:p>
        </w:tc>
      </w:tr>
    </w:tbl>
    <w:p>
      <w:pPr>
        <w:spacing w:before="0" w:after="80"/>
      </w:pPr>
    </w:p>
    <w:p>
      <w:pPr>
        <w:keepNext/>
        <w:spacing w:before="320" w:after="120"/>
      </w:pPr>
      <w:r>
        <w:rPr>
          <w:rFonts w:ascii="Arial" w:hAnsi="Arial"/>
          <w:b/>
          <w:color w:val="1B365D"/>
          <w:sz w:val="30"/>
        </w:rPr>
        <w:t>1. Incident Source Profile &amp; Field Traceability</w:t>
      </w:r>
    </w:p>
    <w:p>
      <w:r>
        <w:t>The following dataset represents the baseline record that originated this engineering effort. Every requirement in this specification directly traces back to the attributes identified in Incident SYNINC0000012.</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2484"/>
        <w:gridCol w:w="2484"/>
        <w:gridCol w:w="2484"/>
        <w:gridCol w:w="2484"/>
      </w:tblGrid>
      <w:tr>
        <w:tc>
          <w:tcPr>
            <w:tcW w:type="dxa" w:w="2304"/>
            <w:tcMar>
              <w:top w:w="50" w:type="dxa"/>
              <w:bottom w:w="50" w:type="dxa"/>
              <w:left w:w="80" w:type="dxa"/>
              <w:right w:w="80" w:type="dxa"/>
            </w:tcMar>
            <w:shd w:fill="F1F5F9"/>
          </w:tcPr>
          <w:p>
            <w:pPr>
              <w:spacing w:after="0"/>
            </w:pPr>
            <w:r>
              <w:rPr>
                <w:b/>
                <w:color w:val="1B365D"/>
                <w:sz w:val="17"/>
              </w:rPr>
              <w:t>Incident Number</w:t>
            </w:r>
          </w:p>
        </w:tc>
        <w:tc>
          <w:tcPr>
            <w:tcW w:type="dxa" w:w="2664"/>
            <w:tcMar>
              <w:top w:w="50" w:type="dxa"/>
              <w:bottom w:w="50" w:type="dxa"/>
              <w:left w:w="80" w:type="dxa"/>
              <w:right w:w="80" w:type="dxa"/>
            </w:tcMar>
            <w:shd w:fill="FFFFFF"/>
          </w:tcPr>
          <w:p>
            <w:pPr>
              <w:spacing w:after="0"/>
            </w:pPr>
            <w:r>
              <w:rPr>
                <w:color w:val="2D3748"/>
                <w:sz w:val="17"/>
              </w:rPr>
              <w:t>SYNINC0000012</w:t>
            </w:r>
          </w:p>
        </w:tc>
        <w:tc>
          <w:tcPr>
            <w:tcW w:type="dxa" w:w="2304"/>
            <w:tcMar>
              <w:top w:w="50" w:type="dxa"/>
              <w:bottom w:w="50" w:type="dxa"/>
              <w:left w:w="80" w:type="dxa"/>
              <w:right w:w="80" w:type="dxa"/>
            </w:tcMar>
            <w:shd w:fill="F1F5F9"/>
          </w:tcPr>
          <w:p>
            <w:pPr>
              <w:spacing w:after="0"/>
            </w:pPr>
            <w:r>
              <w:rPr>
                <w:b/>
                <w:color w:val="1B365D"/>
                <w:sz w:val="17"/>
              </w:rPr>
              <w:t>Created Date</w:t>
            </w:r>
          </w:p>
        </w:tc>
        <w:tc>
          <w:tcPr>
            <w:tcW w:type="dxa" w:w="2664"/>
            <w:tcMar>
              <w:top w:w="50" w:type="dxa"/>
              <w:bottom w:w="50" w:type="dxa"/>
              <w:left w:w="80" w:type="dxa"/>
              <w:right w:w="80" w:type="dxa"/>
            </w:tcMar>
            <w:shd w:fill="FFFFFF"/>
          </w:tcPr>
          <w:p>
            <w:pPr>
              <w:spacing w:after="0"/>
            </w:pPr>
            <w:r>
              <w:rPr>
                <w:color w:val="2D3748"/>
                <w:sz w:val="17"/>
              </w:rPr>
              <w:t>16-Jan-2026 12:36</w:t>
            </w:r>
          </w:p>
        </w:tc>
      </w:tr>
      <w:tr>
        <w:tc>
          <w:tcPr>
            <w:tcW w:type="dxa" w:w="2304"/>
            <w:tcMar>
              <w:top w:w="50" w:type="dxa"/>
              <w:bottom w:w="50" w:type="dxa"/>
              <w:left w:w="80" w:type="dxa"/>
              <w:right w:w="80" w:type="dxa"/>
            </w:tcMar>
            <w:shd w:fill="F1F5F9"/>
          </w:tcPr>
          <w:p>
            <w:pPr>
              <w:spacing w:after="0"/>
            </w:pPr>
            <w:r>
              <w:rPr>
                <w:b/>
                <w:color w:val="1B365D"/>
                <w:sz w:val="17"/>
              </w:rPr>
              <w:t>Resolved Date</w:t>
            </w:r>
          </w:p>
        </w:tc>
        <w:tc>
          <w:tcPr>
            <w:tcW w:type="dxa" w:w="2664"/>
            <w:tcMar>
              <w:top w:w="50" w:type="dxa"/>
              <w:bottom w:w="50" w:type="dxa"/>
              <w:left w:w="80" w:type="dxa"/>
              <w:right w:w="80" w:type="dxa"/>
            </w:tcMar>
            <w:shd w:fill="F8FAFC"/>
          </w:tcPr>
          <w:p>
            <w:pPr>
              <w:spacing w:after="0"/>
            </w:pPr>
            <w:r>
              <w:rPr>
                <w:color w:val="2D3748"/>
                <w:sz w:val="17"/>
              </w:rPr>
              <w:t>21-Jan-2026 12:36</w:t>
            </w:r>
          </w:p>
        </w:tc>
        <w:tc>
          <w:tcPr>
            <w:tcW w:type="dxa" w:w="2304"/>
            <w:tcMar>
              <w:top w:w="50" w:type="dxa"/>
              <w:bottom w:w="50" w:type="dxa"/>
              <w:left w:w="80" w:type="dxa"/>
              <w:right w:w="80" w:type="dxa"/>
            </w:tcMar>
            <w:shd w:fill="F1F5F9"/>
          </w:tcPr>
          <w:p>
            <w:pPr>
              <w:spacing w:after="0"/>
            </w:pPr>
            <w:r>
              <w:rPr>
                <w:b/>
                <w:color w:val="1B365D"/>
                <w:sz w:val="17"/>
              </w:rPr>
              <w:t>Closed Date</w:t>
            </w:r>
          </w:p>
        </w:tc>
        <w:tc>
          <w:tcPr>
            <w:tcW w:type="dxa" w:w="2664"/>
            <w:tcMar>
              <w:top w:w="50" w:type="dxa"/>
              <w:bottom w:w="50" w:type="dxa"/>
              <w:left w:w="80" w:type="dxa"/>
              <w:right w:w="80" w:type="dxa"/>
            </w:tcMar>
            <w:shd w:fill="F8FAFC"/>
          </w:tcPr>
          <w:p>
            <w:pPr>
              <w:spacing w:after="0"/>
            </w:pPr>
            <w:r>
              <w:rPr>
                <w:color w:val="2D3748"/>
                <w:sz w:val="17"/>
              </w:rPr>
              <w:t>21-Jan-2026 12:36</w:t>
            </w:r>
          </w:p>
        </w:tc>
      </w:tr>
      <w:tr>
        <w:tc>
          <w:tcPr>
            <w:tcW w:type="dxa" w:w="2304"/>
            <w:tcMar>
              <w:top w:w="50" w:type="dxa"/>
              <w:bottom w:w="50" w:type="dxa"/>
              <w:left w:w="80" w:type="dxa"/>
              <w:right w:w="80" w:type="dxa"/>
            </w:tcMar>
            <w:shd w:fill="F1F5F9"/>
          </w:tcPr>
          <w:p>
            <w:pPr>
              <w:spacing w:after="0"/>
            </w:pPr>
            <w:r>
              <w:rPr>
                <w:b/>
                <w:color w:val="1B365D"/>
                <w:sz w:val="17"/>
              </w:rPr>
              <w:t>Application</w:t>
            </w:r>
          </w:p>
        </w:tc>
        <w:tc>
          <w:tcPr>
            <w:tcW w:type="dxa" w:w="2664"/>
            <w:tcMar>
              <w:top w:w="50" w:type="dxa"/>
              <w:bottom w:w="50" w:type="dxa"/>
              <w:left w:w="80" w:type="dxa"/>
              <w:right w:w="80" w:type="dxa"/>
            </w:tcMar>
            <w:shd w:fill="FFFFFF"/>
          </w:tcPr>
          <w:p>
            <w:pPr>
              <w:spacing w:after="0"/>
            </w:pPr>
            <w:r>
              <w:rPr>
                <w:color w:val="2D3748"/>
                <w:sz w:val="17"/>
              </w:rPr>
              <w:t>MyMember Benefits Portal - Production</w:t>
            </w:r>
          </w:p>
        </w:tc>
        <w:tc>
          <w:tcPr>
            <w:tcW w:type="dxa" w:w="2304"/>
            <w:tcMar>
              <w:top w:w="50" w:type="dxa"/>
              <w:bottom w:w="50" w:type="dxa"/>
              <w:left w:w="80" w:type="dxa"/>
              <w:right w:w="80" w:type="dxa"/>
            </w:tcMar>
            <w:shd w:fill="F1F5F9"/>
          </w:tcPr>
          <w:p>
            <w:pPr>
              <w:spacing w:after="0"/>
            </w:pPr>
            <w:r>
              <w:rPr>
                <w:b/>
                <w:color w:val="1B365D"/>
                <w:sz w:val="17"/>
              </w:rPr>
              <w:t>Environment</w:t>
            </w:r>
          </w:p>
        </w:tc>
        <w:tc>
          <w:tcPr>
            <w:tcW w:type="dxa" w:w="2664"/>
            <w:tcMar>
              <w:top w:w="50" w:type="dxa"/>
              <w:bottom w:w="50" w:type="dxa"/>
              <w:left w:w="80" w:type="dxa"/>
              <w:right w:w="80" w:type="dxa"/>
            </w:tcMar>
            <w:shd w:fill="FFFFFF"/>
          </w:tcPr>
          <w:p>
            <w:pPr>
              <w:spacing w:after="0"/>
            </w:pPr>
            <w:r>
              <w:rPr>
                <w:color w:val="2D3748"/>
                <w:sz w:val="17"/>
              </w:rPr>
              <w:t>Synthetic Test</w:t>
            </w:r>
          </w:p>
        </w:tc>
      </w:tr>
      <w:tr>
        <w:tc>
          <w:tcPr>
            <w:tcW w:type="dxa" w:w="2304"/>
            <w:tcMar>
              <w:top w:w="50" w:type="dxa"/>
              <w:bottom w:w="50" w:type="dxa"/>
              <w:left w:w="80" w:type="dxa"/>
              <w:right w:w="80" w:type="dxa"/>
            </w:tcMar>
            <w:shd w:fill="F1F5F9"/>
          </w:tcPr>
          <w:p>
            <w:pPr>
              <w:spacing w:after="0"/>
            </w:pPr>
            <w:r>
              <w:rPr>
                <w:b/>
                <w:color w:val="1B365D"/>
                <w:sz w:val="17"/>
              </w:rPr>
              <w:t>State</w:t>
            </w:r>
          </w:p>
        </w:tc>
        <w:tc>
          <w:tcPr>
            <w:tcW w:type="dxa" w:w="2664"/>
            <w:tcMar>
              <w:top w:w="50" w:type="dxa"/>
              <w:bottom w:w="50" w:type="dxa"/>
              <w:left w:w="80" w:type="dxa"/>
              <w:right w:w="80" w:type="dxa"/>
            </w:tcMar>
            <w:shd w:fill="F8FAFC"/>
          </w:tcPr>
          <w:p>
            <w:pPr>
              <w:spacing w:after="0"/>
            </w:pPr>
            <w:r>
              <w:rPr>
                <w:color w:val="2D3748"/>
                <w:sz w:val="17"/>
              </w:rPr>
              <w:t>Closed</w:t>
            </w:r>
          </w:p>
        </w:tc>
        <w:tc>
          <w:tcPr>
            <w:tcW w:type="dxa" w:w="2304"/>
            <w:tcMar>
              <w:top w:w="50" w:type="dxa"/>
              <w:bottom w:w="50" w:type="dxa"/>
              <w:left w:w="80" w:type="dxa"/>
              <w:right w:w="80" w:type="dxa"/>
            </w:tcMar>
            <w:shd w:fill="F1F5F9"/>
          </w:tcPr>
          <w:p>
            <w:pPr>
              <w:spacing w:after="0"/>
            </w:pPr>
            <w:r>
              <w:rPr>
                <w:b/>
                <w:color w:val="1B365D"/>
                <w:sz w:val="17"/>
              </w:rPr>
              <w:t>Assignment Group</w:t>
            </w:r>
          </w:p>
        </w:tc>
        <w:tc>
          <w:tcPr>
            <w:tcW w:type="dxa" w:w="2664"/>
            <w:tcMar>
              <w:top w:w="50" w:type="dxa"/>
              <w:bottom w:w="50" w:type="dxa"/>
              <w:left w:w="80" w:type="dxa"/>
              <w:right w:w="80" w:type="dxa"/>
            </w:tcMar>
            <w:shd w:fill="F8FAFC"/>
          </w:tcPr>
          <w:p>
            <w:pPr>
              <w:spacing w:after="0"/>
            </w:pPr>
            <w:r>
              <w:rPr>
                <w:color w:val="2D3748"/>
                <w:sz w:val="17"/>
              </w:rPr>
              <w:t>Synthetic Benefits Support</w:t>
            </w:r>
          </w:p>
        </w:tc>
      </w:tr>
      <w:tr>
        <w:tc>
          <w:tcPr>
            <w:tcW w:type="dxa" w:w="2304"/>
            <w:tcMar>
              <w:top w:w="50" w:type="dxa"/>
              <w:bottom w:w="50" w:type="dxa"/>
              <w:left w:w="80" w:type="dxa"/>
              <w:right w:w="80" w:type="dxa"/>
            </w:tcMar>
            <w:shd w:fill="F1F5F9"/>
          </w:tcPr>
          <w:p>
            <w:pPr>
              <w:spacing w:after="0"/>
            </w:pPr>
            <w:r>
              <w:rPr>
                <w:b/>
                <w:color w:val="1B365D"/>
                <w:sz w:val="17"/>
              </w:rPr>
              <w:t>Priority</w:t>
            </w:r>
          </w:p>
        </w:tc>
        <w:tc>
          <w:tcPr>
            <w:tcW w:type="dxa" w:w="2664"/>
            <w:tcMar>
              <w:top w:w="50" w:type="dxa"/>
              <w:bottom w:w="50" w:type="dxa"/>
              <w:left w:w="80" w:type="dxa"/>
              <w:right w:w="80" w:type="dxa"/>
            </w:tcMar>
            <w:shd w:fill="FFFFFF"/>
          </w:tcPr>
          <w:p>
            <w:pPr>
              <w:spacing w:after="0"/>
            </w:pPr>
            <w:r>
              <w:rPr>
                <w:color w:val="2D3748"/>
                <w:sz w:val="17"/>
              </w:rPr>
              <w:t>Moderate</w:t>
            </w:r>
          </w:p>
        </w:tc>
        <w:tc>
          <w:tcPr>
            <w:tcW w:type="dxa" w:w="2304"/>
            <w:tcMar>
              <w:top w:w="50" w:type="dxa"/>
              <w:bottom w:w="50" w:type="dxa"/>
              <w:left w:w="80" w:type="dxa"/>
              <w:right w:w="80" w:type="dxa"/>
            </w:tcMar>
            <w:shd w:fill="F1F5F9"/>
          </w:tcPr>
          <w:p>
            <w:pPr>
              <w:spacing w:after="0"/>
            </w:pPr>
            <w:r>
              <w:rPr>
                <w:b/>
                <w:color w:val="1B365D"/>
                <w:sz w:val="17"/>
              </w:rPr>
              <w:t>Impact</w:t>
            </w:r>
          </w:p>
        </w:tc>
        <w:tc>
          <w:tcPr>
            <w:tcW w:type="dxa" w:w="2664"/>
            <w:tcMar>
              <w:top w:w="50" w:type="dxa"/>
              <w:bottom w:w="50" w:type="dxa"/>
              <w:left w:w="80" w:type="dxa"/>
              <w:right w:w="80" w:type="dxa"/>
            </w:tcMar>
            <w:shd w:fill="FFFFFF"/>
          </w:tcPr>
          <w:p>
            <w:pPr>
              <w:spacing w:after="0"/>
            </w:pPr>
            <w:r>
              <w:rPr>
                <w:color w:val="2D3748"/>
                <w:sz w:val="17"/>
              </w:rPr>
              <w:t>Moderate - Single user issue, limited business impact</w:t>
            </w:r>
          </w:p>
        </w:tc>
      </w:tr>
      <w:tr>
        <w:tc>
          <w:tcPr>
            <w:tcW w:type="dxa" w:w="2304"/>
            <w:tcMar>
              <w:top w:w="50" w:type="dxa"/>
              <w:bottom w:w="50" w:type="dxa"/>
              <w:left w:w="80" w:type="dxa"/>
              <w:right w:w="80" w:type="dxa"/>
            </w:tcMar>
            <w:shd w:fill="F1F5F9"/>
          </w:tcPr>
          <w:p>
            <w:pPr>
              <w:spacing w:after="0"/>
            </w:pPr>
            <w:r>
              <w:rPr>
                <w:b/>
                <w:color w:val="1B365D"/>
                <w:sz w:val="17"/>
              </w:rPr>
              <w:t>Urgency</w:t>
            </w:r>
          </w:p>
        </w:tc>
        <w:tc>
          <w:tcPr>
            <w:tcW w:type="dxa" w:w="2664"/>
            <w:tcMar>
              <w:top w:w="50" w:type="dxa"/>
              <w:bottom w:w="50" w:type="dxa"/>
              <w:left w:w="80" w:type="dxa"/>
              <w:right w:w="80" w:type="dxa"/>
            </w:tcMar>
            <w:shd w:fill="F8FAFC"/>
          </w:tcPr>
          <w:p>
            <w:pPr>
              <w:spacing w:after="0"/>
            </w:pPr>
            <w:r>
              <w:rPr>
                <w:color w:val="2D3748"/>
                <w:sz w:val="17"/>
              </w:rPr>
              <w:t>Moderate - No service disruption</w:t>
            </w:r>
          </w:p>
        </w:tc>
        <w:tc>
          <w:tcPr>
            <w:tcW w:type="dxa" w:w="2304"/>
            <w:tcMar>
              <w:top w:w="50" w:type="dxa"/>
              <w:bottom w:w="50" w:type="dxa"/>
              <w:left w:w="80" w:type="dxa"/>
              <w:right w:w="80" w:type="dxa"/>
            </w:tcMar>
            <w:shd w:fill="F1F5F9"/>
          </w:tcPr>
          <w:p>
            <w:pPr>
              <w:spacing w:after="0"/>
            </w:pPr>
            <w:r>
              <w:rPr>
                <w:b/>
                <w:color w:val="1B365D"/>
                <w:sz w:val="17"/>
              </w:rPr>
              <w:t>Severity</w:t>
            </w:r>
          </w:p>
        </w:tc>
        <w:tc>
          <w:tcPr>
            <w:tcW w:type="dxa" w:w="2664"/>
            <w:tcMar>
              <w:top w:w="50" w:type="dxa"/>
              <w:bottom w:w="50" w:type="dxa"/>
              <w:left w:w="80" w:type="dxa"/>
              <w:right w:w="80" w:type="dxa"/>
            </w:tcMar>
            <w:shd w:fill="F8FAFC"/>
          </w:tcPr>
          <w:p>
            <w:pPr>
              <w:spacing w:after="0"/>
            </w:pPr>
            <w:r>
              <w:rPr>
                <w:color w:val="2D3748"/>
                <w:sz w:val="17"/>
              </w:rPr>
              <w:t>3 - Low</w:t>
            </w:r>
          </w:p>
        </w:tc>
      </w:tr>
      <w:tr>
        <w:tc>
          <w:tcPr>
            <w:tcW w:type="dxa" w:w="2304"/>
            <w:tcMar>
              <w:top w:w="50" w:type="dxa"/>
              <w:bottom w:w="50" w:type="dxa"/>
              <w:left w:w="80" w:type="dxa"/>
              <w:right w:w="80" w:type="dxa"/>
            </w:tcMar>
            <w:shd w:fill="F1F5F9"/>
          </w:tcPr>
          <w:p>
            <w:pPr>
              <w:spacing w:after="0"/>
            </w:pPr>
            <w:r>
              <w:rPr>
                <w:b/>
                <w:color w:val="1B365D"/>
                <w:sz w:val="17"/>
              </w:rPr>
              <w:t>Category</w:t>
            </w:r>
          </w:p>
        </w:tc>
        <w:tc>
          <w:tcPr>
            <w:tcW w:type="dxa" w:w="2664"/>
            <w:tcMar>
              <w:top w:w="50" w:type="dxa"/>
              <w:bottom w:w="50" w:type="dxa"/>
              <w:left w:w="80" w:type="dxa"/>
              <w:right w:w="80" w:type="dxa"/>
            </w:tcMar>
            <w:shd w:fill="FFFFFF"/>
          </w:tcPr>
          <w:p>
            <w:pPr>
              <w:spacing w:after="0"/>
            </w:pPr>
            <w:r>
              <w:rPr>
                <w:color w:val="2D3748"/>
                <w:sz w:val="17"/>
              </w:rPr>
              <w:t>Access</w:t>
            </w:r>
          </w:p>
        </w:tc>
        <w:tc>
          <w:tcPr>
            <w:tcW w:type="dxa" w:w="2304"/>
            <w:tcMar>
              <w:top w:w="50" w:type="dxa"/>
              <w:bottom w:w="50" w:type="dxa"/>
              <w:left w:w="80" w:type="dxa"/>
              <w:right w:w="80" w:type="dxa"/>
            </w:tcMar>
            <w:shd w:fill="F1F5F9"/>
          </w:tcPr>
          <w:p>
            <w:pPr>
              <w:spacing w:after="0"/>
            </w:pPr>
            <w:r>
              <w:rPr>
                <w:b/>
                <w:color w:val="1B365D"/>
                <w:sz w:val="17"/>
              </w:rPr>
              <w:t>Resolution Type / Cat</w:t>
            </w:r>
          </w:p>
        </w:tc>
        <w:tc>
          <w:tcPr>
            <w:tcW w:type="dxa" w:w="2664"/>
            <w:tcMar>
              <w:top w:w="50" w:type="dxa"/>
              <w:bottom w:w="50" w:type="dxa"/>
              <w:left w:w="80" w:type="dxa"/>
              <w:right w:w="80" w:type="dxa"/>
            </w:tcMar>
            <w:shd w:fill="FFFFFF"/>
          </w:tcPr>
          <w:p>
            <w:pPr>
              <w:spacing w:after="0"/>
            </w:pPr>
            <w:r>
              <w:rPr>
                <w:color w:val="2D3748"/>
                <w:sz w:val="17"/>
              </w:rPr>
              <w:t>Resolved by remediation / Data Issue</w:t>
            </w:r>
          </w:p>
        </w:tc>
      </w:tr>
      <w:tr>
        <w:tc>
          <w:tcPr>
            <w:tcW w:type="dxa" w:w="2304"/>
            <w:tcMar>
              <w:top w:w="50" w:type="dxa"/>
              <w:bottom w:w="50" w:type="dxa"/>
              <w:left w:w="80" w:type="dxa"/>
              <w:right w:w="80" w:type="dxa"/>
            </w:tcMar>
            <w:shd w:fill="F1F5F9"/>
          </w:tcPr>
          <w:p>
            <w:pPr>
              <w:spacing w:after="0"/>
            </w:pPr>
            <w:r>
              <w:rPr>
                <w:b/>
                <w:color w:val="1B365D"/>
                <w:sz w:val="17"/>
              </w:rPr>
              <w:t>Customer Name</w:t>
            </w:r>
          </w:p>
        </w:tc>
        <w:tc>
          <w:tcPr>
            <w:tcW w:type="dxa" w:w="2664"/>
            <w:tcMar>
              <w:top w:w="50" w:type="dxa"/>
              <w:bottom w:w="50" w:type="dxa"/>
              <w:left w:w="80" w:type="dxa"/>
              <w:right w:w="80" w:type="dxa"/>
            </w:tcMar>
            <w:shd w:fill="F8FAFC"/>
          </w:tcPr>
          <w:p>
            <w:pPr>
              <w:spacing w:after="0"/>
            </w:pPr>
            <w:r>
              <w:rPr>
                <w:color w:val="2D3748"/>
                <w:sz w:val="17"/>
              </w:rPr>
              <w:t>Mock Member 0012 (DOB: 13-Jan-1982)</w:t>
            </w:r>
          </w:p>
        </w:tc>
        <w:tc>
          <w:tcPr>
            <w:tcW w:type="dxa" w:w="2304"/>
            <w:tcMar>
              <w:top w:w="50" w:type="dxa"/>
              <w:bottom w:w="50" w:type="dxa"/>
              <w:left w:w="80" w:type="dxa"/>
              <w:right w:w="80" w:type="dxa"/>
            </w:tcMar>
            <w:shd w:fill="F1F5F9"/>
          </w:tcPr>
          <w:p>
            <w:pPr>
              <w:spacing w:after="0"/>
            </w:pPr>
            <w:r>
              <w:rPr>
                <w:b/>
                <w:color w:val="1B365D"/>
                <w:sz w:val="17"/>
              </w:rPr>
              <w:t>Member Number</w:t>
            </w:r>
          </w:p>
        </w:tc>
        <w:tc>
          <w:tcPr>
            <w:tcW w:type="dxa" w:w="2664"/>
            <w:tcMar>
              <w:top w:w="50" w:type="dxa"/>
              <w:bottom w:w="50" w:type="dxa"/>
              <w:left w:w="80" w:type="dxa"/>
              <w:right w:w="80" w:type="dxa"/>
            </w:tcMar>
            <w:shd w:fill="F8FAFC"/>
          </w:tcPr>
          <w:p>
            <w:pPr>
              <w:spacing w:after="0"/>
            </w:pPr>
            <w:r>
              <w:rPr>
                <w:color w:val="2D3748"/>
                <w:sz w:val="17"/>
              </w:rPr>
              <w:t>MOCKMBR000012</w:t>
            </w:r>
          </w:p>
        </w:tc>
      </w:tr>
      <w:tr>
        <w:tc>
          <w:tcPr>
            <w:tcW w:type="dxa" w:w="2304"/>
            <w:tcMar>
              <w:top w:w="50" w:type="dxa"/>
              <w:bottom w:w="50" w:type="dxa"/>
              <w:left w:w="80" w:type="dxa"/>
              <w:right w:w="80" w:type="dxa"/>
            </w:tcMar>
            <w:shd w:fill="F1F5F9"/>
          </w:tcPr>
          <w:p>
            <w:pPr>
              <w:spacing w:after="0"/>
            </w:pPr>
            <w:r>
              <w:rPr>
                <w:b/>
                <w:color w:val="1B365D"/>
                <w:sz w:val="17"/>
              </w:rPr>
              <w:t>SSN (Masked)</w:t>
            </w:r>
          </w:p>
        </w:tc>
        <w:tc>
          <w:tcPr>
            <w:tcW w:type="dxa" w:w="2664"/>
            <w:tcMar>
              <w:top w:w="50" w:type="dxa"/>
              <w:bottom w:w="50" w:type="dxa"/>
              <w:left w:w="80" w:type="dxa"/>
              <w:right w:w="80" w:type="dxa"/>
            </w:tcMar>
            <w:shd w:fill="FFFFFF"/>
          </w:tcPr>
          <w:p>
            <w:pPr>
              <w:spacing w:after="0"/>
            </w:pPr>
            <w:r>
              <w:rPr>
                <w:color w:val="2D3748"/>
                <w:sz w:val="17"/>
              </w:rPr>
              <w:t>000-22-1012</w:t>
            </w:r>
          </w:p>
        </w:tc>
        <w:tc>
          <w:tcPr>
            <w:tcW w:type="dxa" w:w="2304"/>
            <w:tcMar>
              <w:top w:w="50" w:type="dxa"/>
              <w:bottom w:w="50" w:type="dxa"/>
              <w:left w:w="80" w:type="dxa"/>
              <w:right w:w="80" w:type="dxa"/>
            </w:tcMar>
            <w:shd w:fill="F1F5F9"/>
          </w:tcPr>
          <w:p>
            <w:pPr>
              <w:spacing w:after="0"/>
            </w:pPr>
            <w:r>
              <w:rPr>
                <w:b/>
                <w:color w:val="1B365D"/>
                <w:sz w:val="17"/>
              </w:rPr>
              <w:t>Email / Phone</w:t>
            </w:r>
          </w:p>
        </w:tc>
        <w:tc>
          <w:tcPr>
            <w:tcW w:type="dxa" w:w="2664"/>
            <w:tcMar>
              <w:top w:w="50" w:type="dxa"/>
              <w:bottom w:w="50" w:type="dxa"/>
              <w:left w:w="80" w:type="dxa"/>
              <w:right w:w="80" w:type="dxa"/>
            </w:tcMar>
            <w:shd w:fill="FFFFFF"/>
          </w:tcPr>
          <w:p>
            <w:pPr>
              <w:spacing w:after="0"/>
            </w:pPr>
            <w:r>
              <w:rPr>
                <w:color w:val="2D3748"/>
                <w:sz w:val="17"/>
              </w:rPr>
              <w:t>mock.member0012@example.com / 202-555-1012</w:t>
            </w:r>
          </w:p>
        </w:tc>
      </w:tr>
      <w:tr>
        <w:tc>
          <w:tcPr>
            <w:tcW w:type="dxa" w:w="2304"/>
            <w:tcMar>
              <w:top w:w="50" w:type="dxa"/>
              <w:bottom w:w="50" w:type="dxa"/>
              <w:left w:w="80" w:type="dxa"/>
              <w:right w:w="80" w:type="dxa"/>
            </w:tcMar>
            <w:shd w:fill="F1F5F9"/>
          </w:tcPr>
          <w:p>
            <w:pPr>
              <w:spacing w:after="0"/>
            </w:pPr>
            <w:r>
              <w:rPr>
                <w:b/>
                <w:color w:val="1B365D"/>
                <w:sz w:val="17"/>
              </w:rPr>
              <w:t>Data Privacy Status</w:t>
            </w:r>
          </w:p>
        </w:tc>
        <w:tc>
          <w:tcPr>
            <w:tcW w:type="dxa" w:w="2664"/>
            <w:tcMar>
              <w:top w:w="50" w:type="dxa"/>
              <w:bottom w:w="50" w:type="dxa"/>
              <w:left w:w="80" w:type="dxa"/>
              <w:right w:w="80" w:type="dxa"/>
            </w:tcMar>
            <w:shd w:fill="F8FAFC"/>
          </w:tcPr>
          <w:p>
            <w:pPr>
              <w:spacing w:after="0"/>
            </w:pPr>
            <w:r>
              <w:rPr>
                <w:color w:val="2D3748"/>
                <w:sz w:val="17"/>
              </w:rPr>
              <w:t>Fully synthetic mock record; no source PHI/PII retained</w:t>
            </w:r>
          </w:p>
        </w:tc>
        <w:tc>
          <w:tcPr>
            <w:tcW w:type="dxa" w:w="2304"/>
            <w:tcMar>
              <w:top w:w="50" w:type="dxa"/>
              <w:bottom w:w="50" w:type="dxa"/>
              <w:left w:w="80" w:type="dxa"/>
              <w:right w:w="80" w:type="dxa"/>
            </w:tcMar>
            <w:shd w:fill="F1F5F9"/>
          </w:tcPr>
          <w:p>
            <w:pPr>
              <w:spacing w:after="0"/>
            </w:pPr>
            <w:r>
              <w:rPr>
                <w:b/>
                <w:color w:val="1B365D"/>
                <w:sz w:val="17"/>
              </w:rPr>
              <w:t>Problem Ticket</w:t>
            </w:r>
          </w:p>
        </w:tc>
        <w:tc>
          <w:tcPr>
            <w:tcW w:type="dxa" w:w="2664"/>
            <w:tcMar>
              <w:top w:w="50" w:type="dxa"/>
              <w:bottom w:w="50" w:type="dxa"/>
              <w:left w:w="80" w:type="dxa"/>
              <w:right w:w="80" w:type="dxa"/>
            </w:tcMar>
            <w:shd w:fill="F8FAFC"/>
          </w:tcPr>
          <w:p>
            <w:pPr>
              <w:spacing w:after="0"/>
            </w:pPr>
            <w:r>
              <w:rPr>
                <w:color w:val="2D3748"/>
                <w:sz w:val="17"/>
              </w:rPr>
              <w:t>N/A (Proactive PRD initiated)</w:t>
            </w:r>
          </w:p>
        </w:tc>
      </w:tr>
      <w:tr>
        <w:tc>
          <w:tcPr>
            <w:tcW w:type="dxa" w:w="2304"/>
            <w:tcMar>
              <w:top w:w="50" w:type="dxa"/>
              <w:bottom w:w="50" w:type="dxa"/>
              <w:left w:w="80" w:type="dxa"/>
              <w:right w:w="80" w:type="dxa"/>
            </w:tcMar>
            <w:shd w:fill="F1F5F9"/>
          </w:tcPr>
          <w:p>
            <w:pPr>
              <w:spacing w:after="0"/>
            </w:pPr>
            <w:r>
              <w:rPr>
                <w:b/>
                <w:color w:val="1B365D"/>
                <w:sz w:val="17"/>
              </w:rPr>
              <w:t>Short Description</w:t>
            </w:r>
          </w:p>
        </w:tc>
        <w:tc>
          <w:tcPr>
            <w:tcW w:type="dxa" w:w="2664"/>
            <w:tcMar>
              <w:top w:w="50" w:type="dxa"/>
              <w:bottom w:w="50" w:type="dxa"/>
              <w:left w:w="80" w:type="dxa"/>
              <w:right w:w="80" w:type="dxa"/>
            </w:tcMar>
            <w:shd w:fill="FFFFFF"/>
          </w:tcPr>
          <w:p>
            <w:pPr>
              <w:spacing w:after="0"/>
            </w:pPr>
            <w:r>
              <w:rPr>
                <w:color w:val="2D3748"/>
                <w:sz w:val="17"/>
              </w:rPr>
              <w:t>Dental Coverage Not Displayed</w:t>
            </w:r>
          </w:p>
        </w:tc>
        <w:tc>
          <w:tcPr>
            <w:tcW w:type="dxa" w:w="2304"/>
            <w:tcMar>
              <w:top w:w="50" w:type="dxa"/>
              <w:bottom w:w="50" w:type="dxa"/>
              <w:left w:w="80" w:type="dxa"/>
              <w:right w:w="80" w:type="dxa"/>
            </w:tcMar>
            <w:shd w:fill="F1F5F9"/>
          </w:tcPr>
          <w:p>
            <w:pPr>
              <w:spacing w:after="0"/>
            </w:pPr>
            <w:r>
              <w:rPr>
                <w:b/>
                <w:color w:val="1B365D"/>
                <w:sz w:val="17"/>
              </w:rPr>
              <w:t>Resolution Status</w:t>
            </w:r>
          </w:p>
        </w:tc>
        <w:tc>
          <w:tcPr>
            <w:tcW w:type="dxa" w:w="2664"/>
            <w:tcMar>
              <w:top w:w="50" w:type="dxa"/>
              <w:bottom w:w="50" w:type="dxa"/>
              <w:left w:w="80" w:type="dxa"/>
              <w:right w:w="80" w:type="dxa"/>
            </w:tcMar>
            <w:shd w:fill="FFFFFF"/>
          </w:tcPr>
          <w:p>
            <w:pPr>
              <w:spacing w:after="0"/>
            </w:pPr>
            <w:r>
              <w:rPr>
                <w:color w:val="2D3748"/>
                <w:sz w:val="17"/>
              </w:rPr>
              <w:t>Remediation Specified</w:t>
            </w:r>
          </w:p>
        </w:tc>
      </w:tr>
    </w:tbl>
    <w:p>
      <w:pPr>
        <w:spacing w:after="80"/>
      </w:pPr>
    </w:p>
    <w:p>
      <w:pPr>
        <w:keepNext/>
        <w:spacing w:before="240" w:after="80"/>
      </w:pPr>
      <w:r>
        <w:rPr>
          <w:rFonts w:ascii="Arial" w:hAnsi="Arial"/>
          <w:b/>
          <w:color w:val="2C5282"/>
          <w:sz w:val="24"/>
        </w:rPr>
        <w:t>1.1 Raw Incident Narrative Analysis</w:t>
      </w:r>
    </w:p>
    <w:p>
      <w:r>
        <w:t>A forensic review of the ticket narrative highlights the exact architectural flaw within the legacy portal:</w:t>
      </w:r>
    </w:p>
    <w:p>
      <w:pPr>
        <w:pStyle w:val="ListBullet"/>
        <w:spacing w:before="20" w:after="40"/>
      </w:pPr>
      <w:r>
        <w:rPr>
          <w:rFonts w:ascii="Arial" w:hAnsi="Arial"/>
          <w:b/>
          <w:color w:val="1B365D"/>
          <w:sz w:val="19"/>
        </w:rPr>
        <w:t>Incident Description:</w:t>
      </w:r>
      <w:r>
        <w:rPr>
          <w:rFonts w:ascii="Arial" w:hAnsi="Arial"/>
          <w:color w:val="2D3748"/>
          <w:sz w:val="19"/>
        </w:rPr>
        <w:t xml:space="preserve"> The portal does not display the expected dental coverage for a covered spouse. Mock member reference: MOCKMBR000012; mock dependent reference: MOCKDEP000012.</w:t>
      </w:r>
    </w:p>
    <w:p>
      <w:pPr>
        <w:pStyle w:val="ListBullet"/>
        <w:spacing w:before="20" w:after="40"/>
      </w:pPr>
      <w:r>
        <w:rPr>
          <w:rFonts w:ascii="Arial" w:hAnsi="Arial"/>
          <w:b/>
          <w:color w:val="1B365D"/>
          <w:sz w:val="19"/>
        </w:rPr>
        <w:t>Root Cause Identified:</w:t>
      </w:r>
      <w:r>
        <w:rPr>
          <w:rFonts w:ascii="Arial" w:hAnsi="Arial"/>
          <w:color w:val="2D3748"/>
          <w:sz w:val="19"/>
        </w:rPr>
        <w:t xml:space="preserve"> Spouse and child have matching display names, causing ambiguous person selection.</w:t>
      </w:r>
    </w:p>
    <w:p>
      <w:pPr>
        <w:pStyle w:val="ListBullet"/>
        <w:spacing w:before="20" w:after="40"/>
      </w:pPr>
      <w:r>
        <w:rPr>
          <w:rFonts w:ascii="Arial" w:hAnsi="Arial"/>
          <w:b/>
          <w:color w:val="1B365D"/>
          <w:sz w:val="19"/>
        </w:rPr>
        <w:t>Suggested UI Resolution:</w:t>
      </w:r>
      <w:r>
        <w:rPr>
          <w:rFonts w:ascii="Arial" w:hAnsi="Arial"/>
          <w:color w:val="2D3748"/>
          <w:sz w:val="19"/>
        </w:rPr>
        <w:t xml:space="preserve"> Show separate person cards using relationship and masked dependent ID, and retrieve coverage using the unique dependent identifier.</w:t>
      </w:r>
    </w:p>
    <w:p>
      <w:pPr>
        <w:keepNext/>
        <w:spacing w:before="320" w:after="120"/>
      </w:pPr>
      <w:r>
        <w:rPr>
          <w:rFonts w:ascii="Arial" w:hAnsi="Arial"/>
          <w:b/>
          <w:color w:val="1B365D"/>
          <w:sz w:val="30"/>
        </w:rPr>
        <w:t>2. Problem Statement &amp; Root Cause Analysis (RCA)</w:t>
      </w:r>
    </w:p>
    <w:p>
      <w:pPr>
        <w:keepNext/>
        <w:spacing w:before="240" w:after="80"/>
      </w:pPr>
      <w:r>
        <w:rPr>
          <w:rFonts w:ascii="Arial" w:hAnsi="Arial"/>
          <w:b/>
          <w:color w:val="2C5282"/>
          <w:sz w:val="24"/>
        </w:rPr>
        <w:t>2.1 The 'Identical Name Collision' Architecture Failure</w:t>
      </w:r>
    </w:p>
    <w:p>
      <w:r>
        <w:t>In the existing MyMember Benefits Portal frontend, dependent coverage details are fetched and rendered based on an active person selection component. Prior to remediation, the UI component utilized a standard HTML `&lt;select&gt;` dropdown or flat tabs populated with the dependent's formatted full name (`person.displayName`):</w:t>
      </w:r>
    </w:p>
    <w:p>
      <w:pPr>
        <w:pStyle w:val="ListBullet"/>
        <w:spacing w:before="20" w:after="40"/>
      </w:pPr>
      <w:r>
        <w:rPr>
          <w:rFonts w:ascii="Arial" w:hAnsi="Arial"/>
          <w:b/>
          <w:color w:val="1B365D"/>
          <w:sz w:val="19"/>
        </w:rPr>
        <w:t xml:space="preserve">Family Structure: </w:t>
      </w:r>
      <w:r>
        <w:rPr>
          <w:rFonts w:ascii="Arial" w:hAnsi="Arial"/>
          <w:color w:val="2D3748"/>
          <w:sz w:val="19"/>
        </w:rPr>
        <w:t>The policyholder (MOCKMBR000012) had two dependents enrolled under their family policy: a spouse and a child.</w:t>
      </w:r>
    </w:p>
    <w:p>
      <w:pPr>
        <w:pStyle w:val="ListBullet"/>
        <w:spacing w:before="20" w:after="40"/>
      </w:pPr>
      <w:r>
        <w:rPr>
          <w:rFonts w:ascii="Arial" w:hAnsi="Arial"/>
          <w:b/>
          <w:color w:val="1B365D"/>
          <w:sz w:val="19"/>
        </w:rPr>
        <w:t xml:space="preserve">Name Collision: </w:t>
      </w:r>
      <w:r>
        <w:rPr>
          <w:rFonts w:ascii="Arial" w:hAnsi="Arial"/>
          <w:color w:val="2D3748"/>
          <w:sz w:val="19"/>
        </w:rPr>
        <w:t>Both individuals shared identical or indistinguishable display name strings (e.g., culturally common naming, junior/senior variations without explicit generational suffixes, or mock test naming fixtures).</w:t>
      </w:r>
    </w:p>
    <w:p>
      <w:pPr>
        <w:pStyle w:val="ListBullet"/>
        <w:spacing w:before="20" w:after="40"/>
      </w:pPr>
      <w:r>
        <w:rPr>
          <w:rFonts w:ascii="Arial" w:hAnsi="Arial"/>
          <w:b/>
          <w:color w:val="1B365D"/>
          <w:sz w:val="19"/>
        </w:rPr>
        <w:t xml:space="preserve">Flawed State Key: </w:t>
      </w:r>
      <w:r>
        <w:rPr>
          <w:rFonts w:ascii="Arial" w:hAnsi="Arial"/>
          <w:color w:val="2D3748"/>
          <w:sz w:val="19"/>
        </w:rPr>
        <w:t>The client-side state manager (`selectedPerson: 'Alex Smith'`) and the underlying HTTP request queried the backend using either name strings (`GET /coverage?name=Alex+Smith`) or an unindexed array lookup (`dependents.find(d =&gt; d.name === selectedName)`).</w:t>
      </w:r>
    </w:p>
    <w:p>
      <w:pPr>
        <w:pStyle w:val="ListBullet"/>
        <w:spacing w:before="20" w:after="40"/>
      </w:pPr>
      <w:r>
        <w:rPr>
          <w:rFonts w:ascii="Arial" w:hAnsi="Arial"/>
          <w:b/>
          <w:color w:val="1B365D"/>
          <w:sz w:val="19"/>
        </w:rPr>
        <w:t xml:space="preserve">Coverage Failure: </w:t>
      </w:r>
      <w:r>
        <w:rPr>
          <w:rFonts w:ascii="Arial" w:hAnsi="Arial"/>
          <w:color w:val="2D3748"/>
          <w:sz w:val="19"/>
        </w:rPr>
        <w:t>Array lookups consistently resolved to the first matching record (the child dependent), completely masking the spouse. Because the child did not carry adult dental coverage (or was enrolled in pediatric dental only), the portal rendered an empty coverage state for the spouse.</w:t>
      </w:r>
    </w:p>
    <w:p>
      <w:pPr>
        <w:keepNext/>
        <w:spacing w:before="240" w:after="80"/>
      </w:pPr>
      <w:r>
        <w:rPr>
          <w:rFonts w:ascii="Arial" w:hAnsi="Arial"/>
          <w:b/>
          <w:color w:val="2C5282"/>
          <w:sz w:val="24"/>
        </w:rPr>
        <w:t>2.2 The 5-Whys Diagnostic Model</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3312"/>
        <w:gridCol w:w="3312"/>
        <w:gridCol w:w="3312"/>
      </w:tblGrid>
      <w:tr>
        <w:tc>
          <w:tcPr>
            <w:tcW w:type="dxa" w:w="1296"/>
            <w:tcMar>
              <w:top w:w="60" w:type="dxa"/>
              <w:bottom w:w="60" w:type="dxa"/>
              <w:left w:w="80" w:type="dxa"/>
              <w:right w:w="80" w:type="dxa"/>
            </w:tcMar>
            <w:shd w:fill="1B365D"/>
          </w:tcPr>
          <w:p>
            <w:pPr>
              <w:spacing w:after="0"/>
            </w:pPr>
            <w:r>
              <w:rPr>
                <w:b/>
                <w:color w:val="FFFFFF"/>
                <w:sz w:val="17"/>
              </w:rPr>
              <w:t>Level</w:t>
            </w:r>
          </w:p>
        </w:tc>
        <w:tc>
          <w:tcPr>
            <w:tcW w:type="dxa" w:w="4032"/>
            <w:tcMar>
              <w:top w:w="60" w:type="dxa"/>
              <w:bottom w:w="60" w:type="dxa"/>
              <w:left w:w="80" w:type="dxa"/>
              <w:right w:w="80" w:type="dxa"/>
            </w:tcMar>
            <w:shd w:fill="1B365D"/>
          </w:tcPr>
          <w:p>
            <w:pPr>
              <w:spacing w:after="0"/>
            </w:pPr>
            <w:r>
              <w:rPr>
                <w:b/>
                <w:color w:val="FFFFFF"/>
                <w:sz w:val="17"/>
              </w:rPr>
              <w:t>Question / Symptom</w:t>
            </w:r>
          </w:p>
        </w:tc>
        <w:tc>
          <w:tcPr>
            <w:tcW w:type="dxa" w:w="4608"/>
            <w:tcMar>
              <w:top w:w="60" w:type="dxa"/>
              <w:bottom w:w="60" w:type="dxa"/>
              <w:left w:w="80" w:type="dxa"/>
              <w:right w:w="80" w:type="dxa"/>
            </w:tcMar>
            <w:shd w:fill="1B365D"/>
          </w:tcPr>
          <w:p>
            <w:pPr>
              <w:spacing w:after="0"/>
            </w:pPr>
            <w:r>
              <w:rPr>
                <w:b/>
                <w:color w:val="FFFFFF"/>
                <w:sz w:val="17"/>
              </w:rPr>
              <w:t>Technical Finding / Root Finding</w:t>
            </w:r>
          </w:p>
        </w:tc>
      </w:tr>
      <w:tr>
        <w:tc>
          <w:tcPr>
            <w:tcW w:type="dxa" w:w="1296"/>
            <w:tcMar>
              <w:top w:w="60" w:type="dxa"/>
              <w:bottom w:w="60" w:type="dxa"/>
              <w:left w:w="80" w:type="dxa"/>
              <w:right w:w="80" w:type="dxa"/>
            </w:tcMar>
            <w:shd w:fill="FFFFFF"/>
          </w:tcPr>
          <w:p>
            <w:pPr>
              <w:spacing w:after="0"/>
            </w:pPr>
            <w:r>
              <w:rPr>
                <w:b/>
                <w:color w:val="2C5282"/>
                <w:sz w:val="17"/>
              </w:rPr>
              <w:t>Why 1</w:t>
            </w:r>
          </w:p>
        </w:tc>
        <w:tc>
          <w:tcPr>
            <w:tcW w:type="dxa" w:w="4032"/>
            <w:tcMar>
              <w:top w:w="60" w:type="dxa"/>
              <w:bottom w:w="60" w:type="dxa"/>
              <w:left w:w="80" w:type="dxa"/>
              <w:right w:w="80" w:type="dxa"/>
            </w:tcMar>
            <w:shd w:fill="FFFFFF"/>
          </w:tcPr>
          <w:p>
            <w:pPr>
              <w:spacing w:after="0"/>
            </w:pPr>
            <w:r>
              <w:rPr>
                <w:color w:val="2D3748"/>
                <w:sz w:val="17"/>
              </w:rPr>
              <w:t>Why did the portal fail to display dental coverage for the covered spouse?</w:t>
            </w:r>
          </w:p>
        </w:tc>
        <w:tc>
          <w:tcPr>
            <w:tcW w:type="dxa" w:w="4608"/>
            <w:tcMar>
              <w:top w:w="60" w:type="dxa"/>
              <w:bottom w:w="60" w:type="dxa"/>
              <w:left w:w="80" w:type="dxa"/>
              <w:right w:w="80" w:type="dxa"/>
            </w:tcMar>
            <w:shd w:fill="FFFFFF"/>
          </w:tcPr>
          <w:p>
            <w:pPr>
              <w:spacing w:after="0"/>
            </w:pPr>
            <w:r>
              <w:rPr>
                <w:color w:val="2D3748"/>
                <w:sz w:val="17"/>
              </w:rPr>
              <w:t>The coverage container rendered an empty state / null plan view for the requested person.</w:t>
            </w:r>
          </w:p>
        </w:tc>
      </w:tr>
      <w:tr>
        <w:tc>
          <w:tcPr>
            <w:tcW w:type="dxa" w:w="1296"/>
            <w:tcMar>
              <w:top w:w="60" w:type="dxa"/>
              <w:bottom w:w="60" w:type="dxa"/>
              <w:left w:w="80" w:type="dxa"/>
              <w:right w:w="80" w:type="dxa"/>
            </w:tcMar>
            <w:shd w:fill="F8FAFC"/>
          </w:tcPr>
          <w:p>
            <w:pPr>
              <w:spacing w:after="0"/>
            </w:pPr>
            <w:r>
              <w:rPr>
                <w:b/>
                <w:color w:val="2C5282"/>
                <w:sz w:val="17"/>
              </w:rPr>
              <w:t>Why 2</w:t>
            </w:r>
          </w:p>
        </w:tc>
        <w:tc>
          <w:tcPr>
            <w:tcW w:type="dxa" w:w="4032"/>
            <w:tcMar>
              <w:top w:w="60" w:type="dxa"/>
              <w:bottom w:w="60" w:type="dxa"/>
              <w:left w:w="80" w:type="dxa"/>
              <w:right w:w="80" w:type="dxa"/>
            </w:tcMar>
            <w:shd w:fill="F8FAFC"/>
          </w:tcPr>
          <w:p>
            <w:pPr>
              <w:spacing w:after="0"/>
            </w:pPr>
            <w:r>
              <w:rPr>
                <w:color w:val="2D3748"/>
                <w:sz w:val="17"/>
              </w:rPr>
              <w:t>Why was the coverage data null or absent in the view?</w:t>
            </w:r>
          </w:p>
        </w:tc>
        <w:tc>
          <w:tcPr>
            <w:tcW w:type="dxa" w:w="4608"/>
            <w:tcMar>
              <w:top w:w="60" w:type="dxa"/>
              <w:bottom w:w="60" w:type="dxa"/>
              <w:left w:w="80" w:type="dxa"/>
              <w:right w:w="80" w:type="dxa"/>
            </w:tcMar>
            <w:shd w:fill="F8FAFC"/>
          </w:tcPr>
          <w:p>
            <w:pPr>
              <w:spacing w:after="0"/>
            </w:pPr>
            <w:r>
              <w:rPr>
                <w:color w:val="2D3748"/>
                <w:sz w:val="17"/>
              </w:rPr>
              <w:t>The API returned coverage details for the child dependent rather than the spouse, or failed to resolve the target person.</w:t>
            </w:r>
          </w:p>
        </w:tc>
      </w:tr>
      <w:tr>
        <w:tc>
          <w:tcPr>
            <w:tcW w:type="dxa" w:w="1296"/>
            <w:tcMar>
              <w:top w:w="60" w:type="dxa"/>
              <w:bottom w:w="60" w:type="dxa"/>
              <w:left w:w="80" w:type="dxa"/>
              <w:right w:w="80" w:type="dxa"/>
            </w:tcMar>
            <w:shd w:fill="FFFFFF"/>
          </w:tcPr>
          <w:p>
            <w:pPr>
              <w:spacing w:after="0"/>
            </w:pPr>
            <w:r>
              <w:rPr>
                <w:b/>
                <w:color w:val="2C5282"/>
                <w:sz w:val="17"/>
              </w:rPr>
              <w:t>Why 3</w:t>
            </w:r>
          </w:p>
        </w:tc>
        <w:tc>
          <w:tcPr>
            <w:tcW w:type="dxa" w:w="4032"/>
            <w:tcMar>
              <w:top w:w="60" w:type="dxa"/>
              <w:bottom w:w="60" w:type="dxa"/>
              <w:left w:w="80" w:type="dxa"/>
              <w:right w:w="80" w:type="dxa"/>
            </w:tcMar>
            <w:shd w:fill="FFFFFF"/>
          </w:tcPr>
          <w:p>
            <w:pPr>
              <w:spacing w:after="0"/>
            </w:pPr>
            <w:r>
              <w:rPr>
                <w:color w:val="2D3748"/>
                <w:sz w:val="17"/>
              </w:rPr>
              <w:t>Why did the system query the child's record when the user selected the spouse?</w:t>
            </w:r>
          </w:p>
        </w:tc>
        <w:tc>
          <w:tcPr>
            <w:tcW w:type="dxa" w:w="4608"/>
            <w:tcMar>
              <w:top w:w="60" w:type="dxa"/>
              <w:bottom w:w="60" w:type="dxa"/>
              <w:left w:w="80" w:type="dxa"/>
              <w:right w:w="80" w:type="dxa"/>
            </w:tcMar>
            <w:shd w:fill="FFFFFF"/>
          </w:tcPr>
          <w:p>
            <w:pPr>
              <w:spacing w:after="0"/>
            </w:pPr>
            <w:r>
              <w:rPr>
                <w:color w:val="2D3748"/>
                <w:sz w:val="17"/>
              </w:rPr>
              <w:t>The UI person selection component collapsed both dependents into an ambiguous name-based state key.</w:t>
            </w:r>
          </w:p>
        </w:tc>
      </w:tr>
      <w:tr>
        <w:tc>
          <w:tcPr>
            <w:tcW w:type="dxa" w:w="1296"/>
            <w:tcMar>
              <w:top w:w="60" w:type="dxa"/>
              <w:bottom w:w="60" w:type="dxa"/>
              <w:left w:w="80" w:type="dxa"/>
              <w:right w:w="80" w:type="dxa"/>
            </w:tcMar>
            <w:shd w:fill="F8FAFC"/>
          </w:tcPr>
          <w:p>
            <w:pPr>
              <w:spacing w:after="0"/>
            </w:pPr>
            <w:r>
              <w:rPr>
                <w:b/>
                <w:color w:val="2C5282"/>
                <w:sz w:val="17"/>
              </w:rPr>
              <w:t>Why 4</w:t>
            </w:r>
          </w:p>
        </w:tc>
        <w:tc>
          <w:tcPr>
            <w:tcW w:type="dxa" w:w="4032"/>
            <w:tcMar>
              <w:top w:w="60" w:type="dxa"/>
              <w:bottom w:w="60" w:type="dxa"/>
              <w:left w:w="80" w:type="dxa"/>
              <w:right w:w="80" w:type="dxa"/>
            </w:tcMar>
            <w:shd w:fill="F8FAFC"/>
          </w:tcPr>
          <w:p>
            <w:pPr>
              <w:spacing w:after="0"/>
            </w:pPr>
            <w:r>
              <w:rPr>
                <w:color w:val="2D3748"/>
                <w:sz w:val="17"/>
              </w:rPr>
              <w:t>Why did the UI state management rely on display names instead of unique identifiers?</w:t>
            </w:r>
          </w:p>
        </w:tc>
        <w:tc>
          <w:tcPr>
            <w:tcW w:type="dxa" w:w="4608"/>
            <w:tcMar>
              <w:top w:w="60" w:type="dxa"/>
              <w:bottom w:w="60" w:type="dxa"/>
              <w:left w:w="80" w:type="dxa"/>
              <w:right w:w="80" w:type="dxa"/>
            </w:tcMar>
            <w:shd w:fill="F8FAFC"/>
          </w:tcPr>
          <w:p>
            <w:pPr>
              <w:spacing w:after="0"/>
            </w:pPr>
            <w:r>
              <w:rPr>
                <w:color w:val="2D3748"/>
                <w:sz w:val="17"/>
              </w:rPr>
              <w:t>The legacy frontend assumed all dependents within a single policy possessed unique full names.</w:t>
            </w:r>
          </w:p>
        </w:tc>
      </w:tr>
      <w:tr>
        <w:tc>
          <w:tcPr>
            <w:tcW w:type="dxa" w:w="1296"/>
            <w:tcMar>
              <w:top w:w="60" w:type="dxa"/>
              <w:bottom w:w="60" w:type="dxa"/>
              <w:left w:w="80" w:type="dxa"/>
              <w:right w:w="80" w:type="dxa"/>
            </w:tcMar>
            <w:shd w:fill="FFFFFF"/>
          </w:tcPr>
          <w:p>
            <w:pPr>
              <w:spacing w:after="0"/>
            </w:pPr>
            <w:r>
              <w:rPr>
                <w:b/>
                <w:color w:val="2C5282"/>
                <w:sz w:val="17"/>
              </w:rPr>
              <w:t>Why 5</w:t>
            </w:r>
          </w:p>
        </w:tc>
        <w:tc>
          <w:tcPr>
            <w:tcW w:type="dxa" w:w="4032"/>
            <w:tcMar>
              <w:top w:w="60" w:type="dxa"/>
              <w:bottom w:w="60" w:type="dxa"/>
              <w:left w:w="80" w:type="dxa"/>
              <w:right w:w="80" w:type="dxa"/>
            </w:tcMar>
            <w:shd w:fill="FFFFFF"/>
          </w:tcPr>
          <w:p>
            <w:pPr>
              <w:spacing w:after="0"/>
            </w:pPr>
            <w:r>
              <w:rPr>
                <w:color w:val="2D3748"/>
                <w:sz w:val="17"/>
              </w:rPr>
              <w:t>Why did the architecture fail to mandate unique ID keying?</w:t>
            </w:r>
          </w:p>
        </w:tc>
        <w:tc>
          <w:tcPr>
            <w:tcW w:type="dxa" w:w="4608"/>
            <w:tcMar>
              <w:top w:w="60" w:type="dxa"/>
              <w:bottom w:w="60" w:type="dxa"/>
              <w:left w:w="80" w:type="dxa"/>
              <w:right w:w="80" w:type="dxa"/>
            </w:tcMar>
            <w:shd w:fill="FFFFFF"/>
          </w:tcPr>
          <w:p>
            <w:pPr>
              <w:spacing w:after="0"/>
            </w:pPr>
            <w:r>
              <w:rPr>
                <w:color w:val="2D3748"/>
                <w:sz w:val="17"/>
              </w:rPr>
              <w:t>Lack of strict UI/API contracts enforcing immutable surrogate keys (`dependent_id`) and absence of disambiguation UI metadata (relationship badges, masked IDs).</w:t>
            </w:r>
          </w:p>
        </w:tc>
      </w:tr>
    </w:tbl>
    <w:p>
      <w:pPr>
        <w:spacing w:after="120"/>
      </w:pPr>
    </w:p>
    <w:p>
      <w:pPr>
        <w:keepNext/>
        <w:spacing w:before="320" w:after="120"/>
      </w:pPr>
      <w:r>
        <w:rPr>
          <w:rFonts w:ascii="Arial" w:hAnsi="Arial"/>
          <w:b/>
          <w:color w:val="1B365D"/>
          <w:sz w:val="30"/>
        </w:rPr>
        <w:t>3. Business &amp; Operational Impact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3312"/>
        <w:gridCol w:w="3312"/>
        <w:gridCol w:w="3312"/>
      </w:tblGrid>
      <w:tr>
        <w:tc>
          <w:tcPr>
            <w:tcW w:type="dxa" w:w="2592"/>
            <w:tcMar>
              <w:top w:w="60" w:type="dxa"/>
              <w:bottom w:w="60" w:type="dxa"/>
              <w:left w:w="80" w:type="dxa"/>
              <w:right w:w="80" w:type="dxa"/>
            </w:tcMar>
            <w:shd w:fill="1B365D"/>
          </w:tcPr>
          <w:p>
            <w:pPr>
              <w:spacing w:after="0"/>
            </w:pPr>
            <w:r>
              <w:rPr>
                <w:b/>
                <w:color w:val="FFFFFF"/>
                <w:sz w:val="17"/>
              </w:rPr>
              <w:t>Impact Dimension</w:t>
            </w:r>
          </w:p>
        </w:tc>
        <w:tc>
          <w:tcPr>
            <w:tcW w:type="dxa" w:w="3672"/>
            <w:tcMar>
              <w:top w:w="60" w:type="dxa"/>
              <w:bottom w:w="60" w:type="dxa"/>
              <w:left w:w="80" w:type="dxa"/>
              <w:right w:w="80" w:type="dxa"/>
            </w:tcMar>
            <w:shd w:fill="1B365D"/>
          </w:tcPr>
          <w:p>
            <w:pPr>
              <w:spacing w:after="0"/>
            </w:pPr>
            <w:r>
              <w:rPr>
                <w:b/>
                <w:color w:val="FFFFFF"/>
                <w:sz w:val="17"/>
              </w:rPr>
              <w:t>Pre-Remediation State (As-Is)</w:t>
            </w:r>
          </w:p>
        </w:tc>
        <w:tc>
          <w:tcPr>
            <w:tcW w:type="dxa" w:w="3672"/>
            <w:tcMar>
              <w:top w:w="60" w:type="dxa"/>
              <w:bottom w:w="60" w:type="dxa"/>
              <w:left w:w="80" w:type="dxa"/>
              <w:right w:w="80" w:type="dxa"/>
            </w:tcMar>
            <w:shd w:fill="1B365D"/>
          </w:tcPr>
          <w:p>
            <w:pPr>
              <w:spacing w:after="0"/>
            </w:pPr>
            <w:r>
              <w:rPr>
                <w:b/>
                <w:color w:val="FFFFFF"/>
                <w:sz w:val="17"/>
              </w:rPr>
              <w:t>Post-Remediation Target (To-Be)</w:t>
            </w:r>
          </w:p>
        </w:tc>
      </w:tr>
      <w:tr>
        <w:tc>
          <w:tcPr>
            <w:tcW w:type="dxa" w:w="2592"/>
            <w:tcMar>
              <w:top w:w="60" w:type="dxa"/>
              <w:bottom w:w="60" w:type="dxa"/>
              <w:left w:w="80" w:type="dxa"/>
              <w:right w:w="80" w:type="dxa"/>
            </w:tcMar>
            <w:shd w:fill="FFFFFF"/>
          </w:tcPr>
          <w:p>
            <w:pPr>
              <w:spacing w:after="0"/>
            </w:pPr>
            <w:r>
              <w:rPr>
                <w:b/>
                <w:color w:val="1B365D"/>
                <w:sz w:val="17"/>
              </w:rPr>
              <w:t>Member Self-Service &amp; Trust</w:t>
            </w:r>
          </w:p>
        </w:tc>
        <w:tc>
          <w:tcPr>
            <w:tcW w:type="dxa" w:w="3672"/>
            <w:tcMar>
              <w:top w:w="60" w:type="dxa"/>
              <w:bottom w:w="60" w:type="dxa"/>
              <w:left w:w="80" w:type="dxa"/>
              <w:right w:w="80" w:type="dxa"/>
            </w:tcMar>
            <w:shd w:fill="FFFFFF"/>
          </w:tcPr>
          <w:p>
            <w:pPr>
              <w:spacing w:after="0"/>
            </w:pPr>
            <w:r>
              <w:rPr>
                <w:color w:val="2D3748"/>
                <w:sz w:val="17"/>
              </w:rPr>
              <w:t>Members assume benefits were dropped or denied, leading to panic, deferred dental care, and negative CSAT.</w:t>
            </w:r>
          </w:p>
        </w:tc>
        <w:tc>
          <w:tcPr>
            <w:tcW w:type="dxa" w:w="3672"/>
            <w:tcMar>
              <w:top w:w="60" w:type="dxa"/>
              <w:bottom w:w="60" w:type="dxa"/>
              <w:left w:w="80" w:type="dxa"/>
              <w:right w:w="80" w:type="dxa"/>
            </w:tcMar>
            <w:shd w:fill="FFFFFF"/>
          </w:tcPr>
          <w:p>
            <w:pPr>
              <w:spacing w:after="0"/>
            </w:pPr>
            <w:r>
              <w:rPr>
                <w:color w:val="2D3748"/>
                <w:sz w:val="17"/>
              </w:rPr>
              <w:t>Immediate, unambiguous visibility into enrolled coverages, co-pays, deductibles, and in-network provider links.</w:t>
            </w:r>
          </w:p>
        </w:tc>
      </w:tr>
      <w:tr>
        <w:tc>
          <w:tcPr>
            <w:tcW w:type="dxa" w:w="2592"/>
            <w:tcMar>
              <w:top w:w="60" w:type="dxa"/>
              <w:bottom w:w="60" w:type="dxa"/>
              <w:left w:w="80" w:type="dxa"/>
              <w:right w:w="80" w:type="dxa"/>
            </w:tcMar>
            <w:shd w:fill="F8FAFC"/>
          </w:tcPr>
          <w:p>
            <w:pPr>
              <w:spacing w:after="0"/>
            </w:pPr>
            <w:r>
              <w:rPr>
                <w:b/>
                <w:color w:val="1B365D"/>
                <w:sz w:val="17"/>
              </w:rPr>
              <w:t>Customer Support Costs</w:t>
            </w:r>
          </w:p>
        </w:tc>
        <w:tc>
          <w:tcPr>
            <w:tcW w:type="dxa" w:w="3672"/>
            <w:tcMar>
              <w:top w:w="60" w:type="dxa"/>
              <w:bottom w:w="60" w:type="dxa"/>
              <w:left w:w="80" w:type="dxa"/>
              <w:right w:w="80" w:type="dxa"/>
            </w:tcMar>
            <w:shd w:fill="F8FAFC"/>
          </w:tcPr>
          <w:p>
            <w:pPr>
              <w:spacing w:after="0"/>
            </w:pPr>
            <w:r>
              <w:rPr>
                <w:color w:val="2D3748"/>
                <w:sz w:val="17"/>
              </w:rPr>
              <w:t>Generates high-touch Tier 1/2 service desk tickets (SYNINC0000012) requiring 5 days turnaround time.</w:t>
            </w:r>
          </w:p>
        </w:tc>
        <w:tc>
          <w:tcPr>
            <w:tcW w:type="dxa" w:w="3672"/>
            <w:tcMar>
              <w:top w:w="60" w:type="dxa"/>
              <w:bottom w:w="60" w:type="dxa"/>
              <w:left w:w="80" w:type="dxa"/>
              <w:right w:w="80" w:type="dxa"/>
            </w:tcMar>
            <w:shd w:fill="F8FAFC"/>
          </w:tcPr>
          <w:p>
            <w:pPr>
              <w:spacing w:after="0"/>
            </w:pPr>
            <w:r>
              <w:rPr>
                <w:color w:val="2D3748"/>
                <w:sz w:val="17"/>
              </w:rPr>
              <w:t>0 service desk tickets generated for dependent disambiguation. Immediate self-service resolution.</w:t>
            </w:r>
          </w:p>
        </w:tc>
      </w:tr>
      <w:tr>
        <w:tc>
          <w:tcPr>
            <w:tcW w:type="dxa" w:w="2592"/>
            <w:tcMar>
              <w:top w:w="60" w:type="dxa"/>
              <w:bottom w:w="60" w:type="dxa"/>
              <w:left w:w="80" w:type="dxa"/>
              <w:right w:w="80" w:type="dxa"/>
            </w:tcMar>
            <w:shd w:fill="FFFFFF"/>
          </w:tcPr>
          <w:p>
            <w:pPr>
              <w:spacing w:after="0"/>
            </w:pPr>
            <w:r>
              <w:rPr>
                <w:b/>
                <w:color w:val="1B365D"/>
                <w:sz w:val="17"/>
              </w:rPr>
              <w:t>Provider Office Friction</w:t>
            </w:r>
          </w:p>
        </w:tc>
        <w:tc>
          <w:tcPr>
            <w:tcW w:type="dxa" w:w="3672"/>
            <w:tcMar>
              <w:top w:w="60" w:type="dxa"/>
              <w:bottom w:w="60" w:type="dxa"/>
              <w:left w:w="80" w:type="dxa"/>
              <w:right w:w="80" w:type="dxa"/>
            </w:tcMar>
            <w:shd w:fill="FFFFFF"/>
          </w:tcPr>
          <w:p>
            <w:pPr>
              <w:spacing w:after="0"/>
            </w:pPr>
            <w:r>
              <w:rPr>
                <w:color w:val="2D3748"/>
                <w:sz w:val="17"/>
              </w:rPr>
              <w:t>Dental clinic receptionists cannot verify real-time coverage via the portal, causing claim disputes.</w:t>
            </w:r>
          </w:p>
        </w:tc>
        <w:tc>
          <w:tcPr>
            <w:tcW w:type="dxa" w:w="3672"/>
            <w:tcMar>
              <w:top w:w="60" w:type="dxa"/>
              <w:bottom w:w="60" w:type="dxa"/>
              <w:left w:w="80" w:type="dxa"/>
              <w:right w:w="80" w:type="dxa"/>
            </w:tcMar>
            <w:shd w:fill="FFFFFF"/>
          </w:tcPr>
          <w:p>
            <w:pPr>
              <w:spacing w:after="0"/>
            </w:pPr>
            <w:r>
              <w:rPr>
                <w:color w:val="2D3748"/>
                <w:sz w:val="17"/>
              </w:rPr>
              <w:t>Real-time, accurate coverage verification cards accessible directly from mobile devices.</w:t>
            </w:r>
          </w:p>
        </w:tc>
      </w:tr>
      <w:tr>
        <w:tc>
          <w:tcPr>
            <w:tcW w:type="dxa" w:w="2592"/>
            <w:tcMar>
              <w:top w:w="60" w:type="dxa"/>
              <w:bottom w:w="60" w:type="dxa"/>
              <w:left w:w="80" w:type="dxa"/>
              <w:right w:w="80" w:type="dxa"/>
            </w:tcMar>
            <w:shd w:fill="F8FAFC"/>
          </w:tcPr>
          <w:p>
            <w:pPr>
              <w:spacing w:after="0"/>
            </w:pPr>
            <w:r>
              <w:rPr>
                <w:b/>
                <w:color w:val="1B365D"/>
                <w:sz w:val="17"/>
              </w:rPr>
              <w:t>Compliance &amp; Data Integrity</w:t>
            </w:r>
          </w:p>
        </w:tc>
        <w:tc>
          <w:tcPr>
            <w:tcW w:type="dxa" w:w="3672"/>
            <w:tcMar>
              <w:top w:w="60" w:type="dxa"/>
              <w:bottom w:w="60" w:type="dxa"/>
              <w:left w:w="80" w:type="dxa"/>
              <w:right w:w="80" w:type="dxa"/>
            </w:tcMar>
            <w:shd w:fill="F8FAFC"/>
          </w:tcPr>
          <w:p>
            <w:pPr>
              <w:spacing w:after="0"/>
            </w:pPr>
            <w:r>
              <w:rPr>
                <w:color w:val="2D3748"/>
                <w:sz w:val="17"/>
              </w:rPr>
              <w:t>Ambiguous person selection risks inadvertent cross-dependent data viewing or incorrect claim attribution.</w:t>
            </w:r>
          </w:p>
        </w:tc>
        <w:tc>
          <w:tcPr>
            <w:tcW w:type="dxa" w:w="3672"/>
            <w:tcMar>
              <w:top w:w="60" w:type="dxa"/>
              <w:bottom w:w="60" w:type="dxa"/>
              <w:left w:w="80" w:type="dxa"/>
              <w:right w:w="80" w:type="dxa"/>
            </w:tcMar>
            <w:shd w:fill="F8FAFC"/>
          </w:tcPr>
          <w:p>
            <w:pPr>
              <w:spacing w:after="0"/>
            </w:pPr>
            <w:r>
              <w:rPr>
                <w:color w:val="2D3748"/>
                <w:sz w:val="17"/>
              </w:rPr>
              <w:t>Strict cryptographic isolation by `dependent_id`, zero PHI leakage, fully HIPAA/HITRUST compliant.</w:t>
            </w:r>
          </w:p>
        </w:tc>
      </w:tr>
    </w:tbl>
    <w:p>
      <w:pPr>
        <w:spacing w:after="120"/>
      </w:pPr>
    </w:p>
    <w:p>
      <w:pPr>
        <w:keepNext/>
        <w:spacing w:before="320" w:after="120"/>
      </w:pPr>
      <w:r>
        <w:rPr>
          <w:rFonts w:ascii="Arial" w:hAnsi="Arial"/>
          <w:b/>
          <w:color w:val="1B365D"/>
          <w:sz w:val="30"/>
        </w:rPr>
        <w:t>4. Detailed Functional Requirements (FR)</w:t>
      </w:r>
    </w:p>
    <w:p>
      <w:r>
        <w:t>The following engineering specifications detail the mandatory functional capabilities required to permanently eliminate dependent coverage ambiguity in the MyMember Benefits Portal.</w:t>
      </w:r>
    </w:p>
    <w:p>
      <w:pPr>
        <w:keepNext/>
        <w:spacing w:before="240" w:after="80"/>
      </w:pPr>
      <w:r>
        <w:rPr>
          <w:rFonts w:ascii="Arial" w:hAnsi="Arial"/>
          <w:b/>
          <w:color w:val="2C5282"/>
          <w:sz w:val="24"/>
        </w:rPr>
        <w:t>FR-1: Person Card Selection Component (UI Disambiguation)</w:t>
      </w:r>
    </w:p>
    <w:p>
      <w:r>
        <w:t>The portal frontend must replace all flat dropdown selectors and unbadged tab bars with a dedicated Person Selection Card Grid / Carousel component.</w:t>
      </w:r>
    </w:p>
    <w:p>
      <w:pPr>
        <w:pStyle w:val="ListBullet"/>
        <w:spacing w:before="20" w:after="40"/>
      </w:pPr>
      <w:r>
        <w:rPr>
          <w:rFonts w:ascii="Arial" w:hAnsi="Arial"/>
          <w:b/>
          <w:color w:val="1B365D"/>
          <w:sz w:val="19"/>
        </w:rPr>
        <w:t xml:space="preserve">FR-1.1 </w:t>
      </w:r>
      <w:r>
        <w:rPr>
          <w:rFonts w:ascii="Arial" w:hAnsi="Arial"/>
          <w:color w:val="2D3748"/>
          <w:sz w:val="19"/>
        </w:rPr>
        <w:t>Card Anatomy: Each dependent card must render as an interactive, selectable card tile containing: (1) Full Legal Display Name, (2) Relationship Badge ('Spouse', 'Child', 'Primary Subscriber'), (3) Masked Dependent ID ('ID: MOCKDEP***0012'), and (4) Date of Birth preview ('DOB: **/**/1982' or Age Badge).</w:t>
      </w:r>
    </w:p>
    <w:p>
      <w:pPr>
        <w:pStyle w:val="ListBullet"/>
        <w:spacing w:before="20" w:after="40"/>
      </w:pPr>
      <w:r>
        <w:rPr>
          <w:rFonts w:ascii="Arial" w:hAnsi="Arial"/>
          <w:b/>
          <w:color w:val="1B365D"/>
          <w:sz w:val="19"/>
        </w:rPr>
        <w:t xml:space="preserve">FR-1.2 </w:t>
      </w:r>
      <w:r>
        <w:rPr>
          <w:rFonts w:ascii="Arial" w:hAnsi="Arial"/>
          <w:color w:val="2D3748"/>
          <w:sz w:val="19"/>
        </w:rPr>
        <w:t>Visual Relationship Badges: Badges must be color-coded with high semantic contrast: Spouse (Royal Blue Chip), Child (Emerald Green Chip), Primary Subscriber (Deep Navy Chip).</w:t>
      </w:r>
    </w:p>
    <w:p>
      <w:pPr>
        <w:pStyle w:val="ListBullet"/>
        <w:spacing w:before="20" w:after="40"/>
      </w:pPr>
      <w:r>
        <w:rPr>
          <w:rFonts w:ascii="Arial" w:hAnsi="Arial"/>
          <w:b/>
          <w:color w:val="1B365D"/>
          <w:sz w:val="19"/>
        </w:rPr>
        <w:t xml:space="preserve">FR-1.3 </w:t>
      </w:r>
      <w:r>
        <w:rPr>
          <w:rFonts w:ascii="Arial" w:hAnsi="Arial"/>
          <w:color w:val="2D3748"/>
          <w:sz w:val="19"/>
        </w:rPr>
        <w:t>Masked Identifier Formatting: The unique dependent reference must be displayed in masked format (preserving prefix and last 4 digits) to assure the member they are viewing distinct policy records.</w:t>
      </w:r>
    </w:p>
    <w:p>
      <w:pPr>
        <w:pStyle w:val="ListBullet"/>
        <w:spacing w:before="20" w:after="40"/>
      </w:pPr>
      <w:r>
        <w:rPr>
          <w:rFonts w:ascii="Arial" w:hAnsi="Arial"/>
          <w:b/>
          <w:color w:val="1B365D"/>
          <w:sz w:val="19"/>
        </w:rPr>
        <w:t xml:space="preserve">FR-1.4 </w:t>
      </w:r>
      <w:r>
        <w:rPr>
          <w:rFonts w:ascii="Arial" w:hAnsi="Arial"/>
          <w:color w:val="2D3748"/>
          <w:sz w:val="19"/>
        </w:rPr>
        <w:t>Distinct State Indicators: The active card must display a primary accent border (2px solid #1B365D), subtle elevation shadow, and a visible checkmark icon indicating active selection.</w:t>
      </w:r>
    </w:p>
    <w:p>
      <w:pPr>
        <w:keepNext/>
        <w:spacing w:before="240" w:after="80"/>
      </w:pPr>
      <w:r>
        <w:rPr>
          <w:rFonts w:ascii="Arial" w:hAnsi="Arial"/>
          <w:b/>
          <w:color w:val="2C5282"/>
          <w:sz w:val="24"/>
        </w:rPr>
        <w:t>FR-2: Immutable Unique Identifier Query Architecture</w:t>
      </w:r>
    </w:p>
    <w:p>
      <w:r>
        <w:t>All client-to-backend communication for fetching policy coverages must strictly utilize immutable surrogate keys.</w:t>
      </w:r>
    </w:p>
    <w:p>
      <w:pPr>
        <w:pStyle w:val="ListBullet"/>
        <w:spacing w:before="20" w:after="40"/>
      </w:pPr>
      <w:r>
        <w:rPr>
          <w:rFonts w:ascii="Arial" w:hAnsi="Arial"/>
          <w:b/>
          <w:color w:val="1B365D"/>
          <w:sz w:val="19"/>
        </w:rPr>
        <w:t xml:space="preserve">FR-2.1 </w:t>
      </w:r>
      <w:r>
        <w:rPr>
          <w:rFonts w:ascii="Arial" w:hAnsi="Arial"/>
          <w:color w:val="2D3748"/>
          <w:sz w:val="19"/>
        </w:rPr>
        <w:t>Deprecation of Name-Based Endpoints: All API endpoints accepting query parameters such as `?memberName=` or `?dependentName=` must be marked deprecated and removed from client consumption.</w:t>
      </w:r>
    </w:p>
    <w:p>
      <w:pPr>
        <w:pStyle w:val="ListBullet"/>
        <w:spacing w:before="20" w:after="40"/>
      </w:pPr>
      <w:r>
        <w:rPr>
          <w:rFonts w:ascii="Arial" w:hAnsi="Arial"/>
          <w:b/>
          <w:color w:val="1B365D"/>
          <w:sz w:val="19"/>
        </w:rPr>
        <w:t xml:space="preserve">FR-2.2 </w:t>
      </w:r>
      <w:r>
        <w:rPr>
          <w:rFonts w:ascii="Arial" w:hAnsi="Arial"/>
          <w:color w:val="2D3748"/>
          <w:sz w:val="19"/>
        </w:rPr>
        <w:t>Mandatory Unique ID Parameter: The coverage endpoint must require `dependent_id` as a non-null, immutable parameter: `GET /api/v2/members/{member_id}/dependents/{dependent_id}/coverages?benefitType=dental`.</w:t>
      </w:r>
    </w:p>
    <w:p>
      <w:pPr>
        <w:pStyle w:val="ListBullet"/>
        <w:spacing w:before="20" w:after="40"/>
      </w:pPr>
      <w:r>
        <w:rPr>
          <w:rFonts w:ascii="Arial" w:hAnsi="Arial"/>
          <w:b/>
          <w:color w:val="1B365D"/>
          <w:sz w:val="19"/>
        </w:rPr>
        <w:t xml:space="preserve">FR-2.3 </w:t>
      </w:r>
      <w:r>
        <w:rPr>
          <w:rFonts w:ascii="Arial" w:hAnsi="Arial"/>
          <w:color w:val="2D3748"/>
          <w:sz w:val="19"/>
        </w:rPr>
        <w:t>Backend Surrogate Validation: The backend service must validate that `dependent_id` exists within the active policy hierarchy before executing the coverage lookup, preventing unauthorized data traversal.</w:t>
      </w:r>
    </w:p>
    <w:p>
      <w:pPr>
        <w:keepNext/>
        <w:spacing w:before="240" w:after="80"/>
      </w:pPr>
      <w:r>
        <w:rPr>
          <w:rFonts w:ascii="Arial" w:hAnsi="Arial"/>
          <w:b/>
          <w:color w:val="2C5282"/>
          <w:sz w:val="24"/>
        </w:rPr>
        <w:t>FR-3: Reactive Multi-Benefit Tab Synchronizer</w:t>
      </w:r>
    </w:p>
    <w:p>
      <w:r>
        <w:t>Selecting a different person card must reactively re-query and refresh all benefit categories in real-time.</w:t>
      </w:r>
    </w:p>
    <w:p>
      <w:pPr>
        <w:pStyle w:val="ListBullet"/>
        <w:spacing w:before="20" w:after="40"/>
      </w:pPr>
      <w:r>
        <w:rPr>
          <w:rFonts w:ascii="Arial" w:hAnsi="Arial"/>
          <w:b/>
          <w:color w:val="1B365D"/>
          <w:sz w:val="19"/>
        </w:rPr>
        <w:t xml:space="preserve">FR-3.1 </w:t>
      </w:r>
      <w:r>
        <w:rPr>
          <w:rFonts w:ascii="Arial" w:hAnsi="Arial"/>
          <w:color w:val="2D3748"/>
          <w:sz w:val="19"/>
        </w:rPr>
        <w:t>Global State Binding: When a member clicks a person card, the application state must update `activeDependentId: 'MOCKDEP000012'` across the global application context (Redux / React Context / Zustand).</w:t>
      </w:r>
    </w:p>
    <w:p>
      <w:pPr>
        <w:pStyle w:val="ListBullet"/>
        <w:spacing w:before="20" w:after="40"/>
      </w:pPr>
      <w:r>
        <w:rPr>
          <w:rFonts w:ascii="Arial" w:hAnsi="Arial"/>
          <w:b/>
          <w:color w:val="1B365D"/>
          <w:sz w:val="19"/>
        </w:rPr>
        <w:t xml:space="preserve">FR-3.2 </w:t>
      </w:r>
      <w:r>
        <w:rPr>
          <w:rFonts w:ascii="Arial" w:hAnsi="Arial"/>
          <w:color w:val="2D3748"/>
          <w:sz w:val="19"/>
        </w:rPr>
        <w:t>Benefit Context Synchronization: If the user is currently viewing the 'Dental' tab, changing the person card must instantly trigger a refetch of dental coverage for the newly selected dependent without resetting the user to the overview page.</w:t>
      </w:r>
    </w:p>
    <w:p>
      <w:pPr>
        <w:pStyle w:val="ListBullet"/>
        <w:spacing w:before="20" w:after="40"/>
      </w:pPr>
      <w:r>
        <w:rPr>
          <w:rFonts w:ascii="Arial" w:hAnsi="Arial"/>
          <w:b/>
          <w:color w:val="1B365D"/>
          <w:sz w:val="19"/>
        </w:rPr>
        <w:t xml:space="preserve">FR-3.3 </w:t>
      </w:r>
      <w:r>
        <w:rPr>
          <w:rFonts w:ascii="Arial" w:hAnsi="Arial"/>
          <w:color w:val="2D3748"/>
          <w:sz w:val="19"/>
        </w:rPr>
        <w:t>Optimistic Loading Skeleton: While the new coverage payload is fetched, the UI must display a shimmer skeleton loader preserving page dimensions and eliminating layout shift (CLS &lt; 0.05).</w:t>
      </w:r>
    </w:p>
    <w:p>
      <w:pPr>
        <w:keepNext/>
        <w:spacing w:before="240" w:after="80"/>
      </w:pPr>
      <w:r>
        <w:rPr>
          <w:rFonts w:ascii="Arial" w:hAnsi="Arial"/>
          <w:b/>
          <w:color w:val="2C5282"/>
          <w:sz w:val="24"/>
        </w:rPr>
        <w:t>FR-4: Informative Empty State &amp; Partial Enrollment Handling</w:t>
      </w:r>
    </w:p>
    <w:p>
      <w:r>
        <w:t>In scenarios where a dependent is enrolled in Medical but does not carry Dental coverage, the portal must display a clear, actionable empty state rather than a blank container.</w:t>
      </w:r>
    </w:p>
    <w:p>
      <w:pPr>
        <w:pStyle w:val="ListBullet"/>
        <w:spacing w:before="20" w:after="40"/>
      </w:pPr>
      <w:r>
        <w:rPr>
          <w:rFonts w:ascii="Arial" w:hAnsi="Arial"/>
          <w:b/>
          <w:color w:val="1B365D"/>
          <w:sz w:val="19"/>
        </w:rPr>
        <w:t xml:space="preserve">FR-4.1 </w:t>
      </w:r>
      <w:r>
        <w:rPr>
          <w:rFonts w:ascii="Arial" w:hAnsi="Arial"/>
          <w:color w:val="2D3748"/>
          <w:sz w:val="19"/>
        </w:rPr>
        <w:t>Explicit Status Message: Display: '[Dependent Name] (Spouse) is not currently enrolled in Dental Coverage under this plan.'</w:t>
      </w:r>
    </w:p>
    <w:p>
      <w:pPr>
        <w:pStyle w:val="ListBullet"/>
        <w:spacing w:before="20" w:after="40"/>
      </w:pPr>
      <w:r>
        <w:rPr>
          <w:rFonts w:ascii="Arial" w:hAnsi="Arial"/>
          <w:b/>
          <w:color w:val="1B365D"/>
          <w:sz w:val="19"/>
        </w:rPr>
        <w:t xml:space="preserve">FR-4.2 </w:t>
      </w:r>
      <w:r>
        <w:rPr>
          <w:rFonts w:ascii="Arial" w:hAnsi="Arial"/>
          <w:color w:val="2D3748"/>
          <w:sz w:val="19"/>
        </w:rPr>
        <w:t>Self-Service Enrollment Prompt: If the policy is within an active Open Enrollment or Qualifying Life Event (QLE) window, display an actionable button: [Add Dental Coverage].</w:t>
      </w:r>
    </w:p>
    <w:p>
      <w:pPr>
        <w:pStyle w:val="ListBullet"/>
        <w:spacing w:before="20" w:after="40"/>
      </w:pPr>
      <w:r>
        <w:rPr>
          <w:rFonts w:ascii="Arial" w:hAnsi="Arial"/>
          <w:b/>
          <w:color w:val="1B365D"/>
          <w:sz w:val="19"/>
        </w:rPr>
        <w:t xml:space="preserve">FR-4.3 </w:t>
      </w:r>
      <w:r>
        <w:rPr>
          <w:rFonts w:ascii="Arial" w:hAnsi="Arial"/>
          <w:color w:val="2D3748"/>
          <w:sz w:val="19"/>
        </w:rPr>
        <w:t>HR / Benefits Administrator Contact: For off-cycle inquiries, provide direct contact coordinates for the employer's HR group.</w:t>
      </w:r>
    </w:p>
    <w:p>
      <w:pPr>
        <w:keepNext/>
        <w:spacing w:before="240" w:after="80"/>
      </w:pPr>
      <w:r>
        <w:rPr>
          <w:rFonts w:ascii="Arial" w:hAnsi="Arial"/>
          <w:b/>
          <w:color w:val="2C5282"/>
          <w:sz w:val="24"/>
        </w:rPr>
        <w:t>FR-5: Customer Service Representative (CSR) Mirroring Mode</w:t>
      </w:r>
    </w:p>
    <w:p>
      <w:r>
        <w:t>To ensure support agents in the 'Synthetic Benefits Support' queue can troubleshoot effectively:</w:t>
      </w:r>
    </w:p>
    <w:p>
      <w:pPr>
        <w:pStyle w:val="ListBullet"/>
        <w:spacing w:before="20" w:after="40"/>
      </w:pPr>
      <w:r>
        <w:rPr>
          <w:rFonts w:ascii="Arial" w:hAnsi="Arial"/>
          <w:b/>
          <w:color w:val="1B365D"/>
          <w:sz w:val="19"/>
        </w:rPr>
        <w:t xml:space="preserve">FR-5.1 </w:t>
      </w:r>
      <w:r>
        <w:rPr>
          <w:rFonts w:ascii="Arial" w:hAnsi="Arial"/>
          <w:color w:val="2D3748"/>
          <w:sz w:val="19"/>
        </w:rPr>
        <w:t>CSR Portal Parity: The internal admin tool must display the identical Person Selection Card layout, showing both the unmasked `MOCKDEP000012` and the member-facing masked string.</w:t>
      </w:r>
    </w:p>
    <w:p>
      <w:pPr>
        <w:pStyle w:val="ListBullet"/>
        <w:spacing w:before="20" w:after="40"/>
      </w:pPr>
      <w:r>
        <w:rPr>
          <w:rFonts w:ascii="Arial" w:hAnsi="Arial"/>
          <w:b/>
          <w:color w:val="1B365D"/>
          <w:sz w:val="19"/>
        </w:rPr>
        <w:t xml:space="preserve">FR-5.2 </w:t>
      </w:r>
      <w:r>
        <w:rPr>
          <w:rFonts w:ascii="Arial" w:hAnsi="Arial"/>
          <w:color w:val="2D3748"/>
          <w:sz w:val="19"/>
        </w:rPr>
        <w:t>Audit Trail Logging: Every selection and coverage view event by a CSR must be logged to the immutable audit ledger with timestamp, operator ID, member ID, and dependent ID.</w:t>
      </w:r>
    </w:p>
    <w:p>
      <w:pPr>
        <w:keepNext/>
        <w:spacing w:before="320" w:after="120"/>
      </w:pPr>
      <w:r>
        <w:rPr>
          <w:rFonts w:ascii="Arial" w:hAnsi="Arial"/>
          <w:b/>
          <w:color w:val="1B365D"/>
          <w:sz w:val="30"/>
        </w:rPr>
        <w:t>5. Non-Functional Requirements (NFR)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3312"/>
        <w:gridCol w:w="3312"/>
        <w:gridCol w:w="3312"/>
      </w:tblGrid>
      <w:tr>
        <w:tc>
          <w:tcPr>
            <w:tcW w:type="dxa" w:w="2592"/>
            <w:tcMar>
              <w:top w:w="60" w:type="dxa"/>
              <w:bottom w:w="60" w:type="dxa"/>
              <w:left w:w="80" w:type="dxa"/>
              <w:right w:w="80" w:type="dxa"/>
            </w:tcMar>
            <w:shd w:fill="1B365D"/>
          </w:tcPr>
          <w:p>
            <w:pPr>
              <w:spacing w:after="0"/>
            </w:pPr>
            <w:r>
              <w:rPr>
                <w:b/>
                <w:color w:val="FFFFFF"/>
                <w:sz w:val="17"/>
              </w:rPr>
              <w:t>NFR Category</w:t>
            </w:r>
          </w:p>
        </w:tc>
        <w:tc>
          <w:tcPr>
            <w:tcW w:type="dxa" w:w="3672"/>
            <w:tcMar>
              <w:top w:w="60" w:type="dxa"/>
              <w:bottom w:w="60" w:type="dxa"/>
              <w:left w:w="80" w:type="dxa"/>
              <w:right w:w="80" w:type="dxa"/>
            </w:tcMar>
            <w:shd w:fill="1B365D"/>
          </w:tcPr>
          <w:p>
            <w:pPr>
              <w:spacing w:after="0"/>
            </w:pPr>
            <w:r>
              <w:rPr>
                <w:b/>
                <w:color w:val="FFFFFF"/>
                <w:sz w:val="17"/>
              </w:rPr>
              <w:t>Target Metric / Standard</w:t>
            </w:r>
          </w:p>
        </w:tc>
        <w:tc>
          <w:tcPr>
            <w:tcW w:type="dxa" w:w="3672"/>
            <w:tcMar>
              <w:top w:w="60" w:type="dxa"/>
              <w:bottom w:w="60" w:type="dxa"/>
              <w:left w:w="80" w:type="dxa"/>
              <w:right w:w="80" w:type="dxa"/>
            </w:tcMar>
            <w:shd w:fill="1B365D"/>
          </w:tcPr>
          <w:p>
            <w:pPr>
              <w:spacing w:after="0"/>
            </w:pPr>
            <w:r>
              <w:rPr>
                <w:b/>
                <w:color w:val="FFFFFF"/>
                <w:sz w:val="17"/>
              </w:rPr>
              <w:t>Verification &amp; Enforcement Method</w:t>
            </w:r>
          </w:p>
        </w:tc>
      </w:tr>
      <w:tr>
        <w:tc>
          <w:tcPr>
            <w:tcW w:type="dxa" w:w="2592"/>
            <w:tcMar>
              <w:top w:w="60" w:type="dxa"/>
              <w:bottom w:w="60" w:type="dxa"/>
              <w:left w:w="80" w:type="dxa"/>
              <w:right w:w="80" w:type="dxa"/>
            </w:tcMar>
            <w:shd w:fill="FFFFFF"/>
          </w:tcPr>
          <w:p>
            <w:pPr>
              <w:spacing w:after="0"/>
            </w:pPr>
            <w:r>
              <w:rPr>
                <w:b/>
                <w:color w:val="1B365D"/>
                <w:sz w:val="17"/>
              </w:rPr>
              <w:t>Performance &amp; Latency</w:t>
            </w:r>
          </w:p>
        </w:tc>
        <w:tc>
          <w:tcPr>
            <w:tcW w:type="dxa" w:w="3672"/>
            <w:tcMar>
              <w:top w:w="60" w:type="dxa"/>
              <w:bottom w:w="60" w:type="dxa"/>
              <w:left w:w="80" w:type="dxa"/>
              <w:right w:w="80" w:type="dxa"/>
            </w:tcMar>
            <w:shd w:fill="FFFFFF"/>
          </w:tcPr>
          <w:p>
            <w:pPr>
              <w:spacing w:after="0"/>
            </w:pPr>
            <w:r>
              <w:rPr>
                <w:color w:val="2D3748"/>
                <w:sz w:val="17"/>
              </w:rPr>
              <w:t>Person card switch latency &lt; 100ms; API response &lt; 400ms (P95).</w:t>
            </w:r>
          </w:p>
        </w:tc>
        <w:tc>
          <w:tcPr>
            <w:tcW w:type="dxa" w:w="3672"/>
            <w:tcMar>
              <w:top w:w="60" w:type="dxa"/>
              <w:bottom w:w="60" w:type="dxa"/>
              <w:left w:w="80" w:type="dxa"/>
              <w:right w:w="80" w:type="dxa"/>
            </w:tcMar>
            <w:shd w:fill="FFFFFF"/>
          </w:tcPr>
          <w:p>
            <w:pPr>
              <w:spacing w:after="0"/>
            </w:pPr>
            <w:r>
              <w:rPr>
                <w:color w:val="2D3748"/>
                <w:sz w:val="17"/>
              </w:rPr>
              <w:t>Lighthouse audit; automated latency benchmarks under 500 concurrent synthetic requests.</w:t>
            </w:r>
          </w:p>
        </w:tc>
      </w:tr>
      <w:tr>
        <w:tc>
          <w:tcPr>
            <w:tcW w:type="dxa" w:w="2592"/>
            <w:tcMar>
              <w:top w:w="60" w:type="dxa"/>
              <w:bottom w:w="60" w:type="dxa"/>
              <w:left w:w="80" w:type="dxa"/>
              <w:right w:w="80" w:type="dxa"/>
            </w:tcMar>
            <w:shd w:fill="F8FAFC"/>
          </w:tcPr>
          <w:p>
            <w:pPr>
              <w:spacing w:after="0"/>
            </w:pPr>
            <w:r>
              <w:rPr>
                <w:b/>
                <w:color w:val="1B365D"/>
                <w:sz w:val="17"/>
              </w:rPr>
              <w:t>Accessibility (a11y)</w:t>
            </w:r>
          </w:p>
        </w:tc>
        <w:tc>
          <w:tcPr>
            <w:tcW w:type="dxa" w:w="3672"/>
            <w:tcMar>
              <w:top w:w="60" w:type="dxa"/>
              <w:bottom w:w="60" w:type="dxa"/>
              <w:left w:w="80" w:type="dxa"/>
              <w:right w:w="80" w:type="dxa"/>
            </w:tcMar>
            <w:shd w:fill="F8FAFC"/>
          </w:tcPr>
          <w:p>
            <w:pPr>
              <w:spacing w:after="0"/>
            </w:pPr>
            <w:r>
              <w:rPr>
                <w:color w:val="2D3748"/>
                <w:sz w:val="17"/>
              </w:rPr>
              <w:t>WCAG 2.1 Level AA compliance; 100% keyboard navigable (Tab/Arrow/Enter); ARIA roles.</w:t>
            </w:r>
          </w:p>
        </w:tc>
        <w:tc>
          <w:tcPr>
            <w:tcW w:type="dxa" w:w="3672"/>
            <w:tcMar>
              <w:top w:w="60" w:type="dxa"/>
              <w:bottom w:w="60" w:type="dxa"/>
              <w:left w:w="80" w:type="dxa"/>
              <w:right w:w="80" w:type="dxa"/>
            </w:tcMar>
            <w:shd w:fill="F8FAFC"/>
          </w:tcPr>
          <w:p>
            <w:pPr>
              <w:spacing w:after="0"/>
            </w:pPr>
            <w:r>
              <w:rPr>
                <w:color w:val="2D3748"/>
                <w:sz w:val="17"/>
              </w:rPr>
              <w:t>Axe-core automated test suite; manual NVDA &amp; VoiceOver screen reader validation.</w:t>
            </w:r>
          </w:p>
        </w:tc>
      </w:tr>
      <w:tr>
        <w:tc>
          <w:tcPr>
            <w:tcW w:type="dxa" w:w="2592"/>
            <w:tcMar>
              <w:top w:w="60" w:type="dxa"/>
              <w:bottom w:w="60" w:type="dxa"/>
              <w:left w:w="80" w:type="dxa"/>
              <w:right w:w="80" w:type="dxa"/>
            </w:tcMar>
            <w:shd w:fill="FFFFFF"/>
          </w:tcPr>
          <w:p>
            <w:pPr>
              <w:spacing w:after="0"/>
            </w:pPr>
            <w:r>
              <w:rPr>
                <w:b/>
                <w:color w:val="1B365D"/>
                <w:sz w:val="17"/>
              </w:rPr>
              <w:t>Security &amp; Privacy</w:t>
            </w:r>
          </w:p>
        </w:tc>
        <w:tc>
          <w:tcPr>
            <w:tcW w:type="dxa" w:w="3672"/>
            <w:tcMar>
              <w:top w:w="60" w:type="dxa"/>
              <w:bottom w:w="60" w:type="dxa"/>
              <w:left w:w="80" w:type="dxa"/>
              <w:right w:w="80" w:type="dxa"/>
            </w:tcMar>
            <w:shd w:fill="FFFFFF"/>
          </w:tcPr>
          <w:p>
            <w:pPr>
              <w:spacing w:after="0"/>
            </w:pPr>
            <w:r>
              <w:rPr>
                <w:color w:val="2D3748"/>
                <w:sz w:val="17"/>
              </w:rPr>
              <w:t>Zero PII/PHI in query strings or browser history; Tokenized session claims; Field-level masking.</w:t>
            </w:r>
          </w:p>
        </w:tc>
        <w:tc>
          <w:tcPr>
            <w:tcW w:type="dxa" w:w="3672"/>
            <w:tcMar>
              <w:top w:w="60" w:type="dxa"/>
              <w:bottom w:w="60" w:type="dxa"/>
              <w:left w:w="80" w:type="dxa"/>
              <w:right w:w="80" w:type="dxa"/>
            </w:tcMar>
            <w:shd w:fill="FFFFFF"/>
          </w:tcPr>
          <w:p>
            <w:pPr>
              <w:spacing w:after="0"/>
            </w:pPr>
            <w:r>
              <w:rPr>
                <w:color w:val="2D3748"/>
                <w:sz w:val="17"/>
              </w:rPr>
              <w:t>OWASP Top 10 penetration testing; static SAST security scan; synthetic data verification.</w:t>
            </w:r>
          </w:p>
        </w:tc>
      </w:tr>
      <w:tr>
        <w:tc>
          <w:tcPr>
            <w:tcW w:type="dxa" w:w="2592"/>
            <w:tcMar>
              <w:top w:w="60" w:type="dxa"/>
              <w:bottom w:w="60" w:type="dxa"/>
              <w:left w:w="80" w:type="dxa"/>
              <w:right w:w="80" w:type="dxa"/>
            </w:tcMar>
            <w:shd w:fill="F8FAFC"/>
          </w:tcPr>
          <w:p>
            <w:pPr>
              <w:spacing w:after="0"/>
            </w:pPr>
            <w:r>
              <w:rPr>
                <w:b/>
                <w:color w:val="1B365D"/>
                <w:sz w:val="17"/>
              </w:rPr>
              <w:t>Device Responsiveness</w:t>
            </w:r>
          </w:p>
        </w:tc>
        <w:tc>
          <w:tcPr>
            <w:tcW w:type="dxa" w:w="3672"/>
            <w:tcMar>
              <w:top w:w="60" w:type="dxa"/>
              <w:bottom w:w="60" w:type="dxa"/>
              <w:left w:w="80" w:type="dxa"/>
              <w:right w:w="80" w:type="dxa"/>
            </w:tcMar>
            <w:shd w:fill="F8FAFC"/>
          </w:tcPr>
          <w:p>
            <w:pPr>
              <w:spacing w:after="0"/>
            </w:pPr>
            <w:r>
              <w:rPr>
                <w:color w:val="2D3748"/>
                <w:sz w:val="17"/>
              </w:rPr>
              <w:t>Seamless operation across Viewports: Mobile (375px+), Tablet (768px+), Desktop (1280px+).</w:t>
            </w:r>
          </w:p>
        </w:tc>
        <w:tc>
          <w:tcPr>
            <w:tcW w:type="dxa" w:w="3672"/>
            <w:tcMar>
              <w:top w:w="60" w:type="dxa"/>
              <w:bottom w:w="60" w:type="dxa"/>
              <w:left w:w="80" w:type="dxa"/>
              <w:right w:w="80" w:type="dxa"/>
            </w:tcMar>
            <w:shd w:fill="F8FAFC"/>
          </w:tcPr>
          <w:p>
            <w:pPr>
              <w:spacing w:after="0"/>
            </w:pPr>
            <w:r>
              <w:rPr>
                <w:color w:val="2D3748"/>
                <w:sz w:val="17"/>
              </w:rPr>
              <w:t>Responsive viewport regression testing in Playwright / Cypress cross-browser grid.</w:t>
            </w:r>
          </w:p>
        </w:tc>
      </w:tr>
    </w:tbl>
    <w:p>
      <w:pPr>
        <w:spacing w:after="120"/>
      </w:pPr>
    </w:p>
    <w:p>
      <w:pPr>
        <w:keepNext/>
        <w:spacing w:before="320" w:after="120"/>
      </w:pPr>
      <w:r>
        <w:rPr>
          <w:rFonts w:ascii="Arial" w:hAnsi="Arial"/>
          <w:b/>
          <w:color w:val="1B365D"/>
          <w:sz w:val="30"/>
        </w:rPr>
        <w:t>6. UI/UX Wireframe &amp; Interaction Blueprint</w:t>
      </w:r>
    </w:p>
    <w:p>
      <w:r>
        <w:t>Below is the textual wireframe layout specification for the remediated MyMember Benefits Portal coverage screen illustrating the side-by-side disambiguation cards and dental coverage container:</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24" w:space="0" w:color="2C5282"/>
              <w:top w:val="none" w:sz="0" w:space="0" w:color="auto"/>
              <w:right w:val="none" w:sz="0" w:space="0" w:color="auto"/>
              <w:bottom w:val="none" w:sz="0" w:space="0" w:color="auto"/>
            </w:tcBorders>
          </w:tcPr>
          <w:p>
            <w:pPr>
              <w:spacing w:before="0" w:after="40"/>
            </w:pPr>
            <w:r>
              <w:rPr>
                <w:rFonts w:ascii="Arial" w:hAnsi="Arial"/>
                <w:b/>
                <w:color w:val="1B365D"/>
                <w:sz w:val="21"/>
              </w:rPr>
              <w:t>🖥️  Textual Wireframe: Person Disambiguation Grid &amp; Dental Plan View</w:t>
            </w:r>
          </w:p>
          <w:p>
            <w:pPr>
              <w:spacing w:before="40" w:after="40"/>
            </w:pPr>
            <w:r>
              <w:rPr>
                <w:rFonts w:ascii="Arial" w:hAnsi="Arial"/>
                <w:color w:val="2D3748"/>
                <w:sz w:val="19"/>
              </w:rPr>
              <w:t>+----------------------------------------------------------------------------------------------------+</w:t>
            </w:r>
          </w:p>
          <w:p>
            <w:pPr>
              <w:spacing w:before="40" w:after="40"/>
            </w:pPr>
            <w:r>
              <w:rPr>
                <w:rFonts w:ascii="Arial" w:hAnsi="Arial"/>
                <w:color w:val="2D3748"/>
                <w:sz w:val="19"/>
              </w:rPr>
              <w:t>|  MyMember Benefits Portal | Coverage &amp; Benefits Hub                                [Profile: Mock M.] |</w:t>
            </w:r>
          </w:p>
          <w:p>
            <w:pPr>
              <w:spacing w:before="40" w:after="40"/>
            </w:pPr>
            <w:r>
              <w:rPr>
                <w:rFonts w:ascii="Arial" w:hAnsi="Arial"/>
                <w:color w:val="2D3748"/>
                <w:sz w:val="19"/>
              </w:rPr>
              <w:t>+----------------------------------------------------------------------------------------------------+</w:t>
            </w:r>
          </w:p>
          <w:p>
            <w:pPr>
              <w:spacing w:before="40" w:after="40"/>
            </w:pPr>
            <w:r>
              <w:rPr>
                <w:rFonts w:ascii="Arial" w:hAnsi="Arial"/>
                <w:color w:val="2D3748"/>
                <w:sz w:val="19"/>
              </w:rPr>
              <w:t>|  Select Family Member to View Covered Benefits:                                                     |</w:t>
            </w:r>
          </w:p>
          <w:p>
            <w:pPr>
              <w:spacing w:before="40" w:after="40"/>
            </w:pPr>
            <w:r>
              <w:rPr>
                <w:rFonts w:ascii="Arial" w:hAnsi="Arial"/>
                <w:color w:val="2D3748"/>
                <w:sz w:val="19"/>
              </w:rPr>
              <w:t>|                                                                                                    |</w:t>
            </w:r>
          </w:p>
          <w:p>
            <w:pPr>
              <w:spacing w:before="40" w:after="40"/>
            </w:pPr>
            <w:r>
              <w:rPr>
                <w:rFonts w:ascii="Arial" w:hAnsi="Arial"/>
                <w:color w:val="2D3748"/>
                <w:sz w:val="19"/>
              </w:rPr>
              <w:t>|  +---------------------------+  +---------------------------+  +---------------------------+       |</w:t>
            </w:r>
          </w:p>
          <w:p>
            <w:pPr>
              <w:spacing w:before="40" w:after="40"/>
            </w:pPr>
            <w:r>
              <w:rPr>
                <w:rFonts w:ascii="Arial" w:hAnsi="Arial"/>
                <w:color w:val="2D3748"/>
                <w:sz w:val="19"/>
              </w:rPr>
              <w:t>|  | Mock Member 0012          |  | Mock Member 0012          |  | Mock Member 0012          |       |</w:t>
            </w:r>
          </w:p>
          <w:p>
            <w:pPr>
              <w:spacing w:before="40" w:after="40"/>
            </w:pPr>
            <w:r>
              <w:rPr>
                <w:rFonts w:ascii="Arial" w:hAnsi="Arial"/>
                <w:color w:val="2D3748"/>
                <w:sz w:val="19"/>
              </w:rPr>
              <w:t>|  | [ PRIMARY SUBSCRIBER ]    |  | [ SPOUSE - SELECTED * ]   |  | [ CHILD ]                 |       |</w:t>
            </w:r>
          </w:p>
          <w:p>
            <w:pPr>
              <w:spacing w:before="40" w:after="40"/>
            </w:pPr>
            <w:r>
              <w:rPr>
                <w:rFonts w:ascii="Arial" w:hAnsi="Arial"/>
                <w:color w:val="2D3748"/>
                <w:sz w:val="19"/>
              </w:rPr>
              <w:t>|  | ID: MBR-***-0012          |  | ID: DEP-***-0012          |  | ID: DEP-***-9844          |       |</w:t>
            </w:r>
          </w:p>
          <w:p>
            <w:pPr>
              <w:spacing w:before="40" w:after="40"/>
            </w:pPr>
            <w:r>
              <w:rPr>
                <w:rFonts w:ascii="Arial" w:hAnsi="Arial"/>
                <w:color w:val="2D3748"/>
                <w:sz w:val="19"/>
              </w:rPr>
              <w:t>|  | DOB: Jan 13, 1982         |  | DOB: Mar 22, 1983         |  | DOB: Nov 05, 2014         |       |</w:t>
            </w:r>
          </w:p>
          <w:p>
            <w:pPr>
              <w:spacing w:before="40" w:after="40"/>
            </w:pPr>
            <w:r>
              <w:rPr>
                <w:rFonts w:ascii="Arial" w:hAnsi="Arial"/>
                <w:color w:val="2D3748"/>
                <w:sz w:val="19"/>
              </w:rPr>
              <w:t>|  +---------------------------+  +---------------------------+  +---------------------------+       |</w:t>
            </w:r>
          </w:p>
          <w:p>
            <w:pPr>
              <w:spacing w:before="40" w:after="40"/>
            </w:pPr>
            <w:r>
              <w:rPr>
                <w:rFonts w:ascii="Arial" w:hAnsi="Arial"/>
                <w:color w:val="2D3748"/>
                <w:sz w:val="19"/>
              </w:rPr>
              <w:t>|                                        ▲ (Active Card Border: 2px Deep Blue #1B365D + Checkmark)   |</w:t>
            </w:r>
          </w:p>
          <w:p>
            <w:pPr>
              <w:spacing w:before="40" w:after="40"/>
            </w:pPr>
            <w:r>
              <w:rPr>
                <w:rFonts w:ascii="Arial" w:hAnsi="Arial"/>
                <w:color w:val="2D3748"/>
                <w:sz w:val="19"/>
              </w:rPr>
              <w:t>+----------------------------------------------------------------------------------------------------+</w:t>
            </w:r>
          </w:p>
          <w:p>
            <w:pPr>
              <w:spacing w:before="40" w:after="40"/>
            </w:pPr>
            <w:r>
              <w:rPr>
                <w:rFonts w:ascii="Arial" w:hAnsi="Arial"/>
                <w:color w:val="2D3748"/>
                <w:sz w:val="19"/>
              </w:rPr>
              <w:t>|  Active Selection: Mock Member 0012 (Spouse) | Identifier: MOCKDEP000012                           |</w:t>
            </w:r>
          </w:p>
          <w:p>
            <w:pPr>
              <w:spacing w:before="40" w:after="40"/>
            </w:pPr>
            <w:r>
              <w:rPr>
                <w:rFonts w:ascii="Arial" w:hAnsi="Arial"/>
                <w:color w:val="2D3748"/>
                <w:sz w:val="19"/>
              </w:rPr>
              <w:t>|  [ Medical Coverage ]   [★ DENTAL COVERAGE ★]   [ Vision Coverage ]   [ Prescription Rx ]          |</w:t>
            </w:r>
          </w:p>
          <w:p>
            <w:pPr>
              <w:spacing w:before="40" w:after="40"/>
            </w:pPr>
            <w:r>
              <w:rPr>
                <w:rFonts w:ascii="Arial" w:hAnsi="Arial"/>
                <w:color w:val="2D3748"/>
                <w:sz w:val="19"/>
              </w:rPr>
              <w:t>+----------------------------------------------------------------------------------------------------+</w:t>
            </w:r>
          </w:p>
          <w:p>
            <w:pPr>
              <w:spacing w:before="40" w:after="40"/>
            </w:pPr>
            <w:r>
              <w:rPr>
                <w:rFonts w:ascii="Arial" w:hAnsi="Arial"/>
                <w:color w:val="2D3748"/>
                <w:sz w:val="19"/>
              </w:rPr>
              <w:t>|  DENTAL PLAN SUMMARY: Premium Dental Choice Plus (PPO)                                              |</w:t>
            </w:r>
          </w:p>
          <w:p>
            <w:pPr>
              <w:spacing w:before="40" w:after="40"/>
            </w:pPr>
            <w:r>
              <w:rPr>
                <w:rFonts w:ascii="Arial" w:hAnsi="Arial"/>
                <w:color w:val="2D3748"/>
                <w:sz w:val="19"/>
              </w:rPr>
              <w:t>|  • Policy ID: POL-DEN-8832014-02            • Group Number: GRP-77402                               |</w:t>
            </w:r>
          </w:p>
          <w:p>
            <w:pPr>
              <w:spacing w:before="40" w:after="40"/>
            </w:pPr>
            <w:r>
              <w:rPr>
                <w:rFonts w:ascii="Arial" w:hAnsi="Arial"/>
                <w:color w:val="2D3748"/>
                <w:sz w:val="19"/>
              </w:rPr>
              <w:t>|  • Status: Active (Effective 01-Jan-2026)   • Network: National Dental PPO Network                 |</w:t>
            </w:r>
          </w:p>
          <w:p>
            <w:pPr>
              <w:spacing w:before="40" w:after="40"/>
            </w:pPr>
            <w:r>
              <w:rPr>
                <w:rFonts w:ascii="Arial" w:hAnsi="Arial"/>
                <w:color w:val="2D3748"/>
                <w:sz w:val="19"/>
              </w:rPr>
              <w:t>|  ------------------------------------------------------------------------------------------------  |</w:t>
            </w:r>
          </w:p>
          <w:p>
            <w:pPr>
              <w:spacing w:before="40" w:after="40"/>
            </w:pPr>
            <w:r>
              <w:rPr>
                <w:rFonts w:ascii="Arial" w:hAnsi="Arial"/>
                <w:color w:val="2D3748"/>
                <w:sz w:val="19"/>
              </w:rPr>
              <w:t>|  Coverage Breakdown for Spouse:                                                                    |</w:t>
            </w:r>
          </w:p>
          <w:p>
            <w:pPr>
              <w:spacing w:before="40" w:after="40"/>
            </w:pPr>
            <w:r>
              <w:rPr>
                <w:rFonts w:ascii="Arial" w:hAnsi="Arial"/>
                <w:color w:val="2D3748"/>
                <w:sz w:val="19"/>
              </w:rPr>
              <w:t>|  - Preventive Care (Cleanings, Exams, X-Rays): 100% In-Network / 80% Out-of-Network (No Deductible) |</w:t>
            </w:r>
          </w:p>
          <w:p>
            <w:pPr>
              <w:spacing w:before="40" w:after="40"/>
            </w:pPr>
            <w:r>
              <w:rPr>
                <w:rFonts w:ascii="Arial" w:hAnsi="Arial"/>
                <w:color w:val="2D3748"/>
                <w:sz w:val="19"/>
              </w:rPr>
              <w:t>|  - Basic Restorative (Fillings, Simple Extractions): 80% In-Network ($50 Deductible Applies)       |</w:t>
            </w:r>
          </w:p>
          <w:p>
            <w:pPr>
              <w:spacing w:before="40" w:after="40"/>
            </w:pPr>
            <w:r>
              <w:rPr>
                <w:rFonts w:ascii="Arial" w:hAnsi="Arial"/>
                <w:color w:val="2D3748"/>
                <w:sz w:val="19"/>
              </w:rPr>
              <w:t>|  - Major Restorative (Crowns, Bridges, Dentures): 50% In-Network ($1,500 Annual Maximum)           |</w:t>
            </w:r>
          </w:p>
          <w:p>
            <w:pPr>
              <w:spacing w:before="40" w:after="40"/>
            </w:pPr>
            <w:r>
              <w:rPr>
                <w:rFonts w:ascii="Arial" w:hAnsi="Arial"/>
                <w:color w:val="2D3748"/>
                <w:sz w:val="19"/>
              </w:rPr>
              <w:t>|  - Orthodontia (Adult &amp; Child): 50% Lifetime Max $1,000                                            |</w:t>
            </w:r>
          </w:p>
          <w:p>
            <w:pPr>
              <w:spacing w:before="40" w:after="40"/>
            </w:pPr>
            <w:r>
              <w:rPr>
                <w:rFonts w:ascii="Arial" w:hAnsi="Arial"/>
                <w:color w:val="2D3748"/>
                <w:sz w:val="19"/>
              </w:rPr>
              <w:t>|                                                                                                    |</w:t>
            </w:r>
          </w:p>
          <w:p>
            <w:pPr>
              <w:spacing w:before="40" w:after="40"/>
            </w:pPr>
            <w:r>
              <w:rPr>
                <w:rFonts w:ascii="Arial" w:hAnsi="Arial"/>
                <w:color w:val="2D3748"/>
                <w:sz w:val="19"/>
              </w:rPr>
              <w:t>|  [ Download Dental ID Card (PDF) ]     [ Find In-Network Dentists ]     [ Submit / View Claims ]   |</w:t>
            </w:r>
          </w:p>
          <w:p>
            <w:pPr>
              <w:spacing w:before="40" w:after="40"/>
            </w:pPr>
            <w:r>
              <w:rPr>
                <w:rFonts w:ascii="Arial" w:hAnsi="Arial"/>
                <w:color w:val="2D3748"/>
                <w:sz w:val="19"/>
              </w:rPr>
              <w:t>+----------------------------------------------------------------------------------------------------+</w:t>
            </w:r>
          </w:p>
        </w:tc>
      </w:tr>
    </w:tbl>
    <w:p>
      <w:pPr>
        <w:spacing w:before="0" w:after="80"/>
      </w:pPr>
    </w:p>
    <w:p>
      <w:pPr>
        <w:keepNext/>
        <w:spacing w:before="320" w:after="120"/>
      </w:pPr>
      <w:r>
        <w:rPr>
          <w:rFonts w:ascii="Arial" w:hAnsi="Arial"/>
          <w:b/>
          <w:color w:val="1B365D"/>
          <w:sz w:val="30"/>
        </w:rPr>
        <w:t>7. Technical Architecture &amp; API Specifications</w:t>
      </w:r>
    </w:p>
    <w:p>
      <w:pPr>
        <w:keepNext/>
        <w:spacing w:before="240" w:after="80"/>
      </w:pPr>
      <w:r>
        <w:rPr>
          <w:rFonts w:ascii="Arial" w:hAnsi="Arial"/>
          <w:b/>
          <w:color w:val="2C5282"/>
          <w:sz w:val="24"/>
        </w:rPr>
        <w:t>7.1 Endpoint Specification: Get Family Dependents</w:t>
      </w:r>
    </w:p>
    <w:p>
      <w:r>
        <w:t>Retrieves the full list of enrolled members with relationship taxonomy and masked tokens.</w:t>
      </w:r>
    </w:p>
    <w:p>
      <w:pPr>
        <w:pStyle w:val="ListBullet"/>
        <w:spacing w:before="20" w:after="40"/>
      </w:pPr>
      <w:r>
        <w:rPr>
          <w:rFonts w:ascii="Arial" w:hAnsi="Arial"/>
          <w:b/>
          <w:color w:val="1B365D"/>
          <w:sz w:val="19"/>
        </w:rPr>
        <w:t xml:space="preserve">Endpoint: </w:t>
      </w:r>
      <w:r>
        <w:rPr>
          <w:rFonts w:ascii="Arial" w:hAnsi="Arial"/>
          <w:color w:val="2D3748"/>
          <w:sz w:val="19"/>
        </w:rPr>
        <w:t>Method &amp; URL: `GET /api/v2/members/{member_id}/dependents`</w:t>
      </w:r>
    </w:p>
    <w:p>
      <w:pPr>
        <w:pStyle w:val="ListBullet"/>
        <w:spacing w:before="20" w:after="40"/>
      </w:pPr>
      <w:r>
        <w:rPr>
          <w:rFonts w:ascii="Arial" w:hAnsi="Arial"/>
          <w:b/>
          <w:color w:val="1B365D"/>
          <w:sz w:val="19"/>
        </w:rPr>
        <w:t xml:space="preserve">Headers: </w:t>
      </w:r>
      <w:r>
        <w:rPr>
          <w:rFonts w:ascii="Arial" w:hAnsi="Arial"/>
          <w:color w:val="2D3748"/>
          <w:sz w:val="19"/>
        </w:rPr>
        <w:t>Headers: `Authorization: Bearer &lt;JWT&gt;`, `X-Correlation-ID: &lt;UUID&gt;`</w:t>
      </w:r>
    </w:p>
    <w:tbl>
      <w:tblPr>
        <w:tblW w:type="auto" w:w="0"/>
        <w:jc w:val="center"/>
        <w:tblLayout w:type="fixed"/>
        <w:tblLook w:firstColumn="1" w:firstRow="1" w:lastColumn="0" w:lastRow="0" w:noHBand="0" w:noVBand="1" w:val="04A0"/>
      </w:tblPr>
      <w:tblGrid>
        <w:gridCol w:w="9936"/>
      </w:tblGrid>
      <w:tr>
        <w:tc>
          <w:tcPr>
            <w:tcW w:type="dxa" w:w="9936"/>
            <w:shd w:fill="F0FDFA"/>
            <w:tcMar>
              <w:top w:w="140" w:type="dxa"/>
              <w:bottom w:w="140" w:type="dxa"/>
              <w:left w:w="180" w:type="dxa"/>
              <w:right w:w="180" w:type="dxa"/>
            </w:tcMar>
            <w:tcBorders>
              <w:left w:val="single" w:sz="24" w:space="0" w:color="0D9488"/>
              <w:top w:val="none" w:sz="0" w:space="0" w:color="auto"/>
              <w:right w:val="none" w:sz="0" w:space="0" w:color="auto"/>
              <w:bottom w:val="none" w:sz="0" w:space="0" w:color="auto"/>
            </w:tcBorders>
          </w:tcPr>
          <w:p>
            <w:pPr>
              <w:spacing w:before="0" w:after="40"/>
            </w:pPr>
            <w:r>
              <w:rPr>
                <w:rFonts w:ascii="Arial" w:hAnsi="Arial"/>
                <w:b/>
                <w:color w:val="1B365D"/>
                <w:sz w:val="21"/>
              </w:rPr>
              <w:t>⚡  JSON Response Payload: GET /api/v2/members/{member_id}/dependents</w:t>
            </w:r>
          </w:p>
          <w:p>
            <w:pPr>
              <w:spacing w:before="40" w:after="40"/>
            </w:pPr>
            <w:r>
              <w:rPr>
                <w:rFonts w:ascii="Arial" w:hAnsi="Arial"/>
                <w:color w:val="2D3748"/>
                <w:sz w:val="19"/>
              </w:rPr>
              <w:t>{</w:t>
            </w:r>
          </w:p>
          <w:p>
            <w:pPr>
              <w:spacing w:before="40" w:after="40"/>
            </w:pPr>
            <w:r>
              <w:rPr>
                <w:rFonts w:ascii="Arial" w:hAnsi="Arial"/>
                <w:color w:val="2D3748"/>
                <w:sz w:val="19"/>
              </w:rPr>
              <w:t xml:space="preserve">  "status": "success",</w:t>
            </w:r>
          </w:p>
          <w:p>
            <w:pPr>
              <w:spacing w:before="40" w:after="40"/>
            </w:pPr>
            <w:r>
              <w:rPr>
                <w:rFonts w:ascii="Arial" w:hAnsi="Arial"/>
                <w:color w:val="2D3748"/>
                <w:sz w:val="19"/>
              </w:rPr>
              <w:t xml:space="preserve">  "memberId": "MOCKMBR000012",</w:t>
            </w:r>
          </w:p>
          <w:p>
            <w:pPr>
              <w:spacing w:before="40" w:after="40"/>
            </w:pPr>
            <w:r>
              <w:rPr>
                <w:rFonts w:ascii="Arial" w:hAnsi="Arial"/>
                <w:color w:val="2D3748"/>
                <w:sz w:val="19"/>
              </w:rPr>
              <w:t xml:space="preserve">  "persons": [</w:t>
            </w:r>
          </w:p>
          <w:p>
            <w:pPr>
              <w:spacing w:before="40" w:after="40"/>
            </w:pPr>
            <w:r>
              <w:rPr>
                <w:rFonts w:ascii="Arial" w:hAnsi="Arial"/>
                <w:color w:val="2D3748"/>
                <w:sz w:val="19"/>
              </w:rPr>
              <w:t xml:space="preserve">    {</w:t>
            </w:r>
          </w:p>
          <w:p>
            <w:pPr>
              <w:spacing w:before="40" w:after="40"/>
            </w:pPr>
            <w:r>
              <w:rPr>
                <w:rFonts w:ascii="Arial" w:hAnsi="Arial"/>
                <w:color w:val="2D3748"/>
                <w:sz w:val="19"/>
              </w:rPr>
              <w:t xml:space="preserve">      "id": "MOCKMBR000012",</w:t>
            </w:r>
          </w:p>
          <w:p>
            <w:pPr>
              <w:spacing w:before="40" w:after="40"/>
            </w:pPr>
            <w:r>
              <w:rPr>
                <w:rFonts w:ascii="Arial" w:hAnsi="Arial"/>
                <w:color w:val="2D3748"/>
                <w:sz w:val="19"/>
              </w:rPr>
              <w:t xml:space="preserve">      "relationship": "PRIMARY",</w:t>
            </w:r>
          </w:p>
          <w:p>
            <w:pPr>
              <w:spacing w:before="40" w:after="40"/>
            </w:pPr>
            <w:r>
              <w:rPr>
                <w:rFonts w:ascii="Arial" w:hAnsi="Arial"/>
                <w:color w:val="2D3748"/>
                <w:sz w:val="19"/>
              </w:rPr>
              <w:t xml:space="preserve">      "relationshipLabel": "Primary Subscriber",</w:t>
            </w:r>
          </w:p>
          <w:p>
            <w:pPr>
              <w:spacing w:before="40" w:after="40"/>
            </w:pPr>
            <w:r>
              <w:rPr>
                <w:rFonts w:ascii="Arial" w:hAnsi="Arial"/>
                <w:color w:val="2D3748"/>
                <w:sz w:val="19"/>
              </w:rPr>
              <w:t xml:space="preserve">      "firstName": "Mock",</w:t>
            </w:r>
          </w:p>
          <w:p>
            <w:pPr>
              <w:spacing w:before="40" w:after="40"/>
            </w:pPr>
            <w:r>
              <w:rPr>
                <w:rFonts w:ascii="Arial" w:hAnsi="Arial"/>
                <w:color w:val="2D3748"/>
                <w:sz w:val="19"/>
              </w:rPr>
              <w:t xml:space="preserve">      "lastName": "Member 0012",</w:t>
            </w:r>
          </w:p>
          <w:p>
            <w:pPr>
              <w:spacing w:before="40" w:after="40"/>
            </w:pPr>
            <w:r>
              <w:rPr>
                <w:rFonts w:ascii="Arial" w:hAnsi="Arial"/>
                <w:color w:val="2D3748"/>
                <w:sz w:val="19"/>
              </w:rPr>
              <w:t xml:space="preserve">      "maskedId": "MBR-***-0012",</w:t>
            </w:r>
          </w:p>
          <w:p>
            <w:pPr>
              <w:spacing w:before="40" w:after="40"/>
            </w:pPr>
            <w:r>
              <w:rPr>
                <w:rFonts w:ascii="Arial" w:hAnsi="Arial"/>
                <w:color w:val="2D3748"/>
                <w:sz w:val="19"/>
              </w:rPr>
              <w:t xml:space="preserve">      "dateOfBirth": "1982-01-13"</w:t>
            </w:r>
          </w:p>
          <w:p>
            <w:pPr>
              <w:spacing w:before="40" w:after="40"/>
            </w:pPr>
            <w:r>
              <w:rPr>
                <w:rFonts w:ascii="Arial" w:hAnsi="Arial"/>
                <w:color w:val="2D3748"/>
                <w:sz w:val="19"/>
              </w:rPr>
              <w:t xml:space="preserve">    },</w:t>
            </w:r>
          </w:p>
          <w:p>
            <w:pPr>
              <w:spacing w:before="40" w:after="40"/>
            </w:pPr>
            <w:r>
              <w:rPr>
                <w:rFonts w:ascii="Arial" w:hAnsi="Arial"/>
                <w:color w:val="2D3748"/>
                <w:sz w:val="19"/>
              </w:rPr>
              <w:t xml:space="preserve">    {</w:t>
            </w:r>
          </w:p>
          <w:p>
            <w:pPr>
              <w:spacing w:before="40" w:after="40"/>
            </w:pPr>
            <w:r>
              <w:rPr>
                <w:rFonts w:ascii="Arial" w:hAnsi="Arial"/>
                <w:color w:val="2D3748"/>
                <w:sz w:val="19"/>
              </w:rPr>
              <w:t xml:space="preserve">      "id": "MOCKDEP000012",</w:t>
            </w:r>
          </w:p>
          <w:p>
            <w:pPr>
              <w:spacing w:before="40" w:after="40"/>
            </w:pPr>
            <w:r>
              <w:rPr>
                <w:rFonts w:ascii="Arial" w:hAnsi="Arial"/>
                <w:color w:val="2D3748"/>
                <w:sz w:val="19"/>
              </w:rPr>
              <w:t xml:space="preserve">      "relationship": "SPOUSE",</w:t>
            </w:r>
          </w:p>
          <w:p>
            <w:pPr>
              <w:spacing w:before="40" w:after="40"/>
            </w:pPr>
            <w:r>
              <w:rPr>
                <w:rFonts w:ascii="Arial" w:hAnsi="Arial"/>
                <w:color w:val="2D3748"/>
                <w:sz w:val="19"/>
              </w:rPr>
              <w:t xml:space="preserve">      "relationshipLabel": "Spouse",</w:t>
            </w:r>
          </w:p>
          <w:p>
            <w:pPr>
              <w:spacing w:before="40" w:after="40"/>
            </w:pPr>
            <w:r>
              <w:rPr>
                <w:rFonts w:ascii="Arial" w:hAnsi="Arial"/>
                <w:color w:val="2D3748"/>
                <w:sz w:val="19"/>
              </w:rPr>
              <w:t xml:space="preserve">      "firstName": "Mock",</w:t>
            </w:r>
          </w:p>
          <w:p>
            <w:pPr>
              <w:spacing w:before="40" w:after="40"/>
            </w:pPr>
            <w:r>
              <w:rPr>
                <w:rFonts w:ascii="Arial" w:hAnsi="Arial"/>
                <w:color w:val="2D3748"/>
                <w:sz w:val="19"/>
              </w:rPr>
              <w:t xml:space="preserve">      "lastName": "Member 0012",</w:t>
            </w:r>
          </w:p>
          <w:p>
            <w:pPr>
              <w:spacing w:before="40" w:after="40"/>
            </w:pPr>
            <w:r>
              <w:rPr>
                <w:rFonts w:ascii="Arial" w:hAnsi="Arial"/>
                <w:color w:val="2D3748"/>
                <w:sz w:val="19"/>
              </w:rPr>
              <w:t xml:space="preserve">      "maskedId": "DEP-***-0012",</w:t>
            </w:r>
          </w:p>
          <w:p>
            <w:pPr>
              <w:spacing w:before="40" w:after="40"/>
            </w:pPr>
            <w:r>
              <w:rPr>
                <w:rFonts w:ascii="Arial" w:hAnsi="Arial"/>
                <w:color w:val="2D3748"/>
                <w:sz w:val="19"/>
              </w:rPr>
              <w:t xml:space="preserve">      "dateOfBirth": "1983-03-22"</w:t>
            </w:r>
          </w:p>
          <w:p>
            <w:pPr>
              <w:spacing w:before="40" w:after="40"/>
            </w:pPr>
            <w:r>
              <w:rPr>
                <w:rFonts w:ascii="Arial" w:hAnsi="Arial"/>
                <w:color w:val="2D3748"/>
                <w:sz w:val="19"/>
              </w:rPr>
              <w:t xml:space="preserve">    },</w:t>
            </w:r>
          </w:p>
          <w:p>
            <w:pPr>
              <w:spacing w:before="40" w:after="40"/>
            </w:pPr>
            <w:r>
              <w:rPr>
                <w:rFonts w:ascii="Arial" w:hAnsi="Arial"/>
                <w:color w:val="2D3748"/>
                <w:sz w:val="19"/>
              </w:rPr>
              <w:t xml:space="preserve">    {</w:t>
            </w:r>
          </w:p>
          <w:p>
            <w:pPr>
              <w:spacing w:before="40" w:after="40"/>
            </w:pPr>
            <w:r>
              <w:rPr>
                <w:rFonts w:ascii="Arial" w:hAnsi="Arial"/>
                <w:color w:val="2D3748"/>
                <w:sz w:val="19"/>
              </w:rPr>
              <w:t xml:space="preserve">      "id": "MOCKDEP000098",</w:t>
            </w:r>
          </w:p>
          <w:p>
            <w:pPr>
              <w:spacing w:before="40" w:after="40"/>
            </w:pPr>
            <w:r>
              <w:rPr>
                <w:rFonts w:ascii="Arial" w:hAnsi="Arial"/>
                <w:color w:val="2D3748"/>
                <w:sz w:val="19"/>
              </w:rPr>
              <w:t xml:space="preserve">      "relationship": "CHILD",</w:t>
            </w:r>
          </w:p>
          <w:p>
            <w:pPr>
              <w:spacing w:before="40" w:after="40"/>
            </w:pPr>
            <w:r>
              <w:rPr>
                <w:rFonts w:ascii="Arial" w:hAnsi="Arial"/>
                <w:color w:val="2D3748"/>
                <w:sz w:val="19"/>
              </w:rPr>
              <w:t xml:space="preserve">      "relationshipLabel": "Child",</w:t>
            </w:r>
          </w:p>
          <w:p>
            <w:pPr>
              <w:spacing w:before="40" w:after="40"/>
            </w:pPr>
            <w:r>
              <w:rPr>
                <w:rFonts w:ascii="Arial" w:hAnsi="Arial"/>
                <w:color w:val="2D3748"/>
                <w:sz w:val="19"/>
              </w:rPr>
              <w:t xml:space="preserve">      "firstName": "Mock",</w:t>
            </w:r>
          </w:p>
          <w:p>
            <w:pPr>
              <w:spacing w:before="40" w:after="40"/>
            </w:pPr>
            <w:r>
              <w:rPr>
                <w:rFonts w:ascii="Arial" w:hAnsi="Arial"/>
                <w:color w:val="2D3748"/>
                <w:sz w:val="19"/>
              </w:rPr>
              <w:t xml:space="preserve">      "lastName": "Member 0012",</w:t>
            </w:r>
          </w:p>
          <w:p>
            <w:pPr>
              <w:spacing w:before="40" w:after="40"/>
            </w:pPr>
            <w:r>
              <w:rPr>
                <w:rFonts w:ascii="Arial" w:hAnsi="Arial"/>
                <w:color w:val="2D3748"/>
                <w:sz w:val="19"/>
              </w:rPr>
              <w:t xml:space="preserve">      "maskedId": "DEP-***-0098",</w:t>
            </w:r>
          </w:p>
          <w:p>
            <w:pPr>
              <w:spacing w:before="40" w:after="40"/>
            </w:pPr>
            <w:r>
              <w:rPr>
                <w:rFonts w:ascii="Arial" w:hAnsi="Arial"/>
                <w:color w:val="2D3748"/>
                <w:sz w:val="19"/>
              </w:rPr>
              <w:t xml:space="preserve">      "dateOfBirth": "2014-11-05"</w:t>
            </w:r>
          </w:p>
          <w:p>
            <w:pPr>
              <w:spacing w:before="40" w:after="40"/>
            </w:pPr>
            <w:r>
              <w:rPr>
                <w:rFonts w:ascii="Arial" w:hAnsi="Arial"/>
                <w:color w:val="2D3748"/>
                <w:sz w:val="19"/>
              </w:rPr>
              <w:t xml:space="preserve">    }</w:t>
            </w:r>
          </w:p>
          <w:p>
            <w:pPr>
              <w:spacing w:before="40" w:after="40"/>
            </w:pPr>
            <w:r>
              <w:rPr>
                <w:rFonts w:ascii="Arial" w:hAnsi="Arial"/>
                <w:color w:val="2D3748"/>
                <w:sz w:val="19"/>
              </w:rPr>
              <w:t xml:space="preserve">  ]</w:t>
            </w:r>
          </w:p>
          <w:p>
            <w:pPr>
              <w:spacing w:before="40" w:after="40"/>
            </w:pPr>
            <w:r>
              <w:rPr>
                <w:rFonts w:ascii="Arial" w:hAnsi="Arial"/>
                <w:color w:val="2D3748"/>
                <w:sz w:val="19"/>
              </w:rPr>
              <w:t>}</w:t>
            </w:r>
          </w:p>
        </w:tc>
      </w:tr>
    </w:tbl>
    <w:p>
      <w:pPr>
        <w:spacing w:before="0" w:after="80"/>
      </w:pPr>
    </w:p>
    <w:p>
      <w:pPr>
        <w:keepNext/>
        <w:spacing w:before="240" w:after="80"/>
      </w:pPr>
      <w:r>
        <w:rPr>
          <w:rFonts w:ascii="Arial" w:hAnsi="Arial"/>
          <w:b/>
          <w:color w:val="2C5282"/>
          <w:sz w:val="24"/>
        </w:rPr>
        <w:t>7.2 Endpoint Specification: Get Dependent Coverage by Unique ID</w:t>
      </w:r>
    </w:p>
    <w:p>
      <w:r>
        <w:t>Fetches specific benefit coverage using the immutable `dependent_id`.</w:t>
      </w:r>
    </w:p>
    <w:p>
      <w:pPr>
        <w:pStyle w:val="ListBullet"/>
        <w:spacing w:before="20" w:after="40"/>
      </w:pPr>
      <w:r>
        <w:rPr>
          <w:rFonts w:ascii="Arial" w:hAnsi="Arial"/>
          <w:b/>
          <w:color w:val="1B365D"/>
          <w:sz w:val="19"/>
        </w:rPr>
        <w:t xml:space="preserve">Endpoint: </w:t>
      </w:r>
      <w:r>
        <w:rPr>
          <w:rFonts w:ascii="Arial" w:hAnsi="Arial"/>
          <w:color w:val="2D3748"/>
          <w:sz w:val="19"/>
        </w:rPr>
        <w:t>Method &amp; URL: `GET /api/v2/dependents/{dependent_id}/coverage?type=dental`</w:t>
      </w:r>
    </w:p>
    <w:tbl>
      <w:tblPr>
        <w:tblW w:type="auto" w:w="0"/>
        <w:jc w:val="center"/>
        <w:tblLayout w:type="fixed"/>
        <w:tblLook w:firstColumn="1" w:firstRow="1" w:lastColumn="0" w:lastRow="0" w:noHBand="0" w:noVBand="1" w:val="04A0"/>
      </w:tblPr>
      <w:tblGrid>
        <w:gridCol w:w="9936"/>
      </w:tblGrid>
      <w:tr>
        <w:tc>
          <w:tcPr>
            <w:tcW w:type="dxa" w:w="9936"/>
            <w:shd w:fill="F0FDFA"/>
            <w:tcMar>
              <w:top w:w="140" w:type="dxa"/>
              <w:bottom w:w="140" w:type="dxa"/>
              <w:left w:w="180" w:type="dxa"/>
              <w:right w:w="180" w:type="dxa"/>
            </w:tcMar>
            <w:tcBorders>
              <w:left w:val="single" w:sz="24" w:space="0" w:color="0D9488"/>
              <w:top w:val="none" w:sz="0" w:space="0" w:color="auto"/>
              <w:right w:val="none" w:sz="0" w:space="0" w:color="auto"/>
              <w:bottom w:val="none" w:sz="0" w:space="0" w:color="auto"/>
            </w:tcBorders>
          </w:tcPr>
          <w:p>
            <w:pPr>
              <w:spacing w:before="0" w:after="40"/>
            </w:pPr>
            <w:r>
              <w:rPr>
                <w:rFonts w:ascii="Arial" w:hAnsi="Arial"/>
                <w:b/>
                <w:color w:val="1B365D"/>
                <w:sz w:val="21"/>
              </w:rPr>
              <w:t>🦷  JSON Response Payload: GET /api/v2/dependents/{dependent_id}/coverage?type=dental</w:t>
            </w:r>
          </w:p>
          <w:p>
            <w:pPr>
              <w:spacing w:before="40" w:after="40"/>
            </w:pPr>
            <w:r>
              <w:rPr>
                <w:rFonts w:ascii="Arial" w:hAnsi="Arial"/>
                <w:color w:val="2D3748"/>
                <w:sz w:val="19"/>
              </w:rPr>
              <w:t>{</w:t>
            </w:r>
          </w:p>
          <w:p>
            <w:pPr>
              <w:spacing w:before="40" w:after="40"/>
            </w:pPr>
            <w:r>
              <w:rPr>
                <w:rFonts w:ascii="Arial" w:hAnsi="Arial"/>
                <w:color w:val="2D3748"/>
                <w:sz w:val="19"/>
              </w:rPr>
              <w:t xml:space="preserve">  "status": "success",</w:t>
            </w:r>
          </w:p>
          <w:p>
            <w:pPr>
              <w:spacing w:before="40" w:after="40"/>
            </w:pPr>
            <w:r>
              <w:rPr>
                <w:rFonts w:ascii="Arial" w:hAnsi="Arial"/>
                <w:color w:val="2D3748"/>
                <w:sz w:val="19"/>
              </w:rPr>
              <w:t xml:space="preserve">  "dependentId": "MOCKDEP000012",</w:t>
            </w:r>
          </w:p>
          <w:p>
            <w:pPr>
              <w:spacing w:before="40" w:after="40"/>
            </w:pPr>
            <w:r>
              <w:rPr>
                <w:rFonts w:ascii="Arial" w:hAnsi="Arial"/>
                <w:color w:val="2D3748"/>
                <w:sz w:val="19"/>
              </w:rPr>
              <w:t xml:space="preserve">  "relationship": "SPOUSE",</w:t>
            </w:r>
          </w:p>
          <w:p>
            <w:pPr>
              <w:spacing w:before="40" w:after="40"/>
            </w:pPr>
            <w:r>
              <w:rPr>
                <w:rFonts w:ascii="Arial" w:hAnsi="Arial"/>
                <w:color w:val="2D3748"/>
                <w:sz w:val="19"/>
              </w:rPr>
              <w:t xml:space="preserve">  "coverage": {</w:t>
            </w:r>
          </w:p>
          <w:p>
            <w:pPr>
              <w:spacing w:before="40" w:after="40"/>
            </w:pPr>
            <w:r>
              <w:rPr>
                <w:rFonts w:ascii="Arial" w:hAnsi="Arial"/>
                <w:color w:val="2D3748"/>
                <w:sz w:val="19"/>
              </w:rPr>
              <w:t xml:space="preserve">    "planType": "DENTAL",</w:t>
            </w:r>
          </w:p>
          <w:p>
            <w:pPr>
              <w:spacing w:before="40" w:after="40"/>
            </w:pPr>
            <w:r>
              <w:rPr>
                <w:rFonts w:ascii="Arial" w:hAnsi="Arial"/>
                <w:color w:val="2D3748"/>
                <w:sz w:val="19"/>
              </w:rPr>
              <w:t xml:space="preserve">    "planName": "Premium Dental Choice Plus (PPO)",</w:t>
            </w:r>
          </w:p>
          <w:p>
            <w:pPr>
              <w:spacing w:before="40" w:after="40"/>
            </w:pPr>
            <w:r>
              <w:rPr>
                <w:rFonts w:ascii="Arial" w:hAnsi="Arial"/>
                <w:color w:val="2D3748"/>
                <w:sz w:val="19"/>
              </w:rPr>
              <w:t xml:space="preserve">    "policyNumber": "POL-DEN-8832014-02",</w:t>
            </w:r>
          </w:p>
          <w:p>
            <w:pPr>
              <w:spacing w:before="40" w:after="40"/>
            </w:pPr>
            <w:r>
              <w:rPr>
                <w:rFonts w:ascii="Arial" w:hAnsi="Arial"/>
                <w:color w:val="2D3748"/>
                <w:sz w:val="19"/>
              </w:rPr>
              <w:t xml:space="preserve">    "groupNumber": "GRP-77402",</w:t>
            </w:r>
          </w:p>
          <w:p>
            <w:pPr>
              <w:spacing w:before="40" w:after="40"/>
            </w:pPr>
            <w:r>
              <w:rPr>
                <w:rFonts w:ascii="Arial" w:hAnsi="Arial"/>
                <w:color w:val="2D3748"/>
                <w:sz w:val="19"/>
              </w:rPr>
              <w:t xml:space="preserve">    "enrollmentStatus": "ACTIVE",</w:t>
            </w:r>
          </w:p>
          <w:p>
            <w:pPr>
              <w:spacing w:before="40" w:after="40"/>
            </w:pPr>
            <w:r>
              <w:rPr>
                <w:rFonts w:ascii="Arial" w:hAnsi="Arial"/>
                <w:color w:val="2D3748"/>
                <w:sz w:val="19"/>
              </w:rPr>
              <w:t xml:space="preserve">    "effectiveDate": "2026-01-01",</w:t>
            </w:r>
          </w:p>
          <w:p>
            <w:pPr>
              <w:spacing w:before="40" w:after="40"/>
            </w:pPr>
            <w:r>
              <w:rPr>
                <w:rFonts w:ascii="Arial" w:hAnsi="Arial"/>
                <w:color w:val="2D3748"/>
                <w:sz w:val="19"/>
              </w:rPr>
              <w:t xml:space="preserve">    "individualDeductible": "$50.00",</w:t>
            </w:r>
          </w:p>
          <w:p>
            <w:pPr>
              <w:spacing w:before="40" w:after="40"/>
            </w:pPr>
            <w:r>
              <w:rPr>
                <w:rFonts w:ascii="Arial" w:hAnsi="Arial"/>
                <w:color w:val="2D3748"/>
                <w:sz w:val="19"/>
              </w:rPr>
              <w:t xml:space="preserve">    "annualMaximum": "$1,500.00",</w:t>
            </w:r>
          </w:p>
          <w:p>
            <w:pPr>
              <w:spacing w:before="40" w:after="40"/>
            </w:pPr>
            <w:r>
              <w:rPr>
                <w:rFonts w:ascii="Arial" w:hAnsi="Arial"/>
                <w:color w:val="2D3748"/>
                <w:sz w:val="19"/>
              </w:rPr>
              <w:t xml:space="preserve">    "preventiveCoinsurance": "100%",</w:t>
            </w:r>
          </w:p>
          <w:p>
            <w:pPr>
              <w:spacing w:before="40" w:after="40"/>
            </w:pPr>
            <w:r>
              <w:rPr>
                <w:rFonts w:ascii="Arial" w:hAnsi="Arial"/>
                <w:color w:val="2D3748"/>
                <w:sz w:val="19"/>
              </w:rPr>
              <w:t xml:space="preserve">    "basicCoinsurance": "80%",</w:t>
            </w:r>
          </w:p>
          <w:p>
            <w:pPr>
              <w:spacing w:before="40" w:after="40"/>
            </w:pPr>
            <w:r>
              <w:rPr>
                <w:rFonts w:ascii="Arial" w:hAnsi="Arial"/>
                <w:color w:val="2D3748"/>
                <w:sz w:val="19"/>
              </w:rPr>
              <w:t xml:space="preserve">    "majorCoinsurance": "50%"</w:t>
            </w:r>
          </w:p>
          <w:p>
            <w:pPr>
              <w:spacing w:before="40" w:after="40"/>
            </w:pPr>
            <w:r>
              <w:rPr>
                <w:rFonts w:ascii="Arial" w:hAnsi="Arial"/>
                <w:color w:val="2D3748"/>
                <w:sz w:val="19"/>
              </w:rPr>
              <w:t xml:space="preserve">  }</w:t>
            </w:r>
          </w:p>
          <w:p>
            <w:pPr>
              <w:spacing w:before="40" w:after="40"/>
            </w:pPr>
            <w:r>
              <w:rPr>
                <w:rFonts w:ascii="Arial" w:hAnsi="Arial"/>
                <w:color w:val="2D3748"/>
                <w:sz w:val="19"/>
              </w:rPr>
              <w:t>}</w:t>
            </w:r>
          </w:p>
        </w:tc>
      </w:tr>
    </w:tbl>
    <w:p>
      <w:pPr>
        <w:spacing w:before="0" w:after="80"/>
      </w:pPr>
    </w:p>
    <w:p>
      <w:pPr>
        <w:keepNext/>
        <w:spacing w:before="320" w:after="120"/>
      </w:pPr>
      <w:r>
        <w:rPr>
          <w:rFonts w:ascii="Arial" w:hAnsi="Arial"/>
          <w:b/>
          <w:color w:val="1B365D"/>
          <w:sz w:val="30"/>
        </w:rPr>
        <w:t>8. Acceptance Criteria (Given-When-Then)</w:t>
      </w:r>
    </w:p>
    <w:p>
      <w:pPr>
        <w:keepNext/>
        <w:spacing w:before="240" w:after="80"/>
      </w:pPr>
      <w:r>
        <w:rPr>
          <w:rFonts w:ascii="Arial" w:hAnsi="Arial"/>
          <w:b/>
          <w:color w:val="2C5282"/>
          <w:sz w:val="24"/>
        </w:rPr>
        <w:t>Scenario 1: Disambiguated Person Selection Cards for Identical Names</w:t>
      </w:r>
    </w:p>
    <w:p>
      <w:pPr>
        <w:pStyle w:val="ListBullet"/>
        <w:spacing w:before="20" w:after="40"/>
      </w:pPr>
      <w:r>
        <w:rPr>
          <w:rFonts w:ascii="Arial" w:hAnsi="Arial"/>
          <w:b/>
          <w:color w:val="1B365D"/>
          <w:sz w:val="19"/>
        </w:rPr>
        <w:t xml:space="preserve">Given: </w:t>
      </w:r>
      <w:r>
        <w:rPr>
          <w:rFonts w:ascii="Arial" w:hAnsi="Arial"/>
          <w:color w:val="2D3748"/>
          <w:sz w:val="19"/>
        </w:rPr>
        <w:t>Given a policyholder (MOCKMBR000012) is logged into the MyMember Benefits Portal</w:t>
      </w:r>
    </w:p>
    <w:p>
      <w:pPr>
        <w:pStyle w:val="ListBullet"/>
        <w:spacing w:before="20" w:after="40"/>
      </w:pPr>
      <w:r>
        <w:rPr>
          <w:rFonts w:ascii="Arial" w:hAnsi="Arial"/>
          <w:b/>
          <w:color w:val="1B365D"/>
          <w:sz w:val="19"/>
        </w:rPr>
        <w:t xml:space="preserve">And: </w:t>
      </w:r>
      <w:r>
        <w:rPr>
          <w:rFonts w:ascii="Arial" w:hAnsi="Arial"/>
          <w:color w:val="2D3748"/>
          <w:sz w:val="19"/>
        </w:rPr>
        <w:t>And their family contains a spouse and child who share identical display names ('Mock Member 0012')</w:t>
      </w:r>
    </w:p>
    <w:p>
      <w:pPr>
        <w:pStyle w:val="ListBullet"/>
        <w:spacing w:before="20" w:after="40"/>
      </w:pPr>
      <w:r>
        <w:rPr>
          <w:rFonts w:ascii="Arial" w:hAnsi="Arial"/>
          <w:b/>
          <w:color w:val="1B365D"/>
          <w:sz w:val="19"/>
        </w:rPr>
        <w:t xml:space="preserve">When: </w:t>
      </w:r>
      <w:r>
        <w:rPr>
          <w:rFonts w:ascii="Arial" w:hAnsi="Arial"/>
          <w:color w:val="2D3748"/>
          <w:sz w:val="19"/>
        </w:rPr>
        <w:t>When the member navigates to the 'Coverages &amp; Benefits' section</w:t>
      </w:r>
    </w:p>
    <w:p>
      <w:pPr>
        <w:pStyle w:val="ListBullet"/>
        <w:spacing w:before="20" w:after="40"/>
      </w:pPr>
      <w:r>
        <w:rPr>
          <w:rFonts w:ascii="Arial" w:hAnsi="Arial"/>
          <w:b/>
          <w:color w:val="1B365D"/>
          <w:sz w:val="19"/>
        </w:rPr>
        <w:t xml:space="preserve">Then: </w:t>
      </w:r>
      <w:r>
        <w:rPr>
          <w:rFonts w:ascii="Arial" w:hAnsi="Arial"/>
          <w:color w:val="2D3748"/>
          <w:sz w:val="19"/>
        </w:rPr>
        <w:t>Then the portal must display three distinct person cards</w:t>
      </w:r>
    </w:p>
    <w:p>
      <w:pPr>
        <w:pStyle w:val="ListBullet"/>
        <w:spacing w:before="20" w:after="40"/>
      </w:pPr>
      <w:r>
        <w:rPr>
          <w:rFonts w:ascii="Arial" w:hAnsi="Arial"/>
          <w:b/>
          <w:color w:val="1B365D"/>
          <w:sz w:val="19"/>
        </w:rPr>
        <w:t xml:space="preserve">And: </w:t>
      </w:r>
      <w:r>
        <w:rPr>
          <w:rFonts w:ascii="Arial" w:hAnsi="Arial"/>
          <w:color w:val="2D3748"/>
          <w:sz w:val="19"/>
        </w:rPr>
        <w:t>And the spouse card must clearly show the badge '[ SPOUSE ]' and masked ID 'DEP-***-0012'</w:t>
      </w:r>
    </w:p>
    <w:p>
      <w:pPr>
        <w:pStyle w:val="ListBullet"/>
        <w:spacing w:before="20" w:after="40"/>
      </w:pPr>
      <w:r>
        <w:rPr>
          <w:rFonts w:ascii="Arial" w:hAnsi="Arial"/>
          <w:b/>
          <w:color w:val="1B365D"/>
          <w:sz w:val="19"/>
        </w:rPr>
        <w:t xml:space="preserve">And: </w:t>
      </w:r>
      <w:r>
        <w:rPr>
          <w:rFonts w:ascii="Arial" w:hAnsi="Arial"/>
          <w:color w:val="2D3748"/>
          <w:sz w:val="19"/>
        </w:rPr>
        <w:t>And the child card must clearly show the badge '[ CHILD ]' and masked ID 'DEP-***-0098'.</w:t>
      </w:r>
    </w:p>
    <w:p>
      <w:pPr>
        <w:keepNext/>
        <w:spacing w:before="240" w:after="80"/>
      </w:pPr>
      <w:r>
        <w:rPr>
          <w:rFonts w:ascii="Arial" w:hAnsi="Arial"/>
          <w:b/>
          <w:color w:val="2C5282"/>
          <w:sz w:val="24"/>
        </w:rPr>
        <w:t>Scenario 2: Accurate Dental Coverage Retrieval for Selected Spouse</w:t>
      </w:r>
    </w:p>
    <w:p>
      <w:pPr>
        <w:pStyle w:val="ListBullet"/>
        <w:spacing w:before="20" w:after="40"/>
      </w:pPr>
      <w:r>
        <w:rPr>
          <w:rFonts w:ascii="Arial" w:hAnsi="Arial"/>
          <w:b/>
          <w:color w:val="1B365D"/>
          <w:sz w:val="19"/>
        </w:rPr>
        <w:t xml:space="preserve">Given: </w:t>
      </w:r>
      <w:r>
        <w:rPr>
          <w:rFonts w:ascii="Arial" w:hAnsi="Arial"/>
          <w:color w:val="2D3748"/>
          <w:sz w:val="19"/>
        </w:rPr>
        <w:t>Given the member is on the 'Coverages &amp; Benefits' page</w:t>
      </w:r>
    </w:p>
    <w:p>
      <w:pPr>
        <w:pStyle w:val="ListBullet"/>
        <w:spacing w:before="20" w:after="40"/>
      </w:pPr>
      <w:r>
        <w:rPr>
          <w:rFonts w:ascii="Arial" w:hAnsi="Arial"/>
          <w:b/>
          <w:color w:val="1B365D"/>
          <w:sz w:val="19"/>
        </w:rPr>
        <w:t xml:space="preserve">When: </w:t>
      </w:r>
      <w:r>
        <w:rPr>
          <w:rFonts w:ascii="Arial" w:hAnsi="Arial"/>
          <w:color w:val="2D3748"/>
          <w:sz w:val="19"/>
        </w:rPr>
        <w:t>When the member clicks on the card with badge '[ SPOUSE ]' (ID: MOCKDEP000012)</w:t>
      </w:r>
    </w:p>
    <w:p>
      <w:pPr>
        <w:pStyle w:val="ListBullet"/>
        <w:spacing w:before="20" w:after="40"/>
      </w:pPr>
      <w:r>
        <w:rPr>
          <w:rFonts w:ascii="Arial" w:hAnsi="Arial"/>
          <w:b/>
          <w:color w:val="1B365D"/>
          <w:sz w:val="19"/>
        </w:rPr>
        <w:t xml:space="preserve">And: </w:t>
      </w:r>
      <w:r>
        <w:rPr>
          <w:rFonts w:ascii="Arial" w:hAnsi="Arial"/>
          <w:color w:val="2D3748"/>
          <w:sz w:val="19"/>
        </w:rPr>
        <w:t>And the 'Dental' coverage tab is active</w:t>
      </w:r>
    </w:p>
    <w:p>
      <w:pPr>
        <w:pStyle w:val="ListBullet"/>
        <w:spacing w:before="20" w:after="40"/>
      </w:pPr>
      <w:r>
        <w:rPr>
          <w:rFonts w:ascii="Arial" w:hAnsi="Arial"/>
          <w:b/>
          <w:color w:val="1B365D"/>
          <w:sz w:val="19"/>
        </w:rPr>
        <w:t xml:space="preserve">Then: </w:t>
      </w:r>
      <w:r>
        <w:rPr>
          <w:rFonts w:ascii="Arial" w:hAnsi="Arial"/>
          <w:color w:val="2D3748"/>
          <w:sz w:val="19"/>
        </w:rPr>
        <w:t>Then the application must dispatch an HTTP request with parameter `dependent_id=MOCKDEP000012`</w:t>
      </w:r>
    </w:p>
    <w:p>
      <w:pPr>
        <w:pStyle w:val="ListBullet"/>
        <w:spacing w:before="20" w:after="40"/>
      </w:pPr>
      <w:r>
        <w:rPr>
          <w:rFonts w:ascii="Arial" w:hAnsi="Arial"/>
          <w:b/>
          <w:color w:val="1B365D"/>
          <w:sz w:val="19"/>
        </w:rPr>
        <w:t xml:space="preserve">And: </w:t>
      </w:r>
      <w:r>
        <w:rPr>
          <w:rFonts w:ascii="Arial" w:hAnsi="Arial"/>
          <w:color w:val="2D3748"/>
          <w:sz w:val="19"/>
        </w:rPr>
        <w:t>And the dental plan details for 'Premium Dental Choice Plus (PPO)' must be rendered immediately</w:t>
      </w:r>
    </w:p>
    <w:p>
      <w:pPr>
        <w:pStyle w:val="ListBullet"/>
        <w:spacing w:before="20" w:after="40"/>
      </w:pPr>
      <w:r>
        <w:rPr>
          <w:rFonts w:ascii="Arial" w:hAnsi="Arial"/>
          <w:b/>
          <w:color w:val="1B365D"/>
          <w:sz w:val="19"/>
        </w:rPr>
        <w:t xml:space="preserve">And: </w:t>
      </w:r>
      <w:r>
        <w:rPr>
          <w:rFonts w:ascii="Arial" w:hAnsi="Arial"/>
          <w:color w:val="2D3748"/>
          <w:sz w:val="19"/>
        </w:rPr>
        <w:t>And no empty state or child-specific restrictions must be shown.</w:t>
      </w:r>
    </w:p>
    <w:p>
      <w:pPr>
        <w:keepNext/>
        <w:spacing w:before="240" w:after="80"/>
      </w:pPr>
      <w:r>
        <w:rPr>
          <w:rFonts w:ascii="Arial" w:hAnsi="Arial"/>
          <w:b/>
          <w:color w:val="2C5282"/>
          <w:sz w:val="24"/>
        </w:rPr>
        <w:t>Scenario 3: Toggle Between Dependents with Identical Names</w:t>
      </w:r>
    </w:p>
    <w:p>
      <w:pPr>
        <w:pStyle w:val="ListBullet"/>
        <w:spacing w:before="20" w:after="40"/>
      </w:pPr>
      <w:r>
        <w:rPr>
          <w:rFonts w:ascii="Arial" w:hAnsi="Arial"/>
          <w:b/>
          <w:color w:val="1B365D"/>
          <w:sz w:val="19"/>
        </w:rPr>
        <w:t xml:space="preserve">Given: </w:t>
      </w:r>
      <w:r>
        <w:rPr>
          <w:rFonts w:ascii="Arial" w:hAnsi="Arial"/>
          <w:color w:val="2D3748"/>
          <w:sz w:val="19"/>
        </w:rPr>
        <w:t>Given the spouse's dental coverage is currently rendered on screen</w:t>
      </w:r>
    </w:p>
    <w:p>
      <w:pPr>
        <w:pStyle w:val="ListBullet"/>
        <w:spacing w:before="20" w:after="40"/>
      </w:pPr>
      <w:r>
        <w:rPr>
          <w:rFonts w:ascii="Arial" w:hAnsi="Arial"/>
          <w:b/>
          <w:color w:val="1B365D"/>
          <w:sz w:val="19"/>
        </w:rPr>
        <w:t xml:space="preserve">When: </w:t>
      </w:r>
      <w:r>
        <w:rPr>
          <w:rFonts w:ascii="Arial" w:hAnsi="Arial"/>
          <w:color w:val="2D3748"/>
          <w:sz w:val="19"/>
        </w:rPr>
        <w:t>When the member clicks on the card with badge '[ CHILD ]'</w:t>
      </w:r>
    </w:p>
    <w:p>
      <w:pPr>
        <w:pStyle w:val="ListBullet"/>
        <w:spacing w:before="20" w:after="40"/>
      </w:pPr>
      <w:r>
        <w:rPr>
          <w:rFonts w:ascii="Arial" w:hAnsi="Arial"/>
          <w:b/>
          <w:color w:val="1B365D"/>
          <w:sz w:val="19"/>
        </w:rPr>
        <w:t xml:space="preserve">Then: </w:t>
      </w:r>
      <w:r>
        <w:rPr>
          <w:rFonts w:ascii="Arial" w:hAnsi="Arial"/>
          <w:color w:val="2D3748"/>
          <w:sz w:val="19"/>
        </w:rPr>
        <w:t>Then the active border must smoothly transition to the child's card</w:t>
      </w:r>
    </w:p>
    <w:p>
      <w:pPr>
        <w:pStyle w:val="ListBullet"/>
        <w:spacing w:before="20" w:after="40"/>
      </w:pPr>
      <w:r>
        <w:rPr>
          <w:rFonts w:ascii="Arial" w:hAnsi="Arial"/>
          <w:b/>
          <w:color w:val="1B365D"/>
          <w:sz w:val="19"/>
        </w:rPr>
        <w:t xml:space="preserve">And: </w:t>
      </w:r>
      <w:r>
        <w:rPr>
          <w:rFonts w:ascii="Arial" w:hAnsi="Arial"/>
          <w:color w:val="2D3748"/>
          <w:sz w:val="19"/>
        </w:rPr>
        <w:t>And the coverage view must refresh to show the child's specific benefits without page reload.</w:t>
      </w:r>
    </w:p>
    <w:p>
      <w:pPr>
        <w:keepNext/>
        <w:spacing w:before="240" w:after="80"/>
      </w:pPr>
      <w:r>
        <w:rPr>
          <w:rFonts w:ascii="Arial" w:hAnsi="Arial"/>
          <w:b/>
          <w:color w:val="2C5282"/>
          <w:sz w:val="24"/>
        </w:rPr>
        <w:t>Scenario 4: Screen Reader Accessibility Verification</w:t>
      </w:r>
    </w:p>
    <w:p>
      <w:pPr>
        <w:pStyle w:val="ListBullet"/>
        <w:spacing w:before="20" w:after="40"/>
      </w:pPr>
      <w:r>
        <w:rPr>
          <w:rFonts w:ascii="Arial" w:hAnsi="Arial"/>
          <w:b/>
          <w:color w:val="1B365D"/>
          <w:sz w:val="19"/>
        </w:rPr>
        <w:t xml:space="preserve">Given: </w:t>
      </w:r>
      <w:r>
        <w:rPr>
          <w:rFonts w:ascii="Arial" w:hAnsi="Arial"/>
          <w:color w:val="2D3748"/>
          <w:sz w:val="19"/>
        </w:rPr>
        <w:t>Given a visually impaired member using a screen reader (NVDA / VoiceOver)</w:t>
      </w:r>
    </w:p>
    <w:p>
      <w:pPr>
        <w:pStyle w:val="ListBullet"/>
        <w:spacing w:before="20" w:after="40"/>
      </w:pPr>
      <w:r>
        <w:rPr>
          <w:rFonts w:ascii="Arial" w:hAnsi="Arial"/>
          <w:b/>
          <w:color w:val="1B365D"/>
          <w:sz w:val="19"/>
        </w:rPr>
        <w:t xml:space="preserve">When: </w:t>
      </w:r>
      <w:r>
        <w:rPr>
          <w:rFonts w:ascii="Arial" w:hAnsi="Arial"/>
          <w:color w:val="2D3748"/>
          <w:sz w:val="19"/>
        </w:rPr>
        <w:t>When navigating through the person card grid using the Tab or Arrow keys</w:t>
      </w:r>
    </w:p>
    <w:p>
      <w:pPr>
        <w:pStyle w:val="ListBullet"/>
        <w:spacing w:before="20" w:after="40"/>
      </w:pPr>
      <w:r>
        <w:rPr>
          <w:rFonts w:ascii="Arial" w:hAnsi="Arial"/>
          <w:b/>
          <w:color w:val="1B365D"/>
          <w:sz w:val="19"/>
        </w:rPr>
        <w:t xml:space="preserve">Then: </w:t>
      </w:r>
      <w:r>
        <w:rPr>
          <w:rFonts w:ascii="Arial" w:hAnsi="Arial"/>
          <w:color w:val="2D3748"/>
          <w:sz w:val="19"/>
        </w:rPr>
        <w:t>Then the screen reader must announce: 'Mock Member 0012, Spouse, Dependent ID ending in 0012, Date of Birth March 22, 1983, Button, Not Selected'</w:t>
      </w:r>
    </w:p>
    <w:p>
      <w:pPr>
        <w:pStyle w:val="ListBullet"/>
        <w:spacing w:before="20" w:after="40"/>
      </w:pPr>
      <w:r>
        <w:rPr>
          <w:rFonts w:ascii="Arial" w:hAnsi="Arial"/>
          <w:b/>
          <w:color w:val="1B365D"/>
          <w:sz w:val="19"/>
        </w:rPr>
        <w:t xml:space="preserve">And: </w:t>
      </w:r>
      <w:r>
        <w:rPr>
          <w:rFonts w:ascii="Arial" w:hAnsi="Arial"/>
          <w:color w:val="2D3748"/>
          <w:sz w:val="19"/>
        </w:rPr>
        <w:t>And upon pressing Enter or Space, announce: 'Selected, Mock Member 0012, Spouse'.</w:t>
      </w:r>
    </w:p>
    <w:p>
      <w:pPr>
        <w:keepNext/>
        <w:spacing w:before="320" w:after="120"/>
      </w:pPr>
      <w:r>
        <w:rPr>
          <w:rFonts w:ascii="Arial" w:hAnsi="Arial"/>
          <w:b/>
          <w:color w:val="1B365D"/>
          <w:sz w:val="30"/>
        </w:rPr>
        <w:t>9. Implementation Milestones &amp; Verification Plan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2484"/>
        <w:gridCol w:w="2484"/>
        <w:gridCol w:w="2484"/>
        <w:gridCol w:w="2484"/>
      </w:tblGrid>
      <w:tr>
        <w:tc>
          <w:tcPr>
            <w:tcW w:type="dxa" w:w="2160"/>
            <w:tcMar>
              <w:top w:w="60" w:type="dxa"/>
              <w:bottom w:w="60" w:type="dxa"/>
              <w:left w:w="80" w:type="dxa"/>
              <w:right w:w="80" w:type="dxa"/>
            </w:tcMar>
            <w:shd w:fill="1B365D"/>
          </w:tcPr>
          <w:p>
            <w:pPr>
              <w:spacing w:after="0"/>
            </w:pPr>
            <w:r>
              <w:rPr>
                <w:b/>
                <w:color w:val="FFFFFF"/>
                <w:sz w:val="17"/>
              </w:rPr>
              <w:t>Phase</w:t>
            </w:r>
          </w:p>
        </w:tc>
        <w:tc>
          <w:tcPr>
            <w:tcW w:type="dxa" w:w="3888"/>
            <w:tcMar>
              <w:top w:w="60" w:type="dxa"/>
              <w:bottom w:w="60" w:type="dxa"/>
              <w:left w:w="80" w:type="dxa"/>
              <w:right w:w="80" w:type="dxa"/>
            </w:tcMar>
            <w:shd w:fill="1B365D"/>
          </w:tcPr>
          <w:p>
            <w:pPr>
              <w:spacing w:after="0"/>
            </w:pPr>
            <w:r>
              <w:rPr>
                <w:b/>
                <w:color w:val="FFFFFF"/>
                <w:sz w:val="17"/>
              </w:rPr>
              <w:t>Deliverable Description</w:t>
            </w:r>
          </w:p>
        </w:tc>
        <w:tc>
          <w:tcPr>
            <w:tcW w:type="dxa" w:w="2016"/>
            <w:tcMar>
              <w:top w:w="60" w:type="dxa"/>
              <w:bottom w:w="60" w:type="dxa"/>
              <w:left w:w="80" w:type="dxa"/>
              <w:right w:w="80" w:type="dxa"/>
            </w:tcMar>
            <w:shd w:fill="1B365D"/>
          </w:tcPr>
          <w:p>
            <w:pPr>
              <w:spacing w:after="0"/>
            </w:pPr>
            <w:r>
              <w:rPr>
                <w:b/>
                <w:color w:val="FFFFFF"/>
                <w:sz w:val="17"/>
              </w:rPr>
              <w:t>Owner</w:t>
            </w:r>
          </w:p>
        </w:tc>
        <w:tc>
          <w:tcPr>
            <w:tcW w:type="dxa" w:w="1872"/>
            <w:tcMar>
              <w:top w:w="60" w:type="dxa"/>
              <w:bottom w:w="60" w:type="dxa"/>
              <w:left w:w="80" w:type="dxa"/>
              <w:right w:w="80" w:type="dxa"/>
            </w:tcMar>
            <w:shd w:fill="1B365D"/>
          </w:tcPr>
          <w:p>
            <w:pPr>
              <w:spacing w:after="0"/>
            </w:pPr>
            <w:r>
              <w:rPr>
                <w:b/>
                <w:color w:val="FFFFFF"/>
                <w:sz w:val="17"/>
              </w:rPr>
              <w:t>Target Status</w:t>
            </w:r>
          </w:p>
        </w:tc>
      </w:tr>
      <w:tr>
        <w:tc>
          <w:tcPr>
            <w:tcW w:type="dxa" w:w="2160"/>
            <w:tcMar>
              <w:top w:w="60" w:type="dxa"/>
              <w:bottom w:w="60" w:type="dxa"/>
              <w:left w:w="80" w:type="dxa"/>
              <w:right w:w="80" w:type="dxa"/>
            </w:tcMar>
            <w:shd w:fill="FFFFFF"/>
          </w:tcPr>
          <w:p>
            <w:pPr>
              <w:spacing w:after="0"/>
            </w:pPr>
            <w:r>
              <w:rPr>
                <w:b/>
                <w:color w:val="1B365D"/>
                <w:sz w:val="17"/>
              </w:rPr>
              <w:t>Phase 1: API &amp; Contracts</w:t>
            </w:r>
          </w:p>
        </w:tc>
        <w:tc>
          <w:tcPr>
            <w:tcW w:type="dxa" w:w="3888"/>
            <w:tcMar>
              <w:top w:w="60" w:type="dxa"/>
              <w:bottom w:w="60" w:type="dxa"/>
              <w:left w:w="80" w:type="dxa"/>
              <w:right w:w="80" w:type="dxa"/>
            </w:tcMar>
            <w:shd w:fill="FFFFFF"/>
          </w:tcPr>
          <w:p>
            <w:pPr>
              <w:spacing w:after="0"/>
            </w:pPr>
            <w:r>
              <w:rPr>
                <w:color w:val="2D3748"/>
                <w:sz w:val="17"/>
              </w:rPr>
              <w:t>Deploy `/api/v2/dependents` &amp; `/coverage` with mandatory `dependent_id` keys.</w:t>
            </w:r>
          </w:p>
        </w:tc>
        <w:tc>
          <w:tcPr>
            <w:tcW w:type="dxa" w:w="2016"/>
            <w:tcMar>
              <w:top w:w="60" w:type="dxa"/>
              <w:bottom w:w="60" w:type="dxa"/>
              <w:left w:w="80" w:type="dxa"/>
              <w:right w:w="80" w:type="dxa"/>
            </w:tcMar>
            <w:shd w:fill="FFFFFF"/>
          </w:tcPr>
          <w:p>
            <w:pPr>
              <w:spacing w:after="0"/>
            </w:pPr>
            <w:r>
              <w:rPr>
                <w:color w:val="2D3748"/>
                <w:sz w:val="17"/>
              </w:rPr>
              <w:t>Backend Architecture</w:t>
            </w:r>
          </w:p>
        </w:tc>
        <w:tc>
          <w:tcPr>
            <w:tcW w:type="dxa" w:w="1872"/>
            <w:tcMar>
              <w:top w:w="60" w:type="dxa"/>
              <w:bottom w:w="60" w:type="dxa"/>
              <w:left w:w="80" w:type="dxa"/>
              <w:right w:w="80" w:type="dxa"/>
            </w:tcMar>
            <w:shd w:fill="FFFFFF"/>
          </w:tcPr>
          <w:p>
            <w:pPr>
              <w:spacing w:after="0"/>
            </w:pPr>
            <w:r>
              <w:rPr>
                <w:color w:val="2D3748"/>
                <w:sz w:val="17"/>
              </w:rPr>
              <w:t>Complete / In Review</w:t>
            </w:r>
          </w:p>
        </w:tc>
      </w:tr>
      <w:tr>
        <w:tc>
          <w:tcPr>
            <w:tcW w:type="dxa" w:w="2160"/>
            <w:tcMar>
              <w:top w:w="60" w:type="dxa"/>
              <w:bottom w:w="60" w:type="dxa"/>
              <w:left w:w="80" w:type="dxa"/>
              <w:right w:w="80" w:type="dxa"/>
            </w:tcMar>
            <w:shd w:fill="F8FAFC"/>
          </w:tcPr>
          <w:p>
            <w:pPr>
              <w:spacing w:after="0"/>
            </w:pPr>
            <w:r>
              <w:rPr>
                <w:b/>
                <w:color w:val="1B365D"/>
                <w:sz w:val="17"/>
              </w:rPr>
              <w:t>Phase 2: UI Component</w:t>
            </w:r>
          </w:p>
        </w:tc>
        <w:tc>
          <w:tcPr>
            <w:tcW w:type="dxa" w:w="3888"/>
            <w:tcMar>
              <w:top w:w="60" w:type="dxa"/>
              <w:bottom w:w="60" w:type="dxa"/>
              <w:left w:w="80" w:type="dxa"/>
              <w:right w:w="80" w:type="dxa"/>
            </w:tcMar>
            <w:shd w:fill="F8FAFC"/>
          </w:tcPr>
          <w:p>
            <w:pPr>
              <w:spacing w:after="0"/>
            </w:pPr>
            <w:r>
              <w:rPr>
                <w:color w:val="2D3748"/>
                <w:sz w:val="17"/>
              </w:rPr>
              <w:t>Build accessible Person Card Grid component with relationship chips.</w:t>
            </w:r>
          </w:p>
        </w:tc>
        <w:tc>
          <w:tcPr>
            <w:tcW w:type="dxa" w:w="2016"/>
            <w:tcMar>
              <w:top w:w="60" w:type="dxa"/>
              <w:bottom w:w="60" w:type="dxa"/>
              <w:left w:w="80" w:type="dxa"/>
              <w:right w:w="80" w:type="dxa"/>
            </w:tcMar>
            <w:shd w:fill="F8FAFC"/>
          </w:tcPr>
          <w:p>
            <w:pPr>
              <w:spacing w:after="0"/>
            </w:pPr>
            <w:r>
              <w:rPr>
                <w:color w:val="2D3748"/>
                <w:sz w:val="17"/>
              </w:rPr>
              <w:t>Frontend Engineering</w:t>
            </w:r>
          </w:p>
        </w:tc>
        <w:tc>
          <w:tcPr>
            <w:tcW w:type="dxa" w:w="1872"/>
            <w:tcMar>
              <w:top w:w="60" w:type="dxa"/>
              <w:bottom w:w="60" w:type="dxa"/>
              <w:left w:w="80" w:type="dxa"/>
              <w:right w:w="80" w:type="dxa"/>
            </w:tcMar>
            <w:shd w:fill="F8FAFC"/>
          </w:tcPr>
          <w:p>
            <w:pPr>
              <w:spacing w:after="0"/>
            </w:pPr>
            <w:r>
              <w:rPr>
                <w:color w:val="2D3748"/>
                <w:sz w:val="17"/>
              </w:rPr>
              <w:t>Active Development</w:t>
            </w:r>
          </w:p>
        </w:tc>
      </w:tr>
      <w:tr>
        <w:tc>
          <w:tcPr>
            <w:tcW w:type="dxa" w:w="2160"/>
            <w:tcMar>
              <w:top w:w="60" w:type="dxa"/>
              <w:bottom w:w="60" w:type="dxa"/>
              <w:left w:w="80" w:type="dxa"/>
              <w:right w:w="80" w:type="dxa"/>
            </w:tcMar>
            <w:shd w:fill="FFFFFF"/>
          </w:tcPr>
          <w:p>
            <w:pPr>
              <w:spacing w:after="0"/>
            </w:pPr>
            <w:r>
              <w:rPr>
                <w:b/>
                <w:color w:val="1B365D"/>
                <w:sz w:val="17"/>
              </w:rPr>
              <w:t>Phase 3: QA Synthetic Suite</w:t>
            </w:r>
          </w:p>
        </w:tc>
        <w:tc>
          <w:tcPr>
            <w:tcW w:type="dxa" w:w="3888"/>
            <w:tcMar>
              <w:top w:w="60" w:type="dxa"/>
              <w:bottom w:w="60" w:type="dxa"/>
              <w:left w:w="80" w:type="dxa"/>
              <w:right w:w="80" w:type="dxa"/>
            </w:tcMar>
            <w:shd w:fill="FFFFFF"/>
          </w:tcPr>
          <w:p>
            <w:pPr>
              <w:spacing w:after="0"/>
            </w:pPr>
            <w:r>
              <w:rPr>
                <w:color w:val="2D3748"/>
                <w:sz w:val="17"/>
              </w:rPr>
              <w:t>Run end-to-end Playwright tests replicating SYNINC0000012 data collision.</w:t>
            </w:r>
          </w:p>
        </w:tc>
        <w:tc>
          <w:tcPr>
            <w:tcW w:type="dxa" w:w="2016"/>
            <w:tcMar>
              <w:top w:w="60" w:type="dxa"/>
              <w:bottom w:w="60" w:type="dxa"/>
              <w:left w:w="80" w:type="dxa"/>
              <w:right w:w="80" w:type="dxa"/>
            </w:tcMar>
            <w:shd w:fill="FFFFFF"/>
          </w:tcPr>
          <w:p>
            <w:pPr>
              <w:spacing w:after="0"/>
            </w:pPr>
            <w:r>
              <w:rPr>
                <w:color w:val="2D3748"/>
                <w:sz w:val="17"/>
              </w:rPr>
              <w:t>QA Automation</w:t>
            </w:r>
          </w:p>
        </w:tc>
        <w:tc>
          <w:tcPr>
            <w:tcW w:type="dxa" w:w="1872"/>
            <w:tcMar>
              <w:top w:w="60" w:type="dxa"/>
              <w:bottom w:w="60" w:type="dxa"/>
              <w:left w:w="80" w:type="dxa"/>
              <w:right w:w="80" w:type="dxa"/>
            </w:tcMar>
            <w:shd w:fill="FFFFFF"/>
          </w:tcPr>
          <w:p>
            <w:pPr>
              <w:spacing w:after="0"/>
            </w:pPr>
            <w:r>
              <w:rPr>
                <w:color w:val="2D3748"/>
                <w:sz w:val="17"/>
              </w:rPr>
              <w:t>Scheduled</w:t>
            </w:r>
          </w:p>
        </w:tc>
      </w:tr>
      <w:tr>
        <w:tc>
          <w:tcPr>
            <w:tcW w:type="dxa" w:w="2160"/>
            <w:tcMar>
              <w:top w:w="60" w:type="dxa"/>
              <w:bottom w:w="60" w:type="dxa"/>
              <w:left w:w="80" w:type="dxa"/>
              <w:right w:w="80" w:type="dxa"/>
            </w:tcMar>
            <w:shd w:fill="F8FAFC"/>
          </w:tcPr>
          <w:p>
            <w:pPr>
              <w:spacing w:after="0"/>
            </w:pPr>
            <w:r>
              <w:rPr>
                <w:b/>
                <w:color w:val="1B365D"/>
                <w:sz w:val="17"/>
              </w:rPr>
              <w:t>Phase 4: Canary Deployment</w:t>
            </w:r>
          </w:p>
        </w:tc>
        <w:tc>
          <w:tcPr>
            <w:tcW w:type="dxa" w:w="3888"/>
            <w:tcMar>
              <w:top w:w="60" w:type="dxa"/>
              <w:bottom w:w="60" w:type="dxa"/>
              <w:left w:w="80" w:type="dxa"/>
              <w:right w:w="80" w:type="dxa"/>
            </w:tcMar>
            <w:shd w:fill="F8FAFC"/>
          </w:tcPr>
          <w:p>
            <w:pPr>
              <w:spacing w:after="0"/>
            </w:pPr>
            <w:r>
              <w:rPr>
                <w:color w:val="2D3748"/>
                <w:sz w:val="17"/>
              </w:rPr>
              <w:t>Gradual rollout (10% -&gt; 50% -&gt; 100% production traffic) with telemetry monitoring.</w:t>
            </w:r>
          </w:p>
        </w:tc>
        <w:tc>
          <w:tcPr>
            <w:tcW w:type="dxa" w:w="2016"/>
            <w:tcMar>
              <w:top w:w="60" w:type="dxa"/>
              <w:bottom w:w="60" w:type="dxa"/>
              <w:left w:w="80" w:type="dxa"/>
              <w:right w:w="80" w:type="dxa"/>
            </w:tcMar>
            <w:shd w:fill="F8FAFC"/>
          </w:tcPr>
          <w:p>
            <w:pPr>
              <w:spacing w:after="0"/>
            </w:pPr>
            <w:r>
              <w:rPr>
                <w:color w:val="2D3748"/>
                <w:sz w:val="17"/>
              </w:rPr>
              <w:t>DevOps / Release Eng</w:t>
            </w:r>
          </w:p>
        </w:tc>
        <w:tc>
          <w:tcPr>
            <w:tcW w:type="dxa" w:w="1872"/>
            <w:tcMar>
              <w:top w:w="60" w:type="dxa"/>
              <w:bottom w:w="60" w:type="dxa"/>
              <w:left w:w="80" w:type="dxa"/>
              <w:right w:w="80" w:type="dxa"/>
            </w:tcMar>
            <w:shd w:fill="F8FAFC"/>
          </w:tcPr>
          <w:p>
            <w:pPr>
              <w:spacing w:after="0"/>
            </w:pPr>
            <w:r>
              <w:rPr>
                <w:color w:val="2D3748"/>
                <w:sz w:val="17"/>
              </w:rPr>
              <w:t>Pending QA Signoff</w:t>
            </w:r>
          </w:p>
        </w:tc>
      </w:tr>
    </w:tbl>
    <w:p>
      <w:pPr>
        <w:spacing w:after="120"/>
      </w:pPr>
    </w:p>
    <w:p>
      <w:pPr>
        <w:keepNext/>
        <w:spacing w:before="240" w:after="80"/>
      </w:pPr>
      <w:r>
        <w:rPr>
          <w:rFonts w:ascii="Arial" w:hAnsi="Arial"/>
          <w:b/>
          <w:color w:val="2C5282"/>
          <w:sz w:val="24"/>
        </w:rPr>
        <w:t>9.1 Key Performance Indicators (KPIs)</w:t>
      </w:r>
    </w:p>
    <w:p>
      <w:pPr>
        <w:pStyle w:val="ListBullet"/>
        <w:spacing w:before="20" w:after="40"/>
      </w:pPr>
      <w:r>
        <w:rPr>
          <w:rFonts w:ascii="Arial" w:hAnsi="Arial"/>
          <w:b/>
          <w:color w:val="1B365D"/>
          <w:sz w:val="19"/>
        </w:rPr>
        <w:t xml:space="preserve">KPI 1: </w:t>
      </w:r>
      <w:r>
        <w:rPr>
          <w:rFonts w:ascii="Arial" w:hAnsi="Arial"/>
          <w:color w:val="2D3748"/>
          <w:sz w:val="19"/>
        </w:rPr>
        <w:t>Zero Repeat Tickets: 0 incidents filed under Category: Access / Data Issue for dependent coverage ambiguity (Target: 100% reduction).</w:t>
      </w:r>
    </w:p>
    <w:p>
      <w:pPr>
        <w:pStyle w:val="ListBullet"/>
        <w:spacing w:before="20" w:after="40"/>
      </w:pPr>
      <w:r>
        <w:rPr>
          <w:rFonts w:ascii="Arial" w:hAnsi="Arial"/>
          <w:b/>
          <w:color w:val="1B365D"/>
          <w:sz w:val="19"/>
        </w:rPr>
        <w:t xml:space="preserve">KPI 2: </w:t>
      </w:r>
      <w:r>
        <w:rPr>
          <w:rFonts w:ascii="Arial" w:hAnsi="Arial"/>
          <w:color w:val="2D3748"/>
          <w:sz w:val="19"/>
        </w:rPr>
        <w:t>First-Time Resolution Rate: 99.8% successful self-service coverage view on initial page load.</w:t>
      </w:r>
    </w:p>
    <w:p>
      <w:pPr>
        <w:pStyle w:val="ListBullet"/>
        <w:spacing w:before="20" w:after="40"/>
      </w:pPr>
      <w:r>
        <w:rPr>
          <w:rFonts w:ascii="Arial" w:hAnsi="Arial"/>
          <w:b/>
          <w:color w:val="1B365D"/>
          <w:sz w:val="19"/>
        </w:rPr>
        <w:t xml:space="preserve">KPI 3: </w:t>
      </w:r>
      <w:r>
        <w:rPr>
          <w:rFonts w:ascii="Arial" w:hAnsi="Arial"/>
          <w:color w:val="2D3748"/>
          <w:sz w:val="19"/>
        </w:rPr>
        <w:t>Call Center Deflection: Estimated 15% reduction in 'Missing Dependent Coverage' tier 1 inbound calls.</w:t>
      </w:r>
    </w:p>
    <w:p>
      <w:pPr>
        <w:keepNext/>
        <w:spacing w:before="320" w:after="120"/>
      </w:pPr>
      <w:r>
        <w:rPr>
          <w:rFonts w:ascii="Arial" w:hAnsi="Arial"/>
          <w:b/>
          <w:color w:val="1B365D"/>
          <w:sz w:val="30"/>
        </w:rPr>
        <w:t>10. Sign-off &amp; Document Governance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2484"/>
        <w:gridCol w:w="2484"/>
        <w:gridCol w:w="2484"/>
        <w:gridCol w:w="2484"/>
      </w:tblGrid>
      <w:tr>
        <w:tc>
          <w:tcPr>
            <w:tcW w:type="dxa" w:w="2592"/>
            <w:tcMar>
              <w:top w:w="60" w:type="dxa"/>
              <w:bottom w:w="60" w:type="dxa"/>
              <w:left w:w="80" w:type="dxa"/>
              <w:right w:w="80" w:type="dxa"/>
            </w:tcMar>
            <w:shd w:fill="1B365D"/>
          </w:tcPr>
          <w:p>
            <w:pPr>
              <w:spacing w:after="0"/>
            </w:pPr>
            <w:r>
              <w:rPr>
                <w:b/>
                <w:color w:val="FFFFFF"/>
                <w:sz w:val="17"/>
              </w:rPr>
              <w:t>Stakeholder Role</w:t>
            </w:r>
          </w:p>
        </w:tc>
        <w:tc>
          <w:tcPr>
            <w:tcW w:type="dxa" w:w="2592"/>
            <w:tcMar>
              <w:top w:w="60" w:type="dxa"/>
              <w:bottom w:w="60" w:type="dxa"/>
              <w:left w:w="80" w:type="dxa"/>
              <w:right w:w="80" w:type="dxa"/>
            </w:tcMar>
            <w:shd w:fill="1B365D"/>
          </w:tcPr>
          <w:p>
            <w:pPr>
              <w:spacing w:after="0"/>
            </w:pPr>
            <w:r>
              <w:rPr>
                <w:b/>
                <w:color w:val="FFFFFF"/>
                <w:sz w:val="17"/>
              </w:rPr>
              <w:t>Name</w:t>
            </w:r>
          </w:p>
        </w:tc>
        <w:tc>
          <w:tcPr>
            <w:tcW w:type="dxa" w:w="2592"/>
            <w:tcMar>
              <w:top w:w="60" w:type="dxa"/>
              <w:bottom w:w="60" w:type="dxa"/>
              <w:left w:w="80" w:type="dxa"/>
              <w:right w:w="80" w:type="dxa"/>
            </w:tcMar>
            <w:shd w:fill="1B365D"/>
          </w:tcPr>
          <w:p>
            <w:pPr>
              <w:spacing w:after="0"/>
            </w:pPr>
            <w:r>
              <w:rPr>
                <w:b/>
                <w:color w:val="FFFFFF"/>
                <w:sz w:val="17"/>
              </w:rPr>
              <w:t>Approval Signature</w:t>
            </w:r>
          </w:p>
        </w:tc>
        <w:tc>
          <w:tcPr>
            <w:tcW w:type="dxa" w:w="2160"/>
            <w:tcMar>
              <w:top w:w="60" w:type="dxa"/>
              <w:bottom w:w="60" w:type="dxa"/>
              <w:left w:w="80" w:type="dxa"/>
              <w:right w:w="80" w:type="dxa"/>
            </w:tcMar>
            <w:shd w:fill="1B365D"/>
          </w:tcPr>
          <w:p>
            <w:pPr>
              <w:spacing w:after="0"/>
            </w:pPr>
            <w:r>
              <w:rPr>
                <w:b/>
                <w:color w:val="FFFFFF"/>
                <w:sz w:val="17"/>
              </w:rPr>
              <w:t>Date</w:t>
            </w:r>
          </w:p>
        </w:tc>
      </w:tr>
      <w:tr>
        <w:tc>
          <w:tcPr>
            <w:tcW w:type="dxa" w:w="2592"/>
            <w:tcMar>
              <w:top w:w="60" w:type="dxa"/>
              <w:bottom w:w="60" w:type="dxa"/>
              <w:left w:w="80" w:type="dxa"/>
              <w:right w:w="80" w:type="dxa"/>
            </w:tcMar>
            <w:shd w:fill="FFFFFF"/>
          </w:tcPr>
          <w:p>
            <w:pPr>
              <w:spacing w:after="0"/>
            </w:pPr>
            <w:r>
              <w:rPr>
                <w:b/>
                <w:color w:val="1B365D"/>
                <w:sz w:val="17"/>
              </w:rPr>
              <w:t>Lead Product Manager</w:t>
            </w:r>
          </w:p>
        </w:tc>
        <w:tc>
          <w:tcPr>
            <w:tcW w:type="dxa" w:w="2592"/>
            <w:tcMar>
              <w:top w:w="60" w:type="dxa"/>
              <w:bottom w:w="60" w:type="dxa"/>
              <w:left w:w="80" w:type="dxa"/>
              <w:right w:w="80" w:type="dxa"/>
            </w:tcMar>
            <w:shd w:fill="FFFFFF"/>
          </w:tcPr>
          <w:p>
            <w:pPr>
              <w:spacing w:after="0"/>
            </w:pPr>
            <w:r>
              <w:rPr>
                <w:color w:val="2D3748"/>
                <w:sz w:val="17"/>
              </w:rPr>
              <w:t>Sarah Jenkins</w:t>
            </w:r>
          </w:p>
        </w:tc>
        <w:tc>
          <w:tcPr>
            <w:tcW w:type="dxa" w:w="2592"/>
            <w:tcMar>
              <w:top w:w="60" w:type="dxa"/>
              <w:bottom w:w="60" w:type="dxa"/>
              <w:left w:w="80" w:type="dxa"/>
              <w:right w:w="80" w:type="dxa"/>
            </w:tcMar>
            <w:shd w:fill="FFFFFF"/>
          </w:tcPr>
          <w:p>
            <w:pPr>
              <w:spacing w:after="0"/>
            </w:pPr>
            <w:r>
              <w:rPr>
                <w:color w:val="2D3748"/>
                <w:sz w:val="17"/>
              </w:rPr>
              <w:t>APPROVED [Electronic]</w:t>
            </w:r>
          </w:p>
        </w:tc>
        <w:tc>
          <w:tcPr>
            <w:tcW w:type="dxa" w:w="2160"/>
            <w:tcMar>
              <w:top w:w="60" w:type="dxa"/>
              <w:bottom w:w="60" w:type="dxa"/>
              <w:left w:w="80" w:type="dxa"/>
              <w:right w:w="80" w:type="dxa"/>
            </w:tcMar>
            <w:shd w:fill="FFFFFF"/>
          </w:tcPr>
          <w:p>
            <w:pPr>
              <w:spacing w:after="0"/>
            </w:pPr>
            <w:r>
              <w:rPr>
                <w:color w:val="2D3748"/>
                <w:sz w:val="17"/>
              </w:rPr>
              <w:t>2026-09-04</w:t>
            </w:r>
          </w:p>
        </w:tc>
      </w:tr>
      <w:tr>
        <w:tc>
          <w:tcPr>
            <w:tcW w:type="dxa" w:w="2592"/>
            <w:tcMar>
              <w:top w:w="60" w:type="dxa"/>
              <w:bottom w:w="60" w:type="dxa"/>
              <w:left w:w="80" w:type="dxa"/>
              <w:right w:w="80" w:type="dxa"/>
            </w:tcMar>
            <w:shd w:fill="F8FAFC"/>
          </w:tcPr>
          <w:p>
            <w:pPr>
              <w:spacing w:after="0"/>
            </w:pPr>
            <w:r>
              <w:rPr>
                <w:b/>
                <w:color w:val="1B365D"/>
                <w:sz w:val="17"/>
              </w:rPr>
              <w:t>Principal UI/UX Architect</w:t>
            </w:r>
          </w:p>
        </w:tc>
        <w:tc>
          <w:tcPr>
            <w:tcW w:type="dxa" w:w="2592"/>
            <w:tcMar>
              <w:top w:w="60" w:type="dxa"/>
              <w:bottom w:w="60" w:type="dxa"/>
              <w:left w:w="80" w:type="dxa"/>
              <w:right w:w="80" w:type="dxa"/>
            </w:tcMar>
            <w:shd w:fill="F8FAFC"/>
          </w:tcPr>
          <w:p>
            <w:pPr>
              <w:spacing w:after="0"/>
            </w:pPr>
            <w:r>
              <w:rPr>
                <w:color w:val="2D3748"/>
                <w:sz w:val="17"/>
              </w:rPr>
              <w:t>David Chen</w:t>
            </w:r>
          </w:p>
        </w:tc>
        <w:tc>
          <w:tcPr>
            <w:tcW w:type="dxa" w:w="2592"/>
            <w:tcMar>
              <w:top w:w="60" w:type="dxa"/>
              <w:bottom w:w="60" w:type="dxa"/>
              <w:left w:w="80" w:type="dxa"/>
              <w:right w:w="80" w:type="dxa"/>
            </w:tcMar>
            <w:shd w:fill="F8FAFC"/>
          </w:tcPr>
          <w:p>
            <w:pPr>
              <w:spacing w:after="0"/>
            </w:pPr>
            <w:r>
              <w:rPr>
                <w:color w:val="2D3748"/>
                <w:sz w:val="17"/>
              </w:rPr>
              <w:t>APPROVED [Electronic]</w:t>
            </w:r>
          </w:p>
        </w:tc>
        <w:tc>
          <w:tcPr>
            <w:tcW w:type="dxa" w:w="2160"/>
            <w:tcMar>
              <w:top w:w="60" w:type="dxa"/>
              <w:bottom w:w="60" w:type="dxa"/>
              <w:left w:w="80" w:type="dxa"/>
              <w:right w:w="80" w:type="dxa"/>
            </w:tcMar>
            <w:shd w:fill="F8FAFC"/>
          </w:tcPr>
          <w:p>
            <w:pPr>
              <w:spacing w:after="0"/>
            </w:pPr>
            <w:r>
              <w:rPr>
                <w:color w:val="2D3748"/>
                <w:sz w:val="17"/>
              </w:rPr>
              <w:t>2026-09-04</w:t>
            </w:r>
          </w:p>
        </w:tc>
      </w:tr>
      <w:tr>
        <w:tc>
          <w:tcPr>
            <w:tcW w:type="dxa" w:w="2592"/>
            <w:tcMar>
              <w:top w:w="60" w:type="dxa"/>
              <w:bottom w:w="60" w:type="dxa"/>
              <w:left w:w="80" w:type="dxa"/>
              <w:right w:w="80" w:type="dxa"/>
            </w:tcMar>
            <w:shd w:fill="FFFFFF"/>
          </w:tcPr>
          <w:p>
            <w:pPr>
              <w:spacing w:after="0"/>
            </w:pPr>
            <w:r>
              <w:rPr>
                <w:b/>
                <w:color w:val="1B365D"/>
                <w:sz w:val="17"/>
              </w:rPr>
              <w:t>Benefits Core Tech Lead</w:t>
            </w:r>
          </w:p>
        </w:tc>
        <w:tc>
          <w:tcPr>
            <w:tcW w:type="dxa" w:w="2592"/>
            <w:tcMar>
              <w:top w:w="60" w:type="dxa"/>
              <w:bottom w:w="60" w:type="dxa"/>
              <w:left w:w="80" w:type="dxa"/>
              <w:right w:w="80" w:type="dxa"/>
            </w:tcMar>
            <w:shd w:fill="FFFFFF"/>
          </w:tcPr>
          <w:p>
            <w:pPr>
              <w:spacing w:after="0"/>
            </w:pPr>
            <w:r>
              <w:rPr>
                <w:color w:val="2D3748"/>
                <w:sz w:val="17"/>
              </w:rPr>
              <w:t>Marcus Vance</w:t>
            </w:r>
          </w:p>
        </w:tc>
        <w:tc>
          <w:tcPr>
            <w:tcW w:type="dxa" w:w="2592"/>
            <w:tcMar>
              <w:top w:w="60" w:type="dxa"/>
              <w:bottom w:w="60" w:type="dxa"/>
              <w:left w:w="80" w:type="dxa"/>
              <w:right w:w="80" w:type="dxa"/>
            </w:tcMar>
            <w:shd w:fill="FFFFFF"/>
          </w:tcPr>
          <w:p>
            <w:pPr>
              <w:spacing w:after="0"/>
            </w:pPr>
            <w:r>
              <w:rPr>
                <w:color w:val="2D3748"/>
                <w:sz w:val="17"/>
              </w:rPr>
              <w:t>APPROVED [Electronic]</w:t>
            </w:r>
          </w:p>
        </w:tc>
        <w:tc>
          <w:tcPr>
            <w:tcW w:type="dxa" w:w="2160"/>
            <w:tcMar>
              <w:top w:w="60" w:type="dxa"/>
              <w:bottom w:w="60" w:type="dxa"/>
              <w:left w:w="80" w:type="dxa"/>
              <w:right w:w="80" w:type="dxa"/>
            </w:tcMar>
            <w:shd w:fill="FFFFFF"/>
          </w:tcPr>
          <w:p>
            <w:pPr>
              <w:spacing w:after="0"/>
            </w:pPr>
            <w:r>
              <w:rPr>
                <w:color w:val="2D3748"/>
                <w:sz w:val="17"/>
              </w:rPr>
              <w:t>2026-09-04</w:t>
            </w:r>
          </w:p>
        </w:tc>
      </w:tr>
      <w:tr>
        <w:tc>
          <w:tcPr>
            <w:tcW w:type="dxa" w:w="2592"/>
            <w:tcMar>
              <w:top w:w="60" w:type="dxa"/>
              <w:bottom w:w="60" w:type="dxa"/>
              <w:left w:w="80" w:type="dxa"/>
              <w:right w:w="80" w:type="dxa"/>
            </w:tcMar>
            <w:shd w:fill="F8FAFC"/>
          </w:tcPr>
          <w:p>
            <w:pPr>
              <w:spacing w:after="0"/>
            </w:pPr>
            <w:r>
              <w:rPr>
                <w:b/>
                <w:color w:val="1B365D"/>
                <w:sz w:val="17"/>
              </w:rPr>
              <w:t>Quality Assurance Director</w:t>
            </w:r>
          </w:p>
        </w:tc>
        <w:tc>
          <w:tcPr>
            <w:tcW w:type="dxa" w:w="2592"/>
            <w:tcMar>
              <w:top w:w="60" w:type="dxa"/>
              <w:bottom w:w="60" w:type="dxa"/>
              <w:left w:w="80" w:type="dxa"/>
              <w:right w:w="80" w:type="dxa"/>
            </w:tcMar>
            <w:shd w:fill="F8FAFC"/>
          </w:tcPr>
          <w:p>
            <w:pPr>
              <w:spacing w:after="0"/>
            </w:pPr>
            <w:r>
              <w:rPr>
                <w:color w:val="2D3748"/>
                <w:sz w:val="17"/>
              </w:rPr>
              <w:t>Priya Sharma</w:t>
            </w:r>
          </w:p>
        </w:tc>
        <w:tc>
          <w:tcPr>
            <w:tcW w:type="dxa" w:w="2592"/>
            <w:tcMar>
              <w:top w:w="60" w:type="dxa"/>
              <w:bottom w:w="60" w:type="dxa"/>
              <w:left w:w="80" w:type="dxa"/>
              <w:right w:w="80" w:type="dxa"/>
            </w:tcMar>
            <w:shd w:fill="F8FAFC"/>
          </w:tcPr>
          <w:p>
            <w:pPr>
              <w:spacing w:after="0"/>
            </w:pPr>
            <w:r>
              <w:rPr>
                <w:color w:val="2D3748"/>
                <w:sz w:val="17"/>
              </w:rPr>
              <w:t>APPROVED [Electronic]</w:t>
            </w:r>
          </w:p>
        </w:tc>
        <w:tc>
          <w:tcPr>
            <w:tcW w:type="dxa" w:w="2160"/>
            <w:tcMar>
              <w:top w:w="60" w:type="dxa"/>
              <w:bottom w:w="60" w:type="dxa"/>
              <w:left w:w="80" w:type="dxa"/>
              <w:right w:w="80" w:type="dxa"/>
            </w:tcMar>
            <w:shd w:fill="F8FAFC"/>
          </w:tcPr>
          <w:p>
            <w:pPr>
              <w:spacing w:after="0"/>
            </w:pPr>
            <w:r>
              <w:rPr>
                <w:color w:val="2D3748"/>
                <w:sz w:val="17"/>
              </w:rPr>
              <w:t>2026-09-04</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CONFIDENTIAL - MyMember Benefits Portal Product &amp; Engineering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Product Requirements Document | Incident Remediation (SYNINC0000012)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