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1B365D"/>
          <w:sz w:val="40"/>
        </w:rPr>
        <w:t>Product Requirement Document (PRD)</w:t>
      </w:r>
    </w:p>
    <w:p>
      <w:pPr>
        <w:spacing w:after="160"/>
      </w:pPr>
    </w:p>
    <w:p>
      <w:pPr>
        <w:keepNext/>
        <w:spacing w:before="280" w:after="80"/>
      </w:pPr>
      <w:r>
        <w:rPr>
          <w:rFonts w:ascii="Calibri" w:hAnsi="Calibri"/>
          <w:b/>
          <w:color w:val="1B365D"/>
          <w:sz w:val="27"/>
        </w:rPr>
        <w:t>1. Executive Summary &amp; Problem Statement</w:t>
      </w:r>
    </w:p>
    <w:p>
      <w:pPr>
        <w:keepNext/>
        <w:spacing w:before="200" w:after="60"/>
      </w:pPr>
      <w:r>
        <w:rPr>
          <w:rFonts w:ascii="Calibri" w:hAnsi="Calibri"/>
          <w:b/>
          <w:color w:val="2C5282"/>
          <w:sz w:val="23"/>
        </w:rPr>
        <w:t>Executive Summary</w:t>
      </w:r>
    </w:p>
    <w:p>
      <w:pPr>
        <w:spacing w:before="40" w:after="80"/>
      </w:pPr>
      <w:r>
        <w:rPr>
          <w:rFonts w:ascii="Calibri" w:hAnsi="Calibri"/>
          <w:color w:val="2D3748"/>
          <w:sz w:val="20"/>
        </w:rPr>
        <w:t>Following incident SYNINC0000012 (MyMember Benefits Portal - Production dental coverage intermittent failure for a covered spouse), support investigation by the Synthetic Benefits Support group highlighted a vulnerability in our dependent person selection and coverage retrieval processes. Due to data ambiguity where a covered spouse and child shared matching display names, the portal failed to display active dental coverage for the spouse (Mock Member 0012, Member Number: MOCKMBR000012, Dependent Reference: MOCKDEP000012). To prevent future Moderate-priority incidents affecting member benefits visibility and clinical workflows, this PRD outlines the requirements for an Automated Dependent Disambiguation and Unique ID-Driven Coverage Resolution System linked directly to Incident SYNINC0000012.</w:t>
      </w:r>
    </w:p>
    <w:p>
      <w:pPr>
        <w:keepNext/>
        <w:spacing w:before="200" w:after="60"/>
      </w:pPr>
      <w:r>
        <w:rPr>
          <w:rFonts w:ascii="Calibri" w:hAnsi="Calibri"/>
          <w:b/>
          <w:color w:val="2C5282"/>
          <w:sz w:val="23"/>
        </w:rPr>
        <w:t>Problem Statement</w:t>
      </w:r>
    </w:p>
    <w:p>
      <w:pPr>
        <w:spacing w:before="40" w:after="80"/>
      </w:pPr>
      <w:r>
        <w:rPr>
          <w:rFonts w:ascii="Calibri" w:hAnsi="Calibri"/>
          <w:color w:val="2D3748"/>
          <w:sz w:val="20"/>
        </w:rPr>
        <w:t>In the MyMember Benefits Portal - Production environment, dependent selection and benefits retrieval logic relies on ambiguous display names rather than immutable surrogate keys. When family members (specifically spouse and child) have matching display names, the portal's person selector collides, resulting in ambiguous person selection and failing to retrieve the spouse's expected dental coverage. This leads to member confusion, administrative overhead for the Synthetic Benefits Support assignment group, extended Mean Time to Repair (MTTR of 5 days: created 16-Jan-2026, resolved 21-Jan-2026), and potential disruption to dental care continuity. Manual support audits and individual data remediations are insufficient for resolving underlying UI selector and query state collisions in high-availability member self-service portals.</w:t>
      </w:r>
    </w:p>
    <w:p>
      <w:pPr>
        <w:spacing w:before="120" w:after="120"/>
        <w:pBdr>
          <w:bottom w:val="single" w:sz="6" w:space="1" w:color="CBD5E1"/>
        </w:pBdr>
      </w:pPr>
    </w:p>
    <w:p>
      <w:pPr>
        <w:keepNext/>
        <w:spacing w:before="280" w:after="80"/>
      </w:pPr>
      <w:r>
        <w:rPr>
          <w:rFonts w:ascii="Calibri" w:hAnsi="Calibri"/>
          <w:b/>
          <w:color w:val="1B365D"/>
          <w:sz w:val="27"/>
        </w:rPr>
        <w:t>2. Objectives &amp; Scope</w:t>
      </w:r>
    </w:p>
    <w:p>
      <w:pPr>
        <w:keepNext/>
        <w:spacing w:before="200" w:after="60"/>
      </w:pPr>
      <w:r>
        <w:rPr>
          <w:rFonts w:ascii="Calibri" w:hAnsi="Calibri"/>
          <w:b/>
          <w:color w:val="2C5282"/>
          <w:sz w:val="23"/>
        </w:rPr>
        <w:t>Objectives</w:t>
      </w:r>
    </w:p>
    <w:p>
      <w:pPr>
        <w:pStyle w:val="ListBullet"/>
        <w:spacing w:before="20" w:after="40"/>
      </w:pPr>
      <w:r>
        <w:rPr>
          <w:rFonts w:ascii="Calibri" w:hAnsi="Calibri"/>
          <w:b/>
          <w:color w:val="1B365D"/>
          <w:sz w:val="20"/>
        </w:rPr>
        <w:t xml:space="preserve">Zero Ambiguous Lookups: </w:t>
      </w:r>
      <w:r>
        <w:rPr>
          <w:rFonts w:ascii="Calibri" w:hAnsi="Calibri"/>
          <w:color w:val="2D3748"/>
          <w:sz w:val="20"/>
        </w:rPr>
        <w:t>Achieve 100% automated real-time disambiguation and accurate dependent identification across MyMember Benefits Portal production and synthetic test environments.</w:t>
      </w:r>
    </w:p>
    <w:p>
      <w:pPr>
        <w:pStyle w:val="ListBullet"/>
        <w:spacing w:before="20" w:after="40"/>
      </w:pPr>
      <w:r>
        <w:rPr>
          <w:rFonts w:ascii="Calibri" w:hAnsi="Calibri"/>
          <w:b/>
          <w:color w:val="1B365D"/>
          <w:sz w:val="20"/>
        </w:rPr>
        <w:t xml:space="preserve">Accurate Coverage Display: </w:t>
      </w:r>
      <w:r>
        <w:rPr>
          <w:rFonts w:ascii="Calibri" w:hAnsi="Calibri"/>
          <w:color w:val="2D3748"/>
          <w:sz w:val="20"/>
        </w:rPr>
        <w:t>Ensure 100% of enrolled dental, medical, and vision benefits are displayed correctly for covered dependents regardless of identical or matching display names.</w:t>
      </w:r>
    </w:p>
    <w:p>
      <w:pPr>
        <w:pStyle w:val="ListBullet"/>
        <w:spacing w:before="20" w:after="40"/>
      </w:pPr>
      <w:r>
        <w:rPr>
          <w:rFonts w:ascii="Calibri" w:hAnsi="Calibri"/>
          <w:b/>
          <w:color w:val="1B365D"/>
          <w:sz w:val="20"/>
        </w:rPr>
        <w:t xml:space="preserve">Proactive Remediation: </w:t>
      </w:r>
      <w:r>
        <w:rPr>
          <w:rFonts w:ascii="Calibri" w:hAnsi="Calibri"/>
          <w:color w:val="2D3748"/>
          <w:sz w:val="20"/>
        </w:rPr>
        <w:t>Reduce configuration and data ambiguity-related access incidents by 90% over the next two quarters, eliminating repeat tickets for 'Dental Coverage Not Displayed'.</w:t>
      </w:r>
    </w:p>
    <w:p>
      <w:pPr>
        <w:pStyle w:val="ListBullet"/>
        <w:spacing w:before="20" w:after="40"/>
      </w:pPr>
      <w:r>
        <w:rPr>
          <w:rFonts w:ascii="Calibri" w:hAnsi="Calibri"/>
          <w:b/>
          <w:color w:val="1B365D"/>
          <w:sz w:val="20"/>
        </w:rPr>
        <w:t xml:space="preserve">Streamlined Compliance: </w:t>
      </w:r>
      <w:r>
        <w:rPr>
          <w:rFonts w:ascii="Calibri" w:hAnsi="Calibri"/>
          <w:color w:val="2D3748"/>
          <w:sz w:val="20"/>
        </w:rPr>
        <w:t>Provide automated compliance and audit logs for dependent access states while strictly enforcing data privacy safeguards (masking SSN 000-22-1012 and displaying masked dependent references).</w:t>
      </w:r>
    </w:p>
    <w:p>
      <w:pPr>
        <w:keepNext/>
        <w:spacing w:before="200" w:after="60"/>
      </w:pPr>
      <w:r>
        <w:rPr>
          <w:rFonts w:ascii="Calibri" w:hAnsi="Calibri"/>
          <w:b/>
          <w:color w:val="2C5282"/>
          <w:sz w:val="23"/>
        </w:rPr>
        <w:t>Scope</w:t>
      </w:r>
    </w:p>
    <w:p>
      <w:pPr>
        <w:spacing w:before="40" w:after="80"/>
      </w:pPr>
      <w:r>
        <w:rPr>
          <w:rFonts w:ascii="Calibri" w:hAnsi="Calibri"/>
          <w:b/>
          <w:color w:val="2D3748"/>
          <w:sz w:val="20"/>
        </w:rPr>
        <w:t>In Scope:</w:t>
      </w:r>
    </w:p>
    <w:p>
      <w:pPr>
        <w:pStyle w:val="ListBullet"/>
        <w:spacing w:before="20" w:after="40"/>
      </w:pPr>
      <w:r>
        <w:rPr>
          <w:rFonts w:ascii="Calibri" w:hAnsi="Calibri"/>
          <w:color w:val="2D3748"/>
          <w:sz w:val="20"/>
        </w:rPr>
        <w:t>UI redesign of the dependent selection interface on the MyMember Benefits Portal to display separate person cards utilizing relationship badges ('Spouse', 'Child', 'Primary Subscriber') and masked dependent IDs ('DEP-***012').</w:t>
      </w:r>
    </w:p>
    <w:p>
      <w:pPr>
        <w:pStyle w:val="ListBullet"/>
        <w:spacing w:before="20" w:after="40"/>
      </w:pPr>
      <w:r>
        <w:rPr>
          <w:rFonts w:ascii="Calibri" w:hAnsi="Calibri"/>
          <w:color w:val="2D3748"/>
          <w:sz w:val="20"/>
        </w:rPr>
        <w:t>Backend coverage query refactoring to retrieve benefits strictly using unique immutable dependent identifiers (MOCKDEP000012) linked to member MOCKMBR000012 rather than display strings.</w:t>
      </w:r>
    </w:p>
    <w:p>
      <w:pPr>
        <w:pStyle w:val="ListBullet"/>
        <w:spacing w:before="20" w:after="40"/>
      </w:pPr>
      <w:r>
        <w:rPr>
          <w:rFonts w:ascii="Calibri" w:hAnsi="Calibri"/>
          <w:color w:val="2D3748"/>
          <w:sz w:val="20"/>
        </w:rPr>
        <w:t>Automated collision detection and fallback warning logic when duplicate or matching names are detected under a single subscriber account.</w:t>
      </w:r>
    </w:p>
    <w:p>
      <w:pPr>
        <w:pStyle w:val="ListBullet"/>
        <w:spacing w:before="20" w:after="40"/>
      </w:pPr>
      <w:r>
        <w:rPr>
          <w:rFonts w:ascii="Calibri" w:hAnsi="Calibri"/>
          <w:color w:val="2D3748"/>
          <w:sz w:val="20"/>
        </w:rPr>
        <w:t>Integration with alerting channels and ITSM workflows (Synthetic Benefits Support incident tracking).</w:t>
      </w:r>
    </w:p>
    <w:p>
      <w:pPr>
        <w:pStyle w:val="ListBullet"/>
        <w:spacing w:before="20" w:after="40"/>
      </w:pPr>
      <w:r>
        <w:rPr>
          <w:rFonts w:ascii="Calibri" w:hAnsi="Calibri"/>
          <w:color w:val="2D3748"/>
          <w:sz w:val="20"/>
        </w:rPr>
        <w:t>Dashboard view for support and operations teams to inspect dependent hierarchies and verify coverage baseline bindings.</w:t>
      </w:r>
    </w:p>
    <w:p>
      <w:pPr>
        <w:spacing w:before="40" w:after="80"/>
      </w:pPr>
      <w:r>
        <w:rPr>
          <w:rFonts w:ascii="Calibri" w:hAnsi="Calibri"/>
          <w:b/>
          <w:color w:val="2D3748"/>
          <w:sz w:val="20"/>
        </w:rPr>
        <w:t>Out of Scope:</w:t>
      </w:r>
    </w:p>
    <w:p>
      <w:pPr>
        <w:pStyle w:val="ListBullet"/>
        <w:spacing w:before="20" w:after="40"/>
      </w:pPr>
      <w:r>
        <w:rPr>
          <w:rFonts w:ascii="Calibri" w:hAnsi="Calibri"/>
          <w:color w:val="2D3748"/>
          <w:sz w:val="20"/>
        </w:rPr>
        <w:t>Modifications to core upstream employer payroll/HR enrollment files (EDI 834 ingestion feeds).</w:t>
      </w:r>
    </w:p>
    <w:p>
      <w:pPr>
        <w:pStyle w:val="ListBullet"/>
        <w:spacing w:before="20" w:after="40"/>
      </w:pPr>
      <w:r>
        <w:rPr>
          <w:rFonts w:ascii="Calibri" w:hAnsi="Calibri"/>
          <w:color w:val="2D3748"/>
          <w:sz w:val="20"/>
        </w:rPr>
        <w:t>Automated self-service legal name changes or dependent record editing without benefits administrator verification (Phase 2 feature).</w:t>
      </w:r>
    </w:p>
    <w:p>
      <w:pPr>
        <w:pStyle w:val="ListBullet"/>
        <w:spacing w:before="20" w:after="40"/>
      </w:pPr>
      <w:r>
        <w:rPr>
          <w:rFonts w:ascii="Calibri" w:hAnsi="Calibri"/>
          <w:color w:val="2D3748"/>
          <w:sz w:val="20"/>
        </w:rPr>
        <w:t>Coverage monitoring for non-MyMember Benefits Portal legacy internal claims engines.</w:t>
      </w:r>
    </w:p>
    <w:p>
      <w:pPr>
        <w:spacing w:before="120" w:after="120"/>
        <w:pBdr>
          <w:bottom w:val="single" w:sz="6" w:space="1" w:color="CBD5E1"/>
        </w:pBdr>
      </w:pPr>
    </w:p>
    <w:p>
      <w:pPr>
        <w:keepNext/>
        <w:spacing w:before="280" w:after="80"/>
      </w:pPr>
      <w:r>
        <w:rPr>
          <w:rFonts w:ascii="Calibri" w:hAnsi="Calibri"/>
          <w:b/>
          <w:color w:val="1B365D"/>
          <w:sz w:val="27"/>
        </w:rPr>
        <w:t>3. User Personas &amp; Use Cases</w:t>
      </w:r>
    </w:p>
    <w:p>
      <w:pPr>
        <w:keepNext/>
        <w:spacing w:before="200" w:after="60"/>
      </w:pPr>
      <w:r>
        <w:rPr>
          <w:rFonts w:ascii="Calibri" w:hAnsi="Calibri"/>
          <w:b/>
          <w:color w:val="2C5282"/>
          <w:sz w:val="23"/>
        </w:rPr>
        <w:t>Primary Member / Policy Subscriber (e.g., Mock Member 0012):</w:t>
      </w:r>
    </w:p>
    <w:p>
      <w:pPr>
        <w:pStyle w:val="ListBullet"/>
        <w:spacing w:before="20" w:after="40"/>
      </w:pPr>
      <w:r>
        <w:rPr>
          <w:rFonts w:ascii="Calibri" w:hAnsi="Calibri"/>
          <w:b/>
          <w:color w:val="1B365D"/>
          <w:sz w:val="20"/>
        </w:rPr>
        <w:t xml:space="preserve">Use Case: </w:t>
      </w:r>
      <w:r>
        <w:rPr>
          <w:rFonts w:ascii="Calibri" w:hAnsi="Calibri"/>
          <w:color w:val="2D3748"/>
          <w:sz w:val="20"/>
        </w:rPr>
        <w:t>Needs to view and manage dental coverage details for their covered spouse and children independently, without the portal confusing one dependent for another when they share matching display names.</w:t>
      </w:r>
    </w:p>
    <w:p>
      <w:pPr>
        <w:keepNext/>
        <w:spacing w:before="200" w:after="60"/>
      </w:pPr>
      <w:r>
        <w:rPr>
          <w:rFonts w:ascii="Calibri" w:hAnsi="Calibri"/>
          <w:b/>
          <w:color w:val="2C5282"/>
          <w:sz w:val="23"/>
        </w:rPr>
        <w:t>Covered Dependent (Spouse / Adult Dependent):</w:t>
      </w:r>
    </w:p>
    <w:p>
      <w:pPr>
        <w:pStyle w:val="ListBullet"/>
        <w:spacing w:before="20" w:after="40"/>
      </w:pPr>
      <w:r>
        <w:rPr>
          <w:rFonts w:ascii="Calibri" w:hAnsi="Calibri"/>
          <w:b/>
          <w:color w:val="1B365D"/>
          <w:sz w:val="20"/>
        </w:rPr>
        <w:t xml:space="preserve">Use Case: </w:t>
      </w:r>
      <w:r>
        <w:rPr>
          <w:rFonts w:ascii="Calibri" w:hAnsi="Calibri"/>
          <w:color w:val="2D3748"/>
          <w:sz w:val="20"/>
        </w:rPr>
        <w:t>Wants immediate, clear visibility into individual dental benefits, plan summaries, copayments, and deductibles without experiencing access errors or missing coverage cards.</w:t>
      </w:r>
    </w:p>
    <w:p>
      <w:pPr>
        <w:keepNext/>
        <w:spacing w:before="200" w:after="60"/>
      </w:pPr>
      <w:r>
        <w:rPr>
          <w:rFonts w:ascii="Calibri" w:hAnsi="Calibri"/>
          <w:b/>
          <w:color w:val="2C5282"/>
          <w:sz w:val="23"/>
        </w:rPr>
        <w:t>Benefits Platform Support Specialist (Synthetic Benefits Support Lead):</w:t>
      </w:r>
    </w:p>
    <w:p>
      <w:pPr>
        <w:pStyle w:val="ListBullet"/>
        <w:spacing w:before="20" w:after="40"/>
      </w:pPr>
      <w:r>
        <w:rPr>
          <w:rFonts w:ascii="Calibri" w:hAnsi="Calibri"/>
          <w:b/>
          <w:color w:val="1B365D"/>
          <w:sz w:val="20"/>
        </w:rPr>
        <w:t xml:space="preserve">Use Case: </w:t>
      </w:r>
      <w:r>
        <w:rPr>
          <w:rFonts w:ascii="Calibri" w:hAnsi="Calibri"/>
          <w:color w:val="2D3748"/>
          <w:sz w:val="20"/>
        </w:rPr>
        <w:t>Wants visibility into historical configuration and dependent mapping states during incident triage to quickly rule out or resolve person-selection ambiguity without manual database patches.</w:t>
      </w:r>
    </w:p>
    <w:p>
      <w:pPr>
        <w:keepNext/>
        <w:spacing w:before="200" w:after="60"/>
      </w:pPr>
      <w:r>
        <w:rPr>
          <w:rFonts w:ascii="Calibri" w:hAnsi="Calibri"/>
          <w:b/>
          <w:color w:val="2C5282"/>
          <w:sz w:val="23"/>
        </w:rPr>
        <w:t>Compliance &amp; Security Officer:</w:t>
      </w:r>
    </w:p>
    <w:p>
      <w:pPr>
        <w:pStyle w:val="ListBullet"/>
        <w:spacing w:before="20" w:after="40"/>
      </w:pPr>
      <w:r>
        <w:rPr>
          <w:rFonts w:ascii="Calibri" w:hAnsi="Calibri"/>
          <w:b/>
          <w:color w:val="1B365D"/>
          <w:sz w:val="20"/>
        </w:rPr>
        <w:t xml:space="preserve">Use Case: </w:t>
      </w:r>
      <w:r>
        <w:rPr>
          <w:rFonts w:ascii="Calibri" w:hAnsi="Calibri"/>
          <w:color w:val="2D3748"/>
          <w:sz w:val="20"/>
        </w:rPr>
        <w:t>Requires audit trails verifying that all displayed dependent identifiers adhere to data privacy regulations, ensuring full SSNs (000-22-1012) remain masked and cross-dependent PHI leakage is prevented.</w:t>
      </w:r>
    </w:p>
    <w:p>
      <w:pPr>
        <w:spacing w:before="120" w:after="120"/>
        <w:pBdr>
          <w:bottom w:val="single" w:sz="6" w:space="1" w:color="CBD5E1"/>
        </w:pBdr>
      </w:pPr>
    </w:p>
    <w:p>
      <w:pPr>
        <w:keepNext/>
        <w:spacing w:before="280" w:after="80"/>
      </w:pPr>
      <w:r>
        <w:rPr>
          <w:rFonts w:ascii="Calibri" w:hAnsi="Calibri"/>
          <w:b/>
          <w:color w:val="1B365D"/>
          <w:sz w:val="27"/>
        </w:rPr>
        <w:t>4. Functional Requirements</w:t>
      </w:r>
    </w:p>
    <w:p>
      <w:pPr>
        <w:pStyle w:val="ListBullet"/>
        <w:spacing w:before="20" w:after="40"/>
      </w:pPr>
      <w:r>
        <w:rPr>
          <w:rFonts w:ascii="Calibri" w:hAnsi="Calibri"/>
          <w:b/>
          <w:color w:val="1B365D"/>
          <w:sz w:val="20"/>
        </w:rPr>
        <w:t xml:space="preserve">FR1: Baseline Unique Identifier Binding: </w:t>
      </w:r>
      <w:r>
        <w:rPr>
          <w:rFonts w:ascii="Calibri" w:hAnsi="Calibri"/>
          <w:color w:val="2D3748"/>
          <w:sz w:val="20"/>
        </w:rPr>
        <w:t>The system must allow authorized services to query, bind, and lock member and dependent coverage records strictly using unique immutable keys (memberNumber: MOCKMBR000012, dependentId: MOCKDEP000012), fully deprecating display-name-based lookups.</w:t>
      </w:r>
    </w:p>
    <w:p>
      <w:pPr>
        <w:pStyle w:val="ListBullet"/>
        <w:spacing w:before="20" w:after="40"/>
      </w:pPr>
      <w:r>
        <w:rPr>
          <w:rFonts w:ascii="Calibri" w:hAnsi="Calibri"/>
          <w:b/>
          <w:color w:val="1B365D"/>
          <w:sz w:val="20"/>
        </w:rPr>
        <w:t xml:space="preserve">FR2: Disambiguated Person Cards: </w:t>
      </w:r>
      <w:r>
        <w:rPr>
          <w:rFonts w:ascii="Calibri" w:hAnsi="Calibri"/>
          <w:color w:val="2D3748"/>
          <w:sz w:val="20"/>
        </w:rPr>
        <w:t>The portal UI must render separate, dedicated person cards for each enrolled dependent under the subscriber. Each card must distinctly display: (1) Full Legal Display Name, (2) Relationship Badge ('Spouse', 'Child', 'Subscriber'), and (3) Masked Dependent ID ('DEP-***-0012' / '***-**-1012').</w:t>
      </w:r>
    </w:p>
    <w:p>
      <w:pPr>
        <w:pStyle w:val="ListBullet"/>
        <w:spacing w:before="20" w:after="40"/>
      </w:pPr>
      <w:r>
        <w:rPr>
          <w:rFonts w:ascii="Calibri" w:hAnsi="Calibri"/>
          <w:b/>
          <w:color w:val="1B365D"/>
          <w:sz w:val="20"/>
        </w:rPr>
        <w:t xml:space="preserve">FR3: Automated Alerting &amp; Incident Telemetry: </w:t>
      </w:r>
      <w:r>
        <w:rPr>
          <w:rFonts w:ascii="Calibri" w:hAnsi="Calibri"/>
          <w:color w:val="2D3748"/>
          <w:sz w:val="20"/>
        </w:rPr>
        <w:t>Upon detecting a coverage query discrepancy or failure to resolve a dependent record, the system must generate a support alert and automatically link diagnostic telemetry to Synthetic Benefits Support incident tracking.</w:t>
      </w:r>
    </w:p>
    <w:p>
      <w:pPr>
        <w:pStyle w:val="ListBullet"/>
        <w:spacing w:before="20" w:after="40"/>
      </w:pPr>
      <w:r>
        <w:rPr>
          <w:rFonts w:ascii="Calibri" w:hAnsi="Calibri"/>
          <w:b/>
          <w:color w:val="1B365D"/>
          <w:sz w:val="20"/>
        </w:rPr>
        <w:t xml:space="preserve">FR4: Dynamic Coverage View &amp; Diff-State Display: </w:t>
      </w:r>
      <w:r>
        <w:rPr>
          <w:rFonts w:ascii="Calibri" w:hAnsi="Calibri"/>
          <w:color w:val="2D3748"/>
          <w:sz w:val="20"/>
        </w:rPr>
        <w:t>Upon selecting a verified person card, the portal must dynamically retrieve and display active dental benefits (including copays, deductibles, and network status) specific to that dependent ID, rendering an explicit notification if dental coverage is unpopulated rather than failing silently.</w:t>
      </w:r>
    </w:p>
    <w:p>
      <w:pPr>
        <w:spacing w:before="120" w:after="120"/>
        <w:pBdr>
          <w:bottom w:val="single" w:sz="6" w:space="1" w:color="CBD5E1"/>
        </w:pBdr>
      </w:pPr>
    </w:p>
    <w:p>
      <w:pPr>
        <w:keepNext/>
        <w:spacing w:before="280" w:after="80"/>
      </w:pPr>
      <w:r>
        <w:rPr>
          <w:rFonts w:ascii="Calibri" w:hAnsi="Calibri"/>
          <w:b/>
          <w:color w:val="1B365D"/>
          <w:sz w:val="27"/>
        </w:rPr>
        <w:t>5. Non-Functional Requirements (Security, Performance, SLA)</w:t>
      </w:r>
    </w:p>
    <w:p>
      <w:pPr>
        <w:keepNext/>
        <w:spacing w:before="200" w:after="60"/>
      </w:pPr>
      <w:r>
        <w:rPr>
          <w:rFonts w:ascii="Calibri" w:hAnsi="Calibri"/>
          <w:b/>
          <w:color w:val="2C5282"/>
          <w:sz w:val="23"/>
        </w:rPr>
        <w:t>Security &amp; Compliance:</w:t>
      </w:r>
    </w:p>
    <w:p>
      <w:pPr>
        <w:pStyle w:val="ListBullet"/>
        <w:spacing w:before="20" w:after="40"/>
      </w:pPr>
      <w:r>
        <w:rPr>
          <w:rFonts w:ascii="Calibri" w:hAnsi="Calibri"/>
          <w:color w:val="2D3748"/>
          <w:sz w:val="20"/>
        </w:rPr>
        <w:t>Configuration and profile values containing sensitive identifiers (e.g., SSN: 000-22-1012, phone numbers, birth dates) must be encrypted at rest and masked in the UI view (e.g., displaying ***-**-1012 and DEP-***0012).</w:t>
      </w:r>
    </w:p>
    <w:p>
      <w:pPr>
        <w:pStyle w:val="ListBullet"/>
        <w:spacing w:before="20" w:after="40"/>
      </w:pPr>
      <w:r>
        <w:rPr>
          <w:rFonts w:ascii="Calibri" w:hAnsi="Calibri"/>
          <w:color w:val="2D3748"/>
          <w:sz w:val="20"/>
        </w:rPr>
        <w:t>Role-Based Access Control (RBAC) must restrict member data access strictly to authenticated policyholders and designated Synthetic Benefits Support leads.</w:t>
      </w:r>
    </w:p>
    <w:p>
      <w:pPr>
        <w:pStyle w:val="ListBullet"/>
        <w:spacing w:before="20" w:after="40"/>
      </w:pPr>
      <w:r>
        <w:rPr>
          <w:rFonts w:ascii="Calibri" w:hAnsi="Calibri"/>
          <w:color w:val="2D3748"/>
          <w:sz w:val="20"/>
        </w:rPr>
        <w:t>Full compliance with healthcare data privacy mandates; 100% synthetic test data isolation ensuring no source PHI/PII is retained.</w:t>
      </w:r>
    </w:p>
    <w:p>
      <w:pPr>
        <w:keepNext/>
        <w:spacing w:before="200" w:after="60"/>
      </w:pPr>
      <w:r>
        <w:rPr>
          <w:rFonts w:ascii="Calibri" w:hAnsi="Calibri"/>
          <w:b/>
          <w:color w:val="2C5282"/>
          <w:sz w:val="23"/>
        </w:rPr>
        <w:t>Performance:</w:t>
      </w:r>
    </w:p>
    <w:p>
      <w:pPr>
        <w:pStyle w:val="ListBullet"/>
        <w:spacing w:before="20" w:after="40"/>
      </w:pPr>
      <w:r>
        <w:rPr>
          <w:rFonts w:ascii="Calibri" w:hAnsi="Calibri"/>
          <w:color w:val="2D3748"/>
          <w:sz w:val="20"/>
        </w:rPr>
        <w:t>Person card rendering and coverage retrieval queries must execute in under 400 milliseconds without impacting portal application performance or latency.</w:t>
      </w:r>
    </w:p>
    <w:p>
      <w:pPr>
        <w:pStyle w:val="ListBullet"/>
        <w:spacing w:before="20" w:after="40"/>
      </w:pPr>
      <w:r>
        <w:rPr>
          <w:rFonts w:ascii="Calibri" w:hAnsi="Calibri"/>
          <w:color w:val="2D3748"/>
          <w:sz w:val="20"/>
        </w:rPr>
        <w:t>Dependent metadata must be bundled in the initial profile session payload to prevent redundant network round-trips.</w:t>
      </w:r>
    </w:p>
    <w:p>
      <w:pPr>
        <w:keepNext/>
        <w:spacing w:before="200" w:after="60"/>
      </w:pPr>
      <w:r>
        <w:rPr>
          <w:rFonts w:ascii="Calibri" w:hAnsi="Calibri"/>
          <w:b/>
          <w:color w:val="2C5282"/>
          <w:sz w:val="23"/>
        </w:rPr>
        <w:t>SLA &amp; Reliability:</w:t>
      </w:r>
    </w:p>
    <w:p>
      <w:pPr>
        <w:pStyle w:val="ListBullet"/>
        <w:spacing w:before="20" w:after="40"/>
      </w:pPr>
      <w:r>
        <w:rPr>
          <w:rFonts w:ascii="Calibri" w:hAnsi="Calibri"/>
          <w:color w:val="2D3748"/>
          <w:sz w:val="20"/>
        </w:rPr>
        <w:t>The benefits retrieval service must maintain a 99.95% uptime SLA. Incident resolution time for access/data queries should be reduced from 5 days (120 hours) to under 1 hour.</w:t>
      </w:r>
    </w:p>
    <w:p>
      <w:pPr>
        <w:pStyle w:val="ListBullet"/>
        <w:spacing w:before="20" w:after="40"/>
      </w:pPr>
      <w:r>
        <w:rPr>
          <w:rFonts w:ascii="Calibri" w:hAnsi="Calibri"/>
          <w:color w:val="2D3748"/>
          <w:sz w:val="20"/>
        </w:rPr>
        <w:t>Zero error rate for coverage retrieval when upstream records indicate an active status for the requested dependentId.</w:t>
      </w:r>
    </w:p>
    <w:p>
      <w:pPr>
        <w:spacing w:before="120" w:after="120"/>
        <w:pBdr>
          <w:bottom w:val="single" w:sz="6" w:space="1" w:color="CBD5E1"/>
        </w:pBdr>
      </w:pPr>
    </w:p>
    <w:p>
      <w:pPr>
        <w:keepNext/>
        <w:spacing w:before="280" w:after="80"/>
      </w:pPr>
      <w:r>
        <w:rPr>
          <w:rFonts w:ascii="Calibri" w:hAnsi="Calibri"/>
          <w:b/>
          <w:color w:val="1B365D"/>
          <w:sz w:val="27"/>
        </w:rPr>
        <w:t>6. System Architecture &amp; Technical Specifications</w:t>
      </w:r>
    </w:p>
    <w:p>
      <w:pPr>
        <w:keepNext/>
        <w:spacing w:before="200" w:after="60"/>
      </w:pPr>
      <w:r>
        <w:rPr>
          <w:rFonts w:ascii="Calibri" w:hAnsi="Calibri"/>
          <w:b/>
          <w:color w:val="2C5282"/>
          <w:sz w:val="23"/>
        </w:rPr>
        <w:t>Architecture Overview:</w:t>
      </w:r>
    </w:p>
    <w:p>
      <w:pPr>
        <w:pStyle w:val="ListBullet"/>
        <w:spacing w:before="20" w:after="40"/>
      </w:pPr>
      <w:r>
        <w:rPr>
          <w:rFonts w:ascii="Calibri" w:hAnsi="Calibri"/>
          <w:b/>
          <w:color w:val="1B365D"/>
          <w:sz w:val="20"/>
        </w:rPr>
        <w:t xml:space="preserve">Portal Client (Frontend SPA): </w:t>
      </w:r>
      <w:r>
        <w:rPr>
          <w:rFonts w:ascii="Calibri" w:hAnsi="Calibri"/>
          <w:color w:val="2D3748"/>
          <w:sz w:val="20"/>
        </w:rPr>
        <w:t>React-based Person Selector Component that maintains state using immutable dependentId keys, rendering discrete person cards with relationship badges and masked identifiers.</w:t>
      </w:r>
    </w:p>
    <w:p>
      <w:pPr>
        <w:pStyle w:val="ListBullet"/>
        <w:spacing w:before="20" w:after="40"/>
      </w:pPr>
      <w:r>
        <w:rPr>
          <w:rFonts w:ascii="Calibri" w:hAnsi="Calibri"/>
          <w:b/>
          <w:color w:val="1B365D"/>
          <w:sz w:val="20"/>
        </w:rPr>
        <w:t xml:space="preserve">Benefits Gateway / BFF (Backend-for-Frontend): </w:t>
      </w:r>
      <w:r>
        <w:rPr>
          <w:rFonts w:ascii="Calibri" w:hAnsi="Calibri"/>
          <w:color w:val="2D3748"/>
          <w:sz w:val="20"/>
        </w:rPr>
        <w:t>Microservice layer orchestrating subscriber-to-dependent entity mappings, resolving duplicate name collisions, and querying downstream policy services via unique IDs.</w:t>
      </w:r>
    </w:p>
    <w:p>
      <w:pPr>
        <w:pStyle w:val="ListBullet"/>
        <w:spacing w:before="20" w:after="40"/>
      </w:pPr>
      <w:r>
        <w:rPr>
          <w:rFonts w:ascii="Calibri" w:hAnsi="Calibri"/>
          <w:b/>
          <w:color w:val="1B365D"/>
          <w:sz w:val="20"/>
        </w:rPr>
        <w:t xml:space="preserve">Core Policy &amp; Benefits Repository: </w:t>
      </w:r>
      <w:r>
        <w:rPr>
          <w:rFonts w:ascii="Calibri" w:hAnsi="Calibri"/>
          <w:color w:val="2D3748"/>
          <w:sz w:val="20"/>
        </w:rPr>
        <w:t>Secure enterprise data repository storing policy memberships, dental benefit schedules, group numbers, and coverage effective dates keyed by internal surrogate IDs.</w:t>
      </w:r>
    </w:p>
    <w:p>
      <w:pPr>
        <w:pStyle w:val="ListBullet"/>
        <w:spacing w:before="20" w:after="40"/>
      </w:pPr>
      <w:r>
        <w:rPr>
          <w:rFonts w:ascii="Calibri" w:hAnsi="Calibri"/>
          <w:b/>
          <w:color w:val="1B365D"/>
          <w:sz w:val="20"/>
        </w:rPr>
        <w:t xml:space="preserve">Audit Event Bus: </w:t>
      </w:r>
      <w:r>
        <w:rPr>
          <w:rFonts w:ascii="Calibri" w:hAnsi="Calibri"/>
          <w:color w:val="2D3748"/>
          <w:sz w:val="20"/>
        </w:rPr>
        <w:t>Pipeline logging person-selection events, API response latencies, and triage telemetry to support monitoring channels.</w:t>
      </w:r>
    </w:p>
    <w:p>
      <w:pPr>
        <w:keepNext/>
        <w:spacing w:before="200" w:after="60"/>
      </w:pPr>
      <w:r>
        <w:rPr>
          <w:rFonts w:ascii="Calibri" w:hAnsi="Calibri"/>
          <w:b/>
          <w:color w:val="2C5282"/>
          <w:sz w:val="23"/>
        </w:rPr>
        <w:t>API &amp; Integrations:</w:t>
      </w:r>
    </w:p>
    <w:p>
      <w:pPr>
        <w:pStyle w:val="ListBullet"/>
        <w:spacing w:before="20" w:after="40"/>
      </w:pPr>
      <w:r>
        <w:rPr>
          <w:rFonts w:ascii="Calibri" w:hAnsi="Calibri"/>
          <w:b/>
          <w:color w:val="1B365D"/>
          <w:sz w:val="20"/>
        </w:rPr>
        <w:t xml:space="preserve">RESTful API (GET /api/v1/members/{memberNumber}/dependents): </w:t>
      </w:r>
      <w:r>
        <w:rPr>
          <w:rFonts w:ascii="Calibri" w:hAnsi="Calibri"/>
          <w:color w:val="2D3748"/>
          <w:sz w:val="20"/>
        </w:rPr>
        <w:t>Returns an array of associated family members containing dependentId, relationship, displayName, and maskedIdentifier.</w:t>
      </w:r>
    </w:p>
    <w:p>
      <w:pPr>
        <w:pStyle w:val="ListBullet"/>
        <w:spacing w:before="20" w:after="40"/>
      </w:pPr>
      <w:r>
        <w:rPr>
          <w:rFonts w:ascii="Calibri" w:hAnsi="Calibri"/>
          <w:b/>
          <w:color w:val="1B365D"/>
          <w:sz w:val="20"/>
        </w:rPr>
        <w:t xml:space="preserve">RESTful API (GET /api/v1/coverage/dental?memberNumber={memberNumber}&amp;dependentId={dependentId}): </w:t>
      </w:r>
      <w:r>
        <w:rPr>
          <w:rFonts w:ascii="Calibri" w:hAnsi="Calibri"/>
          <w:color w:val="2D3748"/>
          <w:sz w:val="20"/>
        </w:rPr>
        <w:t>Returns active dental plan details, coverage tier, network details, copays, and deductible limits keyed strictly to the specified dependent.</w:t>
      </w:r>
    </w:p>
    <w:p>
      <w:pPr>
        <w:pStyle w:val="ListBullet"/>
        <w:spacing w:before="20" w:after="40"/>
      </w:pPr>
      <w:r>
        <w:rPr>
          <w:rFonts w:ascii="Calibri" w:hAnsi="Calibri"/>
          <w:b/>
          <w:color w:val="1B365D"/>
          <w:sz w:val="20"/>
        </w:rPr>
        <w:t xml:space="preserve">ITSM &amp; Webhook Integrations: </w:t>
      </w:r>
      <w:r>
        <w:rPr>
          <w:rFonts w:ascii="Calibri" w:hAnsi="Calibri"/>
          <w:color w:val="2D3748"/>
          <w:sz w:val="20"/>
        </w:rPr>
        <w:t>Automated logging with ServiceNow / JIRA for rapid triage and ticket resolution by the Synthetic Benefits Support assignment group.</w:t>
      </w:r>
    </w:p>
    <w:p>
      <w:pPr>
        <w:spacing w:before="120" w:after="120"/>
        <w:pBdr>
          <w:bottom w:val="single" w:sz="6" w:space="1" w:color="CBD5E1"/>
        </w:pBdr>
      </w:pPr>
    </w:p>
    <w:p>
      <w:pPr>
        <w:keepNext/>
        <w:spacing w:before="280" w:after="80"/>
      </w:pPr>
      <w:r>
        <w:rPr>
          <w:rFonts w:ascii="Calibri" w:hAnsi="Calibri"/>
          <w:b/>
          <w:color w:val="1B365D"/>
          <w:sz w:val="27"/>
        </w:rPr>
        <w:t>7. Success Metrics &amp; Release Milestones</w:t>
      </w:r>
    </w:p>
    <w:p>
      <w:pPr>
        <w:keepNext/>
        <w:spacing w:before="200" w:after="60"/>
      </w:pPr>
      <w:r>
        <w:rPr>
          <w:rFonts w:ascii="Calibri" w:hAnsi="Calibri"/>
          <w:b/>
          <w:color w:val="2C5282"/>
          <w:sz w:val="23"/>
        </w:rPr>
        <w:t>Success Metrics</w:t>
      </w:r>
    </w:p>
    <w:p>
      <w:pPr>
        <w:pStyle w:val="ListBullet"/>
        <w:spacing w:before="20" w:after="40"/>
      </w:pPr>
      <w:r>
        <w:rPr>
          <w:rFonts w:ascii="Calibri" w:hAnsi="Calibri"/>
          <w:b/>
          <w:color w:val="1B365D"/>
          <w:sz w:val="20"/>
        </w:rPr>
        <w:t xml:space="preserve">MTTR (Mean Time to Repair): </w:t>
      </w:r>
      <w:r>
        <w:rPr>
          <w:rFonts w:ascii="Calibri" w:hAnsi="Calibri"/>
          <w:color w:val="2D3748"/>
          <w:sz w:val="20"/>
        </w:rPr>
        <w:t>Reduce access and coverage dispute resolution time from 5 days (120 hours) to &lt; 1 hour.</w:t>
      </w:r>
    </w:p>
    <w:p>
      <w:pPr>
        <w:pStyle w:val="ListBullet"/>
        <w:spacing w:before="20" w:after="40"/>
      </w:pPr>
      <w:r>
        <w:rPr>
          <w:rFonts w:ascii="Calibri" w:hAnsi="Calibri"/>
          <w:b/>
          <w:color w:val="1B365D"/>
          <w:sz w:val="20"/>
        </w:rPr>
        <w:t xml:space="preserve">Coverage Retrieval Accuracy: </w:t>
      </w:r>
      <w:r>
        <w:rPr>
          <w:rFonts w:ascii="Calibri" w:hAnsi="Calibri"/>
          <w:color w:val="2D3748"/>
          <w:sz w:val="20"/>
        </w:rPr>
        <w:t>100% successful dental coverage display for accounts containing dependents with matching display names.</w:t>
      </w:r>
    </w:p>
    <w:p>
      <w:pPr>
        <w:pStyle w:val="ListBullet"/>
        <w:spacing w:before="20" w:after="40"/>
      </w:pPr>
      <w:r>
        <w:rPr>
          <w:rFonts w:ascii="Calibri" w:hAnsi="Calibri"/>
          <w:b/>
          <w:color w:val="1B365D"/>
          <w:sz w:val="20"/>
        </w:rPr>
        <w:t xml:space="preserve">Incident Reduction: </w:t>
      </w:r>
      <w:r>
        <w:rPr>
          <w:rFonts w:ascii="Calibri" w:hAnsi="Calibri"/>
          <w:color w:val="2D3748"/>
          <w:sz w:val="20"/>
        </w:rPr>
        <w:t>Zero recurrence of login or coverage display failures caused by person-selection ambiguity within 90 days of deployment.</w:t>
      </w:r>
    </w:p>
    <w:p>
      <w:pPr>
        <w:pStyle w:val="ListBullet"/>
        <w:spacing w:before="20" w:after="40"/>
      </w:pPr>
      <w:r>
        <w:rPr>
          <w:rFonts w:ascii="Calibri" w:hAnsi="Calibri"/>
          <w:b/>
          <w:color w:val="1B365D"/>
          <w:sz w:val="20"/>
        </w:rPr>
        <w:t xml:space="preserve">User Adoption: </w:t>
      </w:r>
      <w:r>
        <w:rPr>
          <w:rFonts w:ascii="Calibri" w:hAnsi="Calibri"/>
          <w:color w:val="2D3748"/>
          <w:sz w:val="20"/>
        </w:rPr>
        <w:t>100% of MyMember Benefits Portal family accounts onboarded to the disambiguated person card view.</w:t>
      </w:r>
    </w:p>
    <w:p>
      <w:pPr>
        <w:keepNext/>
        <w:spacing w:before="200" w:after="60"/>
      </w:pPr>
      <w:r>
        <w:rPr>
          <w:rFonts w:ascii="Calibri" w:hAnsi="Calibri"/>
          <w:b/>
          <w:color w:val="2C5282"/>
          <w:sz w:val="23"/>
        </w:rPr>
        <w:t>Release Milestones</w:t>
      </w:r>
    </w:p>
    <w:p>
      <w:pPr>
        <w:pStyle w:val="ListBullet"/>
        <w:spacing w:before="20" w:after="40"/>
      </w:pPr>
      <w:r>
        <w:rPr>
          <w:rFonts w:ascii="Calibri" w:hAnsi="Calibri"/>
          <w:b/>
          <w:color w:val="1B365D"/>
          <w:sz w:val="20"/>
        </w:rPr>
        <w:t xml:space="preserve">Milestone 1 (Sprint 1): </w:t>
      </w:r>
      <w:r>
        <w:rPr>
          <w:rFonts w:ascii="Calibri" w:hAnsi="Calibri"/>
          <w:color w:val="2D3748"/>
          <w:sz w:val="20"/>
        </w:rPr>
        <w:t>Architecture design sign-off, API contract definition (enforcing dependentId parameters), and baseline data schema finalization.</w:t>
      </w:r>
    </w:p>
    <w:p>
      <w:pPr>
        <w:pStyle w:val="ListBullet"/>
        <w:spacing w:before="20" w:after="40"/>
      </w:pPr>
      <w:r>
        <w:rPr>
          <w:rFonts w:ascii="Calibri" w:hAnsi="Calibri"/>
          <w:b/>
          <w:color w:val="1B365D"/>
          <w:sz w:val="20"/>
        </w:rPr>
        <w:t xml:space="preserve">Milestone 2 (Sprint 2): </w:t>
      </w:r>
      <w:r>
        <w:rPr>
          <w:rFonts w:ascii="Calibri" w:hAnsi="Calibri"/>
          <w:color w:val="2D3748"/>
          <w:sz w:val="20"/>
        </w:rPr>
        <w:t>Core Person Card UI component implementation with relationship badges and masked ID chips; integration with synthetic test environment.</w:t>
      </w:r>
    </w:p>
    <w:p>
      <w:pPr>
        <w:pStyle w:val="ListBullet"/>
        <w:spacing w:before="20" w:after="40"/>
      </w:pPr>
      <w:r>
        <w:rPr>
          <w:rFonts w:ascii="Calibri" w:hAnsi="Calibri"/>
          <w:b/>
          <w:color w:val="1B365D"/>
          <w:sz w:val="20"/>
        </w:rPr>
        <w:t xml:space="preserve">Milestone 3 (Sprint 3): </w:t>
      </w:r>
      <w:r>
        <w:rPr>
          <w:rFonts w:ascii="Calibri" w:hAnsi="Calibri"/>
          <w:color w:val="2D3748"/>
          <w:sz w:val="20"/>
        </w:rPr>
        <w:t>End-to-end integration testing using synthetic collision test profiles (MOCKMBR000012 / MOCKDEP000012), PII masking audit, and support alerting integration.</w:t>
      </w:r>
    </w:p>
    <w:p>
      <w:pPr>
        <w:pStyle w:val="ListBullet"/>
        <w:spacing w:before="20" w:after="40"/>
      </w:pPr>
      <w:r>
        <w:rPr>
          <w:rFonts w:ascii="Calibri" w:hAnsi="Calibri"/>
          <w:b/>
          <w:color w:val="1B365D"/>
          <w:sz w:val="20"/>
        </w:rPr>
        <w:t xml:space="preserve">Milestone 4 (Sprint 4): </w:t>
      </w:r>
      <w:r>
        <w:rPr>
          <w:rFonts w:ascii="Calibri" w:hAnsi="Calibri"/>
          <w:color w:val="2D3748"/>
          <w:sz w:val="20"/>
        </w:rPr>
        <w:t>Production rollout to MyMember Benefits Portal - Production, Synthetic Benefits Support training, and post-deployment validation.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MyMember Benefits Portal - Production | Assignment Group: Synthetic Benefits Support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Product Requirement Document (PRD) | SYNINC0000012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