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0A65" w14:textId="77777777" w:rsidR="007B4BAB" w:rsidRDefault="00000000">
      <w:pPr>
        <w:pStyle w:val="Title"/>
        <w:spacing w:before="1000" w:after="300"/>
        <w:jc w:val="center"/>
      </w:pPr>
      <w:r>
        <w:t>Project Report</w:t>
      </w:r>
    </w:p>
    <w:p w14:paraId="248EA4D4" w14:textId="77777777" w:rsidR="007B4BAB" w:rsidRDefault="00000000">
      <w:pPr>
        <w:spacing w:after="1000"/>
        <w:jc w:val="center"/>
      </w:pPr>
      <w:r>
        <w:rPr>
          <w:b/>
          <w:bCs/>
          <w:sz w:val="48"/>
          <w:szCs w:val="48"/>
        </w:rPr>
        <w:t>Hindi Playfair Cipher</w:t>
      </w:r>
    </w:p>
    <w:p w14:paraId="17F2E54B" w14:textId="37EC490C" w:rsidR="007B4BAB" w:rsidRDefault="00000000" w:rsidP="00B236F2">
      <w:pPr>
        <w:pStyle w:val="Heading1"/>
        <w:spacing w:after="2000"/>
        <w:jc w:val="center"/>
      </w:pPr>
      <w:r>
        <w:t>A Specialized Cryptographic Tool for Devanagari Script</w:t>
      </w:r>
    </w:p>
    <w:p w14:paraId="0AAE6074" w14:textId="77777777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1. Introduction</w:t>
      </w:r>
    </w:p>
    <w:p w14:paraId="5EB6FAC9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 xml:space="preserve">In the contemporary digital landscape, cryptography is a cornerstone of information security. While traditional methods often focus on Latin-based scripts, there is a growing need for security tools that accommodate linguistically diverse systems. This project presents a specialized adaptation of the </w:t>
      </w:r>
      <w:r w:rsidRPr="009F7CA2">
        <w:rPr>
          <w:b/>
          <w:bCs/>
          <w:sz w:val="28"/>
          <w:szCs w:val="28"/>
        </w:rPr>
        <w:t>Playfair Cipher</w:t>
      </w:r>
      <w:r w:rsidRPr="009F7CA2">
        <w:rPr>
          <w:sz w:val="28"/>
          <w:szCs w:val="28"/>
        </w:rPr>
        <w:t>, a symmetric encryption technique that processes pairs of characters (digraphs).</w:t>
      </w:r>
    </w:p>
    <w:p w14:paraId="2CBFD726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 xml:space="preserve">The </w:t>
      </w:r>
      <w:r w:rsidRPr="009F7CA2">
        <w:rPr>
          <w:b/>
          <w:bCs/>
          <w:sz w:val="28"/>
          <w:szCs w:val="28"/>
        </w:rPr>
        <w:t>Hindi Playfair Cipher</w:t>
      </w:r>
      <w:r w:rsidRPr="009F7CA2">
        <w:rPr>
          <w:sz w:val="28"/>
          <w:szCs w:val="28"/>
        </w:rPr>
        <w:t xml:space="preserve"> is specifically engineered to address the phonetic and structural complexities of the Devanagari script, providing a robust framework for securing Hindi text.</w:t>
      </w:r>
    </w:p>
    <w:p w14:paraId="56AD9662" w14:textId="77777777" w:rsidR="009F7CA2" w:rsidRPr="009F7CA2" w:rsidRDefault="00000000" w:rsidP="009F7CA2">
      <w:pPr>
        <w:pStyle w:val="Heading1"/>
        <w:spacing w:before="400" w:after="200"/>
      </w:pPr>
      <w:r>
        <w:pict w14:anchorId="3A15F66F">
          <v:rect id="_x0000_i1025" style="width:0;height:1.5pt" o:hralign="center" o:hrstd="t" o:hr="t" fillcolor="#a0a0a0" stroked="f"/>
        </w:pict>
      </w:r>
    </w:p>
    <w:p w14:paraId="5C6F15AD" w14:textId="77777777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2. System Architecture</w:t>
      </w:r>
    </w:p>
    <w:p w14:paraId="2C9F7327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>The application utilizes a sophisticated full-stack architecture designed for scalability, performance, and a clear separation of concerns between the user interface and the core cryptographic logic.</w:t>
      </w:r>
    </w:p>
    <w:p w14:paraId="7C1168D2" w14:textId="77777777" w:rsidR="009F7CA2" w:rsidRPr="009F7CA2" w:rsidRDefault="009F7CA2" w:rsidP="009F7CA2">
      <w:pPr>
        <w:pStyle w:val="Heading1"/>
        <w:numPr>
          <w:ilvl w:val="0"/>
          <w:numId w:val="2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Frontend Layer</w:t>
      </w:r>
      <w:r w:rsidRPr="009F7CA2">
        <w:rPr>
          <w:sz w:val="28"/>
          <w:szCs w:val="28"/>
        </w:rPr>
        <w:t xml:space="preserve">: Developed using </w:t>
      </w:r>
      <w:r w:rsidRPr="009F7CA2">
        <w:rPr>
          <w:b/>
          <w:bCs/>
          <w:sz w:val="28"/>
          <w:szCs w:val="28"/>
        </w:rPr>
        <w:t>React, Vite, and TypeScript</w:t>
      </w:r>
      <w:r w:rsidRPr="009F7CA2">
        <w:rPr>
          <w:sz w:val="28"/>
          <w:szCs w:val="28"/>
        </w:rPr>
        <w:t xml:space="preserve">, the frontend offers a high-performance environment. It features a real-time, </w:t>
      </w:r>
      <w:r w:rsidRPr="009F7CA2">
        <w:rPr>
          <w:sz w:val="28"/>
          <w:szCs w:val="28"/>
        </w:rPr>
        <w:lastRenderedPageBreak/>
        <w:t>animated interface that allows users to visualize the encryption and decryption processes instantaneously.</w:t>
      </w:r>
    </w:p>
    <w:p w14:paraId="42EF2F55" w14:textId="77777777" w:rsidR="009F7CA2" w:rsidRPr="009F7CA2" w:rsidRDefault="009F7CA2" w:rsidP="009F7CA2">
      <w:pPr>
        <w:pStyle w:val="Heading1"/>
        <w:numPr>
          <w:ilvl w:val="0"/>
          <w:numId w:val="2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Backend Layer</w:t>
      </w:r>
      <w:r w:rsidRPr="009F7CA2">
        <w:rPr>
          <w:sz w:val="28"/>
          <w:szCs w:val="28"/>
        </w:rPr>
        <w:t xml:space="preserve">: A </w:t>
      </w:r>
      <w:r w:rsidRPr="009F7CA2">
        <w:rPr>
          <w:b/>
          <w:bCs/>
          <w:sz w:val="28"/>
          <w:szCs w:val="28"/>
        </w:rPr>
        <w:t>Python Flask</w:t>
      </w:r>
      <w:r w:rsidRPr="009F7CA2">
        <w:rPr>
          <w:sz w:val="28"/>
          <w:szCs w:val="28"/>
        </w:rPr>
        <w:t xml:space="preserve"> server serves as the engine of the application. It manages all cryptographic operations and exposes them to the frontend via a secure RESTful API.</w:t>
      </w:r>
    </w:p>
    <w:p w14:paraId="6CF7B135" w14:textId="77777777" w:rsidR="009F7CA2" w:rsidRDefault="009F7CA2" w:rsidP="009F7CA2">
      <w:pPr>
        <w:pStyle w:val="Heading1"/>
        <w:numPr>
          <w:ilvl w:val="0"/>
          <w:numId w:val="2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UI/UX Design</w:t>
      </w:r>
      <w:r w:rsidRPr="009F7CA2">
        <w:rPr>
          <w:sz w:val="28"/>
          <w:szCs w:val="28"/>
        </w:rPr>
        <w:t xml:space="preserve">: To ensure a premium and responsive experience across all devices, the interface is styled with </w:t>
      </w:r>
      <w:proofErr w:type="spellStart"/>
      <w:r w:rsidRPr="009F7CA2">
        <w:rPr>
          <w:b/>
          <w:bCs/>
          <w:sz w:val="28"/>
          <w:szCs w:val="28"/>
        </w:rPr>
        <w:t>TailwindCSS</w:t>
      </w:r>
      <w:proofErr w:type="spellEnd"/>
      <w:r w:rsidRPr="009F7CA2">
        <w:rPr>
          <w:sz w:val="28"/>
          <w:szCs w:val="28"/>
        </w:rPr>
        <w:t xml:space="preserve"> and enhanced with </w:t>
      </w:r>
      <w:r w:rsidRPr="009F7CA2">
        <w:rPr>
          <w:b/>
          <w:bCs/>
          <w:sz w:val="28"/>
          <w:szCs w:val="28"/>
        </w:rPr>
        <w:t>Framer Motion</w:t>
      </w:r>
      <w:r w:rsidRPr="009F7CA2">
        <w:rPr>
          <w:sz w:val="28"/>
          <w:szCs w:val="28"/>
        </w:rPr>
        <w:t xml:space="preserve"> for fluid transitions.</w:t>
      </w:r>
    </w:p>
    <w:p w14:paraId="5513DC33" w14:textId="78632D0A" w:rsidR="0056179F" w:rsidRPr="009F7CA2" w:rsidRDefault="00F357D8" w:rsidP="0056179F">
      <w:pPr>
        <w:pStyle w:val="Heading1"/>
        <w:spacing w:before="400" w:after="200"/>
        <w:ind w:left="720"/>
        <w:rPr>
          <w:sz w:val="28"/>
          <w:szCs w:val="28"/>
        </w:rPr>
      </w:pPr>
      <w:r w:rsidRPr="00F357D8">
        <w:rPr>
          <w:sz w:val="28"/>
          <w:szCs w:val="28"/>
        </w:rPr>
        <w:drawing>
          <wp:inline distT="0" distB="0" distL="0" distR="0" wp14:anchorId="0FC3D431" wp14:editId="7E397E4A">
            <wp:extent cx="5731510" cy="2919095"/>
            <wp:effectExtent l="0" t="0" r="2540" b="0"/>
            <wp:docPr id="5611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4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3C95" w14:textId="77777777" w:rsidR="009F7CA2" w:rsidRPr="009F7CA2" w:rsidRDefault="00000000" w:rsidP="009F7CA2">
      <w:pPr>
        <w:pStyle w:val="Heading1"/>
        <w:spacing w:before="400" w:after="200"/>
      </w:pPr>
      <w:r>
        <w:pict w14:anchorId="779BCB06">
          <v:rect id="_x0000_i1026" style="width:0;height:1.5pt" o:hralign="center" o:hrstd="t" o:hr="t" fillcolor="#a0a0a0" stroked="f"/>
        </w:pict>
      </w:r>
    </w:p>
    <w:p w14:paraId="085F0390" w14:textId="77777777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3. The 7x7 Hindi Grid Algorithm</w:t>
      </w:r>
    </w:p>
    <w:p w14:paraId="4018604A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 xml:space="preserve">A significant innovation of this project is the expansion of the traditional $5 \times 5$ English Playfair grid into a </w:t>
      </w:r>
      <w:r w:rsidRPr="009F7CA2">
        <w:rPr>
          <w:b/>
          <w:bCs/>
          <w:sz w:val="28"/>
          <w:szCs w:val="28"/>
        </w:rPr>
        <w:t>7x7 matrix</w:t>
      </w:r>
      <w:r w:rsidRPr="009F7CA2">
        <w:rPr>
          <w:sz w:val="28"/>
          <w:szCs w:val="28"/>
        </w:rPr>
        <w:t>. This modification provides 49 distinct slots, which is essential for capturing the expansive character set of the Devanagari script: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999"/>
      </w:tblGrid>
      <w:tr w:rsidR="009F7CA2" w:rsidRPr="009F7CA2" w14:paraId="7B2929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2BA79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86149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Characters Included</w:t>
            </w:r>
          </w:p>
        </w:tc>
      </w:tr>
      <w:tr w:rsidR="009F7CA2" w:rsidRPr="009F7CA2" w14:paraId="3C83B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E211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Vowels (11)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6A061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rFonts w:ascii="Nirmala UI" w:hAnsi="Nirmala UI" w:cs="Nirmala UI"/>
                <w:sz w:val="28"/>
                <w:szCs w:val="28"/>
              </w:rPr>
              <w:t>अ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आ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इ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ई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उ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ऊ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ऋ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ए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ऐ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ओ</w:t>
            </w:r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औ</w:t>
            </w:r>
            <w:r w:rsidRPr="009F7CA2">
              <w:rPr>
                <w:sz w:val="28"/>
                <w:szCs w:val="28"/>
              </w:rPr>
              <w:t xml:space="preserve"> </w:t>
            </w:r>
          </w:p>
        </w:tc>
      </w:tr>
      <w:tr w:rsidR="009F7CA2" w:rsidRPr="009F7CA2" w14:paraId="76E29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94BB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lastRenderedPageBreak/>
              <w:t>Consonants (33)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D7D0A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rFonts w:ascii="Nirmala UI" w:hAnsi="Nirmala UI" w:cs="Nirmala UI"/>
                <w:sz w:val="28"/>
                <w:szCs w:val="28"/>
              </w:rPr>
              <w:t>क</w:t>
            </w:r>
            <w:r w:rsidRPr="009F7CA2">
              <w:rPr>
                <w:sz w:val="28"/>
                <w:szCs w:val="28"/>
              </w:rPr>
              <w:t xml:space="preserve"> through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ह</w:t>
            </w:r>
            <w:r w:rsidRPr="009F7CA2">
              <w:rPr>
                <w:sz w:val="28"/>
                <w:szCs w:val="28"/>
              </w:rPr>
              <w:t xml:space="preserve"> </w:t>
            </w:r>
          </w:p>
        </w:tc>
      </w:tr>
      <w:tr w:rsidR="009F7CA2" w:rsidRPr="009F7CA2" w14:paraId="6128B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977DC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Special Characters 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825A3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proofErr w:type="spellStart"/>
            <w:r w:rsidRPr="009F7CA2">
              <w:rPr>
                <w:rFonts w:ascii="Nirmala UI" w:hAnsi="Nirmala UI" w:cs="Nirmala UI"/>
                <w:sz w:val="28"/>
                <w:szCs w:val="28"/>
              </w:rPr>
              <w:t>अं</w:t>
            </w:r>
            <w:proofErr w:type="spellEnd"/>
            <w:r w:rsidRPr="009F7CA2">
              <w:rPr>
                <w:sz w:val="28"/>
                <w:szCs w:val="28"/>
              </w:rPr>
              <w:t xml:space="preserve">, </w:t>
            </w:r>
            <w:proofErr w:type="spellStart"/>
            <w:r w:rsidRPr="009F7CA2">
              <w:rPr>
                <w:rFonts w:ascii="Nirmala UI" w:hAnsi="Nirmala UI" w:cs="Nirmala UI"/>
                <w:sz w:val="28"/>
                <w:szCs w:val="28"/>
              </w:rPr>
              <w:t>अः</w:t>
            </w:r>
            <w:proofErr w:type="spellEnd"/>
            <w:r w:rsidRPr="009F7CA2">
              <w:rPr>
                <w:sz w:val="28"/>
                <w:szCs w:val="28"/>
              </w:rPr>
              <w:t xml:space="preserve">, </w:t>
            </w:r>
            <w:r w:rsidRPr="009F7CA2">
              <w:rPr>
                <w:rFonts w:ascii="Nirmala UI" w:hAnsi="Nirmala UI" w:cs="Nirmala UI"/>
                <w:sz w:val="28"/>
                <w:szCs w:val="28"/>
              </w:rPr>
              <w:t>्</w:t>
            </w:r>
            <w:r w:rsidRPr="009F7CA2">
              <w:rPr>
                <w:sz w:val="28"/>
                <w:szCs w:val="28"/>
              </w:rPr>
              <w:t xml:space="preserve"> (</w:t>
            </w:r>
            <w:proofErr w:type="spellStart"/>
            <w:r w:rsidRPr="009F7CA2">
              <w:rPr>
                <w:sz w:val="28"/>
                <w:szCs w:val="28"/>
              </w:rPr>
              <w:t>Halant</w:t>
            </w:r>
            <w:proofErr w:type="spellEnd"/>
            <w:r w:rsidRPr="009F7CA2">
              <w:rPr>
                <w:sz w:val="28"/>
                <w:szCs w:val="28"/>
              </w:rPr>
              <w:t xml:space="preserve">), </w:t>
            </w:r>
            <w:proofErr w:type="spellStart"/>
            <w:r w:rsidRPr="009F7CA2">
              <w:rPr>
                <w:rFonts w:ascii="Nirmala UI" w:hAnsi="Nirmala UI" w:cs="Nirmala UI"/>
                <w:sz w:val="28"/>
                <w:szCs w:val="28"/>
              </w:rPr>
              <w:t>क्ष</w:t>
            </w:r>
            <w:proofErr w:type="spellEnd"/>
            <w:r w:rsidRPr="009F7CA2">
              <w:rPr>
                <w:sz w:val="28"/>
                <w:szCs w:val="28"/>
              </w:rPr>
              <w:t xml:space="preserve">, </w:t>
            </w:r>
            <w:proofErr w:type="spellStart"/>
            <w:r w:rsidRPr="009F7CA2">
              <w:rPr>
                <w:rFonts w:ascii="Nirmala UI" w:hAnsi="Nirmala UI" w:cs="Nirmala UI"/>
                <w:sz w:val="28"/>
                <w:szCs w:val="28"/>
              </w:rPr>
              <w:t>ज्ञ</w:t>
            </w:r>
            <w:proofErr w:type="spellEnd"/>
            <w:r w:rsidRPr="009F7CA2">
              <w:rPr>
                <w:sz w:val="28"/>
                <w:szCs w:val="28"/>
              </w:rPr>
              <w:t xml:space="preserve"> </w:t>
            </w:r>
          </w:p>
        </w:tc>
      </w:tr>
    </w:tbl>
    <w:p w14:paraId="72B3BC8C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Padding Logic</w:t>
      </w:r>
      <w:r w:rsidRPr="009F7CA2">
        <w:rPr>
          <w:sz w:val="28"/>
          <w:szCs w:val="28"/>
        </w:rPr>
        <w:t xml:space="preserve">: The character </w:t>
      </w:r>
      <w:r w:rsidRPr="009F7CA2">
        <w:rPr>
          <w:b/>
          <w:bCs/>
          <w:sz w:val="28"/>
          <w:szCs w:val="28"/>
        </w:rPr>
        <w:t>'</w:t>
      </w:r>
      <w:proofErr w:type="spellStart"/>
      <w:r w:rsidRPr="009F7CA2">
        <w:rPr>
          <w:rFonts w:ascii="Nirmala UI" w:hAnsi="Nirmala UI" w:cs="Nirmala UI"/>
          <w:b/>
          <w:bCs/>
          <w:sz w:val="28"/>
          <w:szCs w:val="28"/>
        </w:rPr>
        <w:t>क्ष</w:t>
      </w:r>
      <w:proofErr w:type="spellEnd"/>
      <w:r w:rsidRPr="009F7CA2">
        <w:rPr>
          <w:b/>
          <w:bCs/>
          <w:sz w:val="28"/>
          <w:szCs w:val="28"/>
        </w:rPr>
        <w:t>'</w:t>
      </w:r>
      <w:r w:rsidRPr="009F7CA2">
        <w:rPr>
          <w:sz w:val="28"/>
          <w:szCs w:val="28"/>
        </w:rPr>
        <w:t xml:space="preserve"> serves as the designated filler, used for padding odd-length strings and handling double-letter occurrences within a digraph.</w:t>
      </w:r>
    </w:p>
    <w:p w14:paraId="7455409D" w14:textId="77777777" w:rsidR="009F7CA2" w:rsidRPr="009F7CA2" w:rsidRDefault="00000000" w:rsidP="009F7CA2">
      <w:pPr>
        <w:pStyle w:val="Heading1"/>
        <w:spacing w:before="400" w:after="200"/>
      </w:pPr>
      <w:r>
        <w:pict w14:anchorId="2EC8A90E">
          <v:rect id="_x0000_i1027" style="width:0;height:1.5pt" o:hralign="center" o:hrstd="t" o:hr="t" fillcolor="#a0a0a0" stroked="f"/>
        </w:pict>
      </w:r>
    </w:p>
    <w:p w14:paraId="059CCDAF" w14:textId="77777777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4. Operational Logic</w:t>
      </w:r>
    </w:p>
    <w:p w14:paraId="6B8B75C8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>The system adheres to three primary geometric rules for character transformation within the 7x7 grid:</w:t>
      </w:r>
    </w:p>
    <w:p w14:paraId="6032773C" w14:textId="77777777" w:rsidR="009F7CA2" w:rsidRPr="009F7CA2" w:rsidRDefault="009F7CA2" w:rsidP="009F7CA2">
      <w:pPr>
        <w:pStyle w:val="Heading1"/>
        <w:numPr>
          <w:ilvl w:val="0"/>
          <w:numId w:val="3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Same Row Rule</w:t>
      </w:r>
      <w:r w:rsidRPr="009F7CA2">
        <w:rPr>
          <w:sz w:val="28"/>
          <w:szCs w:val="28"/>
        </w:rPr>
        <w:t xml:space="preserve">: Characters are replaced by the </w:t>
      </w:r>
      <w:proofErr w:type="spellStart"/>
      <w:r w:rsidRPr="009F7CA2">
        <w:rPr>
          <w:sz w:val="28"/>
          <w:szCs w:val="28"/>
        </w:rPr>
        <w:t>neighbor</w:t>
      </w:r>
      <w:proofErr w:type="spellEnd"/>
      <w:r w:rsidRPr="009F7CA2">
        <w:rPr>
          <w:sz w:val="28"/>
          <w:szCs w:val="28"/>
        </w:rPr>
        <w:t xml:space="preserve"> to their immediate right, with horizontal wrap-around.</w:t>
      </w:r>
    </w:p>
    <w:p w14:paraId="0B152320" w14:textId="77777777" w:rsidR="009F7CA2" w:rsidRPr="009F7CA2" w:rsidRDefault="009F7CA2" w:rsidP="009F7CA2">
      <w:pPr>
        <w:pStyle w:val="Heading1"/>
        <w:numPr>
          <w:ilvl w:val="0"/>
          <w:numId w:val="3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Same Column Rule</w:t>
      </w:r>
      <w:r w:rsidRPr="009F7CA2">
        <w:rPr>
          <w:sz w:val="28"/>
          <w:szCs w:val="28"/>
        </w:rPr>
        <w:t xml:space="preserve">: Characters are replaced by the </w:t>
      </w:r>
      <w:proofErr w:type="spellStart"/>
      <w:r w:rsidRPr="009F7CA2">
        <w:rPr>
          <w:sz w:val="28"/>
          <w:szCs w:val="28"/>
        </w:rPr>
        <w:t>neighbor</w:t>
      </w:r>
      <w:proofErr w:type="spellEnd"/>
      <w:r w:rsidRPr="009F7CA2">
        <w:rPr>
          <w:sz w:val="28"/>
          <w:szCs w:val="28"/>
        </w:rPr>
        <w:t xml:space="preserve"> immediately below, with vertical wrap-around.</w:t>
      </w:r>
    </w:p>
    <w:p w14:paraId="44F12C6F" w14:textId="77777777" w:rsidR="009F7CA2" w:rsidRDefault="009F7CA2" w:rsidP="009F7CA2">
      <w:pPr>
        <w:pStyle w:val="Heading1"/>
        <w:numPr>
          <w:ilvl w:val="0"/>
          <w:numId w:val="3"/>
        </w:numPr>
        <w:spacing w:before="400" w:after="200"/>
        <w:rPr>
          <w:sz w:val="28"/>
          <w:szCs w:val="28"/>
        </w:rPr>
      </w:pPr>
      <w:r w:rsidRPr="009F7CA2">
        <w:rPr>
          <w:b/>
          <w:bCs/>
          <w:sz w:val="28"/>
          <w:szCs w:val="28"/>
        </w:rPr>
        <w:t>Rectangle Rule</w:t>
      </w:r>
      <w:r w:rsidRPr="009F7CA2">
        <w:rPr>
          <w:sz w:val="28"/>
          <w:szCs w:val="28"/>
        </w:rPr>
        <w:t>: For characters forming a rectangle, each is swapped with the corner character occupying the same row within that rectangle.</w:t>
      </w:r>
    </w:p>
    <w:p w14:paraId="34758230" w14:textId="508EC93F" w:rsidR="0056179F" w:rsidRPr="009F7CA2" w:rsidRDefault="0056179F" w:rsidP="0056179F">
      <w:pPr>
        <w:pStyle w:val="Heading1"/>
        <w:spacing w:before="400" w:after="200"/>
        <w:ind w:left="720"/>
        <w:rPr>
          <w:sz w:val="28"/>
          <w:szCs w:val="28"/>
        </w:rPr>
      </w:pPr>
      <w:r w:rsidRPr="0056179F">
        <w:rPr>
          <w:sz w:val="28"/>
          <w:szCs w:val="28"/>
        </w:rPr>
        <w:lastRenderedPageBreak/>
        <w:drawing>
          <wp:inline distT="0" distB="0" distL="0" distR="0" wp14:anchorId="10CB48B0" wp14:editId="0D00CAFF">
            <wp:extent cx="5731510" cy="2885440"/>
            <wp:effectExtent l="0" t="0" r="2540" b="0"/>
            <wp:docPr id="6075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12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85CC" w14:textId="77777777" w:rsidR="009F7CA2" w:rsidRPr="009F7CA2" w:rsidRDefault="00000000" w:rsidP="009F7CA2">
      <w:pPr>
        <w:pStyle w:val="Heading1"/>
        <w:spacing w:before="400" w:after="200"/>
      </w:pPr>
      <w:r>
        <w:pict w14:anchorId="630A4BEF">
          <v:rect id="_x0000_i1028" style="width:0;height:1.5pt" o:hralign="center" o:hrstd="t" o:hr="t" fillcolor="#a0a0a0" stroked="f"/>
        </w:pict>
      </w:r>
    </w:p>
    <w:p w14:paraId="5A13DD64" w14:textId="77777777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5. Technical Stack Summary</w:t>
      </w:r>
    </w:p>
    <w:p w14:paraId="47212FF3" w14:textId="77777777" w:rsidR="009F7CA2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>The following table outlines the specialized technologies integrated into this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660"/>
      </w:tblGrid>
      <w:tr w:rsidR="009F7CA2" w:rsidRPr="009F7CA2" w14:paraId="31639C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96953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A6C25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Technology Used</w:t>
            </w:r>
          </w:p>
        </w:tc>
      </w:tr>
      <w:tr w:rsidR="009F7CA2" w:rsidRPr="009F7CA2" w14:paraId="2EE12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8075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DEEDA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sz w:val="28"/>
                <w:szCs w:val="28"/>
              </w:rPr>
              <w:t xml:space="preserve">React (Vite) + TypeScript </w:t>
            </w:r>
          </w:p>
        </w:tc>
      </w:tr>
      <w:tr w:rsidR="009F7CA2" w:rsidRPr="009F7CA2" w14:paraId="2C7E6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D4FC9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Styling &amp; 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A990C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proofErr w:type="spellStart"/>
            <w:r w:rsidRPr="009F7CA2">
              <w:rPr>
                <w:sz w:val="28"/>
                <w:szCs w:val="28"/>
              </w:rPr>
              <w:t>TailwindCSS</w:t>
            </w:r>
            <w:proofErr w:type="spellEnd"/>
            <w:r w:rsidRPr="009F7CA2">
              <w:rPr>
                <w:sz w:val="28"/>
                <w:szCs w:val="28"/>
              </w:rPr>
              <w:t xml:space="preserve"> + Framer Motion </w:t>
            </w:r>
          </w:p>
        </w:tc>
      </w:tr>
      <w:tr w:rsidR="009F7CA2" w:rsidRPr="009F7CA2" w14:paraId="52A36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11621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Backend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B3E0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sz w:val="28"/>
                <w:szCs w:val="28"/>
              </w:rPr>
              <w:t xml:space="preserve">Python (Flask) </w:t>
            </w:r>
          </w:p>
        </w:tc>
      </w:tr>
      <w:tr w:rsidR="009F7CA2" w:rsidRPr="009F7CA2" w14:paraId="7FC0E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3565C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b/>
                <w:bCs/>
                <w:sz w:val="28"/>
                <w:szCs w:val="28"/>
              </w:rPr>
              <w:t>Cryptographic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50155" w14:textId="77777777" w:rsidR="009F7CA2" w:rsidRPr="009F7CA2" w:rsidRDefault="009F7CA2" w:rsidP="009F7CA2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9F7CA2">
              <w:rPr>
                <w:sz w:val="28"/>
                <w:szCs w:val="28"/>
              </w:rPr>
              <w:t xml:space="preserve">Custom 7x7 Playfair Algorithm </w:t>
            </w:r>
          </w:p>
        </w:tc>
      </w:tr>
    </w:tbl>
    <w:p w14:paraId="451FFD16" w14:textId="64904855" w:rsidR="0056179F" w:rsidRDefault="0056179F" w:rsidP="009F7CA2">
      <w:pPr>
        <w:pStyle w:val="Heading1"/>
        <w:spacing w:before="400" w:after="200"/>
      </w:pPr>
      <w:r w:rsidRPr="0056179F">
        <w:lastRenderedPageBreak/>
        <w:drawing>
          <wp:inline distT="0" distB="0" distL="0" distR="0" wp14:anchorId="0E33CD1C" wp14:editId="745051AF">
            <wp:extent cx="2276793" cy="5106113"/>
            <wp:effectExtent l="0" t="0" r="9525" b="0"/>
            <wp:docPr id="19327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6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008F" w14:textId="77777777" w:rsidR="0056179F" w:rsidRPr="0056179F" w:rsidRDefault="0056179F" w:rsidP="0056179F">
      <w:pPr>
        <w:pStyle w:val="Heading1"/>
        <w:spacing w:before="400" w:after="200"/>
      </w:pPr>
      <w:r>
        <w:pict w14:anchorId="1B5F14FD">
          <v:rect id="_x0000_i1030" style="width:0;height:1.5pt" o:hralign="center" o:hrstd="t" o:hr="t" fillcolor="#a0a0a0" stroked="f"/>
        </w:pict>
      </w:r>
    </w:p>
    <w:p w14:paraId="6970AD90" w14:textId="1C11EA05" w:rsidR="0056179F" w:rsidRPr="009F7CA2" w:rsidRDefault="0056179F" w:rsidP="0056179F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 xml:space="preserve">6. </w:t>
      </w:r>
      <w:proofErr w:type="gramStart"/>
      <w:r>
        <w:rPr>
          <w:b/>
          <w:bCs/>
        </w:rPr>
        <w:t>EXAMPLES:-</w:t>
      </w:r>
      <w:proofErr w:type="gramEnd"/>
    </w:p>
    <w:p w14:paraId="6988AD1E" w14:textId="1000746A" w:rsidR="0056179F" w:rsidRDefault="0056179F" w:rsidP="0056179F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 xml:space="preserve">The </w:t>
      </w:r>
      <w:r w:rsidRPr="009F7CA2">
        <w:rPr>
          <w:b/>
          <w:bCs/>
          <w:sz w:val="28"/>
          <w:szCs w:val="28"/>
        </w:rPr>
        <w:t>Hindi Playfair Cipher</w:t>
      </w:r>
      <w:r w:rsidRPr="009F7CA2">
        <w:rPr>
          <w:sz w:val="28"/>
          <w:szCs w:val="28"/>
        </w:rPr>
        <w:t xml:space="preserve"> successfully bridges the gap between classic cryptographic principles and linguistically complex scripts.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6"/>
        <w:gridCol w:w="4420"/>
      </w:tblGrid>
      <w:tr w:rsidR="00B236F2" w14:paraId="2FBA7109" w14:textId="77777777" w:rsidTr="00B236F2">
        <w:tc>
          <w:tcPr>
            <w:tcW w:w="4508" w:type="dxa"/>
          </w:tcPr>
          <w:p w14:paraId="2C7E8AB4" w14:textId="7D5EEFB9" w:rsidR="00B236F2" w:rsidRDefault="00B236F2" w:rsidP="0056179F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B236F2">
              <w:rPr>
                <w:sz w:val="28"/>
                <w:szCs w:val="28"/>
              </w:rPr>
              <w:lastRenderedPageBreak/>
              <w:drawing>
                <wp:inline distT="0" distB="0" distL="0" distR="0" wp14:anchorId="3E1F9387" wp14:editId="5BA59150">
                  <wp:extent cx="2781242" cy="1724025"/>
                  <wp:effectExtent l="0" t="0" r="635" b="0"/>
                  <wp:docPr id="1259331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3315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150" cy="172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D9BDEAE" w14:textId="0AF92D71" w:rsidR="00B236F2" w:rsidRDefault="00B236F2" w:rsidP="0056179F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B236F2">
              <w:rPr>
                <w:sz w:val="28"/>
                <w:szCs w:val="28"/>
              </w:rPr>
              <w:drawing>
                <wp:inline distT="0" distB="0" distL="0" distR="0" wp14:anchorId="1450F8D5" wp14:editId="085896F3">
                  <wp:extent cx="2407285" cy="1822133"/>
                  <wp:effectExtent l="0" t="0" r="0" b="6985"/>
                  <wp:docPr id="175215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1547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46" cy="182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6F2" w14:paraId="7E1506CB" w14:textId="77777777" w:rsidTr="00B236F2">
        <w:tc>
          <w:tcPr>
            <w:tcW w:w="4508" w:type="dxa"/>
          </w:tcPr>
          <w:p w14:paraId="1E8F261C" w14:textId="33514087" w:rsidR="00B236F2" w:rsidRDefault="00B236F2" w:rsidP="0056179F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B236F2">
              <w:rPr>
                <w:sz w:val="28"/>
                <w:szCs w:val="28"/>
              </w:rPr>
              <w:drawing>
                <wp:inline distT="0" distB="0" distL="0" distR="0" wp14:anchorId="4F254871" wp14:editId="18473CE3">
                  <wp:extent cx="2759710" cy="2106931"/>
                  <wp:effectExtent l="0" t="0" r="2540" b="7620"/>
                  <wp:docPr id="272762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62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553" cy="2118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B5D0B8" w14:textId="09EA262D" w:rsidR="00B236F2" w:rsidRDefault="00B236F2" w:rsidP="0056179F">
            <w:pPr>
              <w:pStyle w:val="Heading1"/>
              <w:spacing w:before="400" w:after="200"/>
              <w:rPr>
                <w:sz w:val="28"/>
                <w:szCs w:val="28"/>
              </w:rPr>
            </w:pPr>
            <w:r w:rsidRPr="00B236F2">
              <w:rPr>
                <w:sz w:val="28"/>
                <w:szCs w:val="28"/>
              </w:rPr>
              <w:drawing>
                <wp:inline distT="0" distB="0" distL="0" distR="0" wp14:anchorId="76C731E2" wp14:editId="1C6F1F0B">
                  <wp:extent cx="2512060" cy="1870268"/>
                  <wp:effectExtent l="0" t="0" r="2540" b="0"/>
                  <wp:docPr id="726490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902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298" cy="188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E6602" w14:textId="77777777" w:rsidR="00B236F2" w:rsidRDefault="00B236F2" w:rsidP="0056179F">
      <w:pPr>
        <w:pStyle w:val="Heading1"/>
        <w:spacing w:before="400" w:after="200"/>
        <w:rPr>
          <w:sz w:val="28"/>
          <w:szCs w:val="28"/>
        </w:rPr>
      </w:pPr>
    </w:p>
    <w:p w14:paraId="26EAF09D" w14:textId="77777777" w:rsidR="00B236F2" w:rsidRPr="009F7CA2" w:rsidRDefault="00B236F2" w:rsidP="0056179F">
      <w:pPr>
        <w:pStyle w:val="Heading1"/>
        <w:spacing w:before="400" w:after="200"/>
        <w:rPr>
          <w:sz w:val="28"/>
          <w:szCs w:val="28"/>
        </w:rPr>
      </w:pPr>
    </w:p>
    <w:p w14:paraId="6349A580" w14:textId="77777777" w:rsidR="0056179F" w:rsidRDefault="0056179F" w:rsidP="009F7CA2">
      <w:pPr>
        <w:pStyle w:val="Heading1"/>
        <w:spacing w:before="400" w:after="200"/>
      </w:pPr>
    </w:p>
    <w:p w14:paraId="175B3D47" w14:textId="224A9626" w:rsidR="0056179F" w:rsidRPr="0056179F" w:rsidRDefault="00000000" w:rsidP="009F7CA2">
      <w:pPr>
        <w:pStyle w:val="Heading1"/>
        <w:spacing w:before="400" w:after="200"/>
      </w:pPr>
      <w:r>
        <w:pict w14:anchorId="1D100577">
          <v:rect id="_x0000_i1029" style="width:0;height:1.5pt" o:hralign="center" o:hrstd="t" o:hr="t" fillcolor="#a0a0a0" stroked="f"/>
        </w:pict>
      </w:r>
    </w:p>
    <w:p w14:paraId="364110C5" w14:textId="75F371A2" w:rsidR="009F7CA2" w:rsidRPr="009F7CA2" w:rsidRDefault="009F7CA2" w:rsidP="009F7CA2">
      <w:pPr>
        <w:pStyle w:val="Heading1"/>
        <w:spacing w:before="400" w:after="200"/>
        <w:rPr>
          <w:b/>
          <w:bCs/>
        </w:rPr>
      </w:pPr>
      <w:r w:rsidRPr="009F7CA2">
        <w:rPr>
          <w:b/>
          <w:bCs/>
        </w:rPr>
        <w:t>6. Conclusion</w:t>
      </w:r>
    </w:p>
    <w:p w14:paraId="0AD2977A" w14:textId="2949B010" w:rsidR="007B4BAB" w:rsidRPr="009F7CA2" w:rsidRDefault="009F7CA2" w:rsidP="009F7CA2">
      <w:pPr>
        <w:pStyle w:val="Heading1"/>
        <w:spacing w:before="400" w:after="200"/>
        <w:rPr>
          <w:sz w:val="28"/>
          <w:szCs w:val="28"/>
        </w:rPr>
      </w:pPr>
      <w:r w:rsidRPr="009F7CA2">
        <w:rPr>
          <w:sz w:val="28"/>
          <w:szCs w:val="28"/>
        </w:rPr>
        <w:t xml:space="preserve">The </w:t>
      </w:r>
      <w:r w:rsidRPr="009F7CA2">
        <w:rPr>
          <w:b/>
          <w:bCs/>
          <w:sz w:val="28"/>
          <w:szCs w:val="28"/>
        </w:rPr>
        <w:t>Hindi Playfair Cipher</w:t>
      </w:r>
      <w:r w:rsidRPr="009F7CA2">
        <w:rPr>
          <w:sz w:val="28"/>
          <w:szCs w:val="28"/>
        </w:rPr>
        <w:t xml:space="preserve"> successfully bridges the gap between classic cryptographic principles and linguistically complex scripts. By leveraging a modern, modular tech stack, the project provides a secure, user-friendly, and highly efficient method for processing Devanagari text, demonstrating that traditional ciphers can be effectively modernized for global languages.</w:t>
      </w:r>
    </w:p>
    <w:sectPr w:rsidR="007B4BAB" w:rsidRPr="009F7C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6177B"/>
    <w:multiLevelType w:val="multilevel"/>
    <w:tmpl w:val="037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12CF1"/>
    <w:multiLevelType w:val="hybridMultilevel"/>
    <w:tmpl w:val="EEA60042"/>
    <w:lvl w:ilvl="0" w:tplc="22628AFC">
      <w:start w:val="1"/>
      <w:numFmt w:val="bullet"/>
      <w:lvlText w:val="●"/>
      <w:lvlJc w:val="left"/>
      <w:pPr>
        <w:ind w:left="720" w:hanging="360"/>
      </w:pPr>
    </w:lvl>
    <w:lvl w:ilvl="1" w:tplc="504CF030">
      <w:start w:val="1"/>
      <w:numFmt w:val="bullet"/>
      <w:lvlText w:val="○"/>
      <w:lvlJc w:val="left"/>
      <w:pPr>
        <w:ind w:left="1440" w:hanging="360"/>
      </w:pPr>
    </w:lvl>
    <w:lvl w:ilvl="2" w:tplc="EA1A8168">
      <w:start w:val="1"/>
      <w:numFmt w:val="bullet"/>
      <w:lvlText w:val="■"/>
      <w:lvlJc w:val="left"/>
      <w:pPr>
        <w:ind w:left="2160" w:hanging="360"/>
      </w:pPr>
    </w:lvl>
    <w:lvl w:ilvl="3" w:tplc="160AFF54">
      <w:start w:val="1"/>
      <w:numFmt w:val="bullet"/>
      <w:lvlText w:val="●"/>
      <w:lvlJc w:val="left"/>
      <w:pPr>
        <w:ind w:left="2880" w:hanging="360"/>
      </w:pPr>
    </w:lvl>
    <w:lvl w:ilvl="4" w:tplc="D3C835F4">
      <w:start w:val="1"/>
      <w:numFmt w:val="bullet"/>
      <w:lvlText w:val="○"/>
      <w:lvlJc w:val="left"/>
      <w:pPr>
        <w:ind w:left="3600" w:hanging="360"/>
      </w:pPr>
    </w:lvl>
    <w:lvl w:ilvl="5" w:tplc="181AEBAA">
      <w:start w:val="1"/>
      <w:numFmt w:val="bullet"/>
      <w:lvlText w:val="■"/>
      <w:lvlJc w:val="left"/>
      <w:pPr>
        <w:ind w:left="4320" w:hanging="360"/>
      </w:pPr>
    </w:lvl>
    <w:lvl w:ilvl="6" w:tplc="921E3308">
      <w:start w:val="1"/>
      <w:numFmt w:val="bullet"/>
      <w:lvlText w:val="●"/>
      <w:lvlJc w:val="left"/>
      <w:pPr>
        <w:ind w:left="5040" w:hanging="360"/>
      </w:pPr>
    </w:lvl>
    <w:lvl w:ilvl="7" w:tplc="4A9A597E">
      <w:start w:val="1"/>
      <w:numFmt w:val="bullet"/>
      <w:lvlText w:val="●"/>
      <w:lvlJc w:val="left"/>
      <w:pPr>
        <w:ind w:left="5760" w:hanging="360"/>
      </w:pPr>
    </w:lvl>
    <w:lvl w:ilvl="8" w:tplc="BF4075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59218C"/>
    <w:multiLevelType w:val="multilevel"/>
    <w:tmpl w:val="5C98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85330">
    <w:abstractNumId w:val="1"/>
    <w:lvlOverride w:ilvl="0">
      <w:startOverride w:val="1"/>
    </w:lvlOverride>
  </w:num>
  <w:num w:numId="2" w16cid:durableId="952322771">
    <w:abstractNumId w:val="2"/>
  </w:num>
  <w:num w:numId="3" w16cid:durableId="129848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BAB"/>
    <w:rsid w:val="004C39F4"/>
    <w:rsid w:val="0056179F"/>
    <w:rsid w:val="007B4BAB"/>
    <w:rsid w:val="009F7CA2"/>
    <w:rsid w:val="00A465AF"/>
    <w:rsid w:val="00B236F2"/>
    <w:rsid w:val="00BC7C03"/>
    <w:rsid w:val="00E60354"/>
    <w:rsid w:val="00F3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713C"/>
  <w15:docId w15:val="{BCFD31B7-5BC2-47CA-A0AE-F17DA7C0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236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496</Words>
  <Characters>3002</Characters>
  <Application>Microsoft Office Word</Application>
  <DocSecurity>0</DocSecurity>
  <Lines>83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NEVESH DIVYA (RA2311031010007)</cp:lastModifiedBy>
  <cp:revision>4</cp:revision>
  <dcterms:created xsi:type="dcterms:W3CDTF">2026-02-04T21:25:00Z</dcterms:created>
  <dcterms:modified xsi:type="dcterms:W3CDTF">2026-02-24T02:27:00Z</dcterms:modified>
</cp:coreProperties>
</file>