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 Expression Clustering and Analysis using K-Means</w:t>
      </w:r>
    </w:p>
    <w:p>
      <w:r>
        <w:t>ISC 211 – Introduction to Bioinformatics · Individual Assignment</w:t>
        <w:br/>
        <w:t>Name: Nevil Mathew Sanish   ·   Roll No.: 2025BCD0011   ·   Indian Institute of Information Technology Kottayam</w:t>
      </w:r>
    </w:p>
    <w:p>
      <w:pPr>
        <w:pStyle w:val="Heading1"/>
      </w:pPr>
      <w:r>
        <w:t>1. Assignment allocation</w:t>
      </w:r>
    </w:p>
    <w:p>
      <w:r>
        <w:t>R = last three digits of roll number = 011 = 11.  Topic = ((11 − 1) mod 11) + 1 = 11 → “Gene Expression Clustering and Analysis” (Georgieva, ERIS 2022, CEUR-WS Vol-3372 paper02). Because Topic &gt; 10 the algorithm is chosen from {M11, M12, M13}; M11 – K-Means clustering – was selected, as it is the objective-function clustering method the paper reviews (§2.2) and is directly suited to discovering groups in expression data.</w:t>
      </w:r>
    </w:p>
    <w:p>
      <w:pPr>
        <w:pStyle w:val="Heading1"/>
      </w:pPr>
      <w:r>
        <w:t>2. Research paper and biological problem</w:t>
      </w:r>
    </w:p>
    <w:p>
      <w:r>
        <w:t>The paper reviews clustering for gene-expression analysis – hierarchical, objective-function (k-means, fuzzy c-means, SOM) and density-based (DBSCAN) methods – and extends an iterative DBSCAN procedure for detecting differentially expressed genes between two mouse strains (C57BL/6J vs DBA/2J, Bottomly et al. RNA-seq). Key points used in this work:</w:t>
      </w:r>
    </w:p>
    <w:p>
      <w:pPr>
        <w:pStyle w:val="ListBullet"/>
      </w:pPr>
      <w:r>
        <w:t>Biological problem: expression tables contain thousands of genes for many samples; unsupervised clustering is needed to discover unknown partitions – groups of samples/genes with similar behaviour, e.g. distinct cancer types (paper §1).</w:t>
      </w:r>
    </w:p>
    <w:p>
      <w:pPr>
        <w:pStyle w:val="ListBullet"/>
      </w:pPr>
      <w:r>
        <w:t>Pre-processing: a log transformation is required because some genes are expressed orders of magnitude higher than others, and non-active (zero) genes must be filtered (paper §3.2).</w:t>
      </w:r>
    </w:p>
    <w:p>
      <w:pPr>
        <w:pStyle w:val="ListBullet"/>
      </w:pPr>
      <w:r>
        <w:t>Choosing the number of clusters k is the main difficulty of k-means; PCA-based representations help (paper §2.2).</w:t>
      </w:r>
    </w:p>
    <w:p>
      <w:r>
        <w:t>Here the same problem – discovering biologically meaningful groups from RNA-seq expression without using labels – is addressed with K-Means on tumour samples, with the known tumour type used only to evaluate the discovered clusters.</w:t>
      </w:r>
    </w:p>
    <w:p>
      <w:pPr>
        <w:pStyle w:val="Heading1"/>
      </w:pPr>
      <w:r>
        <w:t>3. Dataset</w:t>
      </w:r>
    </w:p>
    <w:p>
      <w:r>
        <w:t>The paper’s mouse dataset has no ground-truth groups for clustering evaluation, so a suitable public dataset with known biology was selected: UCI “Gene Expression Cancer RNA-Seq” (UCI ML Repository, ID 401), a random extract of the TCGA Pan-Cancer Atlas (Illumina HiSeq). It was downloaded from https://archive.ics.uci.edu/static/public/401/gene+expression+cancer+rna+seq.zip (a zip holding TCGA-PANCAN-HiSeq-801x20531.tar.gz with data.csv and labels.csv); a copy is in the dataset/ folder.</w:t>
      </w:r>
    </w:p>
    <w:p>
      <w:pPr>
        <w:pStyle w:val="ListBullet"/>
      </w:pPr>
      <w:r>
        <w:t>801 tumour samples × 20,531 genes (RNA-seq expression values).</w:t>
      </w:r>
    </w:p>
    <w:p>
      <w:pPr>
        <w:pStyle w:val="ListBullet"/>
      </w:pPr>
      <w:r>
        <w:t>5 tumour types: BRCA (breast, 300), KIRC (kidney, 146), LUAD (lung, 141), PRAD (prostate, 136), COAD (colon, 78).</w:t>
      </w:r>
    </w:p>
    <w:p>
      <w:pPr>
        <w:pStyle w:val="Heading1"/>
      </w:pPr>
      <w:r>
        <w:t>4. Data preparation</w:t>
      </w:r>
    </w:p>
    <w:p>
      <w:pPr>
        <w:pStyle w:val="ListBullet"/>
      </w:pPr>
      <w:r>
        <w:t>log2(x + 1) transform of all expression values (paper §3.2).</w:t>
      </w:r>
    </w:p>
    <w:p>
      <w:pPr>
        <w:pStyle w:val="ListBullet"/>
      </w:pPr>
      <w:r>
        <w:t>Removal of zero-variance (non-active) genes → 20,264 genes.</w:t>
      </w:r>
    </w:p>
    <w:p>
      <w:pPr>
        <w:pStyle w:val="ListBullet"/>
      </w:pPr>
      <w:r>
        <w:t>Stratified 80/20 split (seed 42): 640 training samples, 161 unseen test samples. Everything below is fitted on the training set only, so no information from the test set leaks into the model.</w:t>
      </w:r>
    </w:p>
    <w:p>
      <w:pPr>
        <w:pStyle w:val="ListBullet"/>
      </w:pPr>
      <w:r>
        <w:t>Selection of the N most variable genes, per-gene standardisation (z-score) and optional PCA – N and the number of PCA components are hyper-parameters chosen by cross-validation.</w:t>
      </w:r>
    </w:p>
    <w:p>
      <w:pPr>
        <w:pStyle w:val="Heading1"/>
      </w:pPr>
      <w:r>
        <w:t>5. Algorithm and training – K-Means (M11)</w:t>
      </w:r>
    </w:p>
    <w:p>
      <w:r>
        <w:t>K-Means partitions samples into k clusters by iteratively assigning each sample to its nearest centroid (Euclidean distance) and recomputing centroids, minimising the within-cluster sum of squares (inertia). k = 5 was used, matching the five tumour types and supported by the elbow/silhouette analysis (Fig. 1). Each fit uses 50 random initialisations (k-means++) and keeps the lowest-inertia solution. Because cluster IDs are arbitrary, each cluster is mapped to a tumour type with the Hungarian algorithm using the training labels only; this mapping is then applied unchanged to unseen samples.</w:t>
      </w:r>
    </w:p>
    <w:p>
      <w:r>
        <w:t>Hyper-parameter tuning: 20 pipelines (top-variance genes ∈ {500, 1000, 2000, 5000} × PCA ∈ {none, 5, 10, 20, 50}) were scored with 5-fold stratified cross-validation inside the training set. The best was 500 genes with no PCA (scaled genes used directly). Top configurations: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genes</w:t>
            </w:r>
          </w:p>
        </w:tc>
        <w:tc>
          <w:tcPr>
            <w:tcW w:type="dxa" w:w="2045"/>
          </w:tcPr>
          <w:p>
            <w:r>
              <w:t>PCA comps</w:t>
            </w:r>
          </w:p>
        </w:tc>
        <w:tc>
          <w:tcPr>
            <w:tcW w:type="dxa" w:w="2045"/>
          </w:tcPr>
          <w:p>
            <w:r>
              <w:t>CV accuracy (mean)</w:t>
            </w:r>
          </w:p>
        </w:tc>
        <w:tc>
          <w:tcPr>
            <w:tcW w:type="dxa" w:w="2045"/>
          </w:tcPr>
          <w:p>
            <w:r>
              <w:t>CV accuracy (std)</w:t>
            </w:r>
          </w:p>
        </w:tc>
      </w:tr>
      <w:tr>
        <w:tc>
          <w:tcPr>
            <w:tcW w:type="dxa" w:w="2045"/>
          </w:tcPr>
          <w:p>
            <w:r>
              <w:t>#1</w:t>
            </w:r>
          </w:p>
        </w:tc>
        <w:tc>
          <w:tcPr>
            <w:tcW w:type="dxa" w:w="2045"/>
          </w:tcPr>
          <w:p>
            <w:r>
              <w:t>500</w:t>
            </w:r>
          </w:p>
        </w:tc>
        <w:tc>
          <w:tcPr>
            <w:tcW w:type="dxa" w:w="2045"/>
          </w:tcPr>
          <w:p>
            <w:r>
              <w:t>none</w:t>
            </w:r>
          </w:p>
        </w:tc>
        <w:tc>
          <w:tcPr>
            <w:tcW w:type="dxa" w:w="2045"/>
          </w:tcPr>
          <w:p>
            <w:r>
              <w:t>0.9984</w:t>
            </w:r>
          </w:p>
        </w:tc>
        <w:tc>
          <w:tcPr>
            <w:tcW w:type="dxa" w:w="2045"/>
          </w:tcPr>
          <w:p>
            <w:r>
              <w:t>0.0031</w:t>
            </w:r>
          </w:p>
        </w:tc>
      </w:tr>
      <w:tr>
        <w:tc>
          <w:tcPr>
            <w:tcW w:type="dxa" w:w="2045"/>
          </w:tcPr>
          <w:p>
            <w:r>
              <w:t>#2</w:t>
            </w:r>
          </w:p>
        </w:tc>
        <w:tc>
          <w:tcPr>
            <w:tcW w:type="dxa" w:w="2045"/>
          </w:tcPr>
          <w:p>
            <w:r>
              <w:t>500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0.9984</w:t>
            </w:r>
          </w:p>
        </w:tc>
        <w:tc>
          <w:tcPr>
            <w:tcW w:type="dxa" w:w="2045"/>
          </w:tcPr>
          <w:p>
            <w:r>
              <w:t>0.0031</w:t>
            </w:r>
          </w:p>
        </w:tc>
      </w:tr>
      <w:tr>
        <w:tc>
          <w:tcPr>
            <w:tcW w:type="dxa" w:w="2045"/>
          </w:tcPr>
          <w:p>
            <w:r>
              <w:t>#3</w:t>
            </w:r>
          </w:p>
        </w:tc>
        <w:tc>
          <w:tcPr>
            <w:tcW w:type="dxa" w:w="2045"/>
          </w:tcPr>
          <w:p>
            <w:r>
              <w:t>500</w:t>
            </w:r>
          </w:p>
        </w:tc>
        <w:tc>
          <w:tcPr>
            <w:tcW w:type="dxa" w:w="2045"/>
          </w:tcPr>
          <w:p>
            <w:r>
              <w:t>10</w:t>
            </w:r>
          </w:p>
        </w:tc>
        <w:tc>
          <w:tcPr>
            <w:tcW w:type="dxa" w:w="2045"/>
          </w:tcPr>
          <w:p>
            <w:r>
              <w:t>0.9984</w:t>
            </w:r>
          </w:p>
        </w:tc>
        <w:tc>
          <w:tcPr>
            <w:tcW w:type="dxa" w:w="2045"/>
          </w:tcPr>
          <w:p>
            <w:r>
              <w:t>0.0031</w:t>
            </w:r>
          </w:p>
        </w:tc>
      </w:tr>
      <w:tr>
        <w:tc>
          <w:tcPr>
            <w:tcW w:type="dxa" w:w="2045"/>
          </w:tcPr>
          <w:p>
            <w:r>
              <w:t>#4</w:t>
            </w:r>
          </w:p>
        </w:tc>
        <w:tc>
          <w:tcPr>
            <w:tcW w:type="dxa" w:w="2045"/>
          </w:tcPr>
          <w:p>
            <w:r>
              <w:t>500</w:t>
            </w:r>
          </w:p>
        </w:tc>
        <w:tc>
          <w:tcPr>
            <w:tcW w:type="dxa" w:w="2045"/>
          </w:tcPr>
          <w:p>
            <w:r>
              <w:t>20</w:t>
            </w:r>
          </w:p>
        </w:tc>
        <w:tc>
          <w:tcPr>
            <w:tcW w:type="dxa" w:w="2045"/>
          </w:tcPr>
          <w:p>
            <w:r>
              <w:t>0.9984</w:t>
            </w:r>
          </w:p>
        </w:tc>
        <w:tc>
          <w:tcPr>
            <w:tcW w:type="dxa" w:w="2045"/>
          </w:tcPr>
          <w:p>
            <w:r>
              <w:t>0.0031</w:t>
            </w:r>
          </w:p>
        </w:tc>
      </w:tr>
      <w:tr>
        <w:tc>
          <w:tcPr>
            <w:tcW w:type="dxa" w:w="2045"/>
          </w:tcPr>
          <w:p>
            <w:r>
              <w:t>#5</w:t>
            </w:r>
          </w:p>
        </w:tc>
        <w:tc>
          <w:tcPr>
            <w:tcW w:type="dxa" w:w="2045"/>
          </w:tcPr>
          <w:p>
            <w:r>
              <w:t>500</w:t>
            </w:r>
          </w:p>
        </w:tc>
        <w:tc>
          <w:tcPr>
            <w:tcW w:type="dxa" w:w="2045"/>
          </w:tcPr>
          <w:p>
            <w:r>
              <w:t>50</w:t>
            </w:r>
          </w:p>
        </w:tc>
        <w:tc>
          <w:tcPr>
            <w:tcW w:type="dxa" w:w="2045"/>
          </w:tcPr>
          <w:p>
            <w:r>
              <w:t>0.9984</w:t>
            </w:r>
          </w:p>
        </w:tc>
        <w:tc>
          <w:tcPr>
            <w:tcW w:type="dxa" w:w="2045"/>
          </w:tcPr>
          <w:p>
            <w:r>
              <w:t>0.0031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931920" cy="1529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sele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1529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1 – Elbow (inertia) and silhouette versus k on the training set.</w:t>
      </w:r>
    </w:p>
    <w:p>
      <w:pPr>
        <w:pStyle w:val="Heading1"/>
      </w:pPr>
      <w:r>
        <w:t>6. Testing on unseen data and evaluation</w:t>
      </w:r>
    </w:p>
    <w:p>
      <w:r>
        <w:t>The final model was trained once on all 640 training samples and evaluated once on the 161 held-out test samples. Accuracy on unseen data = 99.38% (160/161 samples correctly grouped). Metrics: accuracy (after training-learned cluster→class mapping), Adjusted Rand Index (ARI, 1 = perfect agreement, 0 = random), Normalised Mutual Information (NMI), and silhouette coefficient (cluster compactness/separation, −1…1).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Accuracy</w:t>
            </w:r>
          </w:p>
        </w:tc>
        <w:tc>
          <w:tcPr>
            <w:tcW w:type="dxa" w:w="2045"/>
          </w:tcPr>
          <w:p>
            <w:r>
              <w:t>ARI</w:t>
            </w:r>
          </w:p>
        </w:tc>
        <w:tc>
          <w:tcPr>
            <w:tcW w:type="dxa" w:w="2045"/>
          </w:tcPr>
          <w:p>
            <w:r>
              <w:t>NMI</w:t>
            </w:r>
          </w:p>
        </w:tc>
        <w:tc>
          <w:tcPr>
            <w:tcW w:type="dxa" w:w="2045"/>
          </w:tcPr>
          <w:p>
            <w:r>
              <w:t>Silhouette</w:t>
            </w:r>
          </w:p>
        </w:tc>
      </w:tr>
      <w:tr>
        <w:tc>
          <w:tcPr>
            <w:tcW w:type="dxa" w:w="2045"/>
          </w:tcPr>
          <w:p>
            <w:r>
              <w:t>Training (seen)</w:t>
            </w:r>
          </w:p>
        </w:tc>
        <w:tc>
          <w:tcPr>
            <w:tcW w:type="dxa" w:w="2045"/>
          </w:tcPr>
          <w:p>
            <w:r>
              <w:t>0.9984</w:t>
            </w:r>
          </w:p>
        </w:tc>
        <w:tc>
          <w:tcPr>
            <w:tcW w:type="dxa" w:w="2045"/>
          </w:tcPr>
          <w:p>
            <w:r>
              <w:t>0.9953</w:t>
            </w:r>
          </w:p>
        </w:tc>
        <w:tc>
          <w:tcPr>
            <w:tcW w:type="dxa" w:w="2045"/>
          </w:tcPr>
          <w:p>
            <w:r>
              <w:t>0.9937</w:t>
            </w:r>
          </w:p>
        </w:tc>
        <w:tc>
          <w:tcPr>
            <w:tcW w:type="dxa" w:w="2045"/>
          </w:tcPr>
          <w:p>
            <w:r>
              <w:t>0.3404</w:t>
            </w:r>
          </w:p>
        </w:tc>
      </w:tr>
      <w:tr>
        <w:tc>
          <w:tcPr>
            <w:tcW w:type="dxa" w:w="2045"/>
          </w:tcPr>
          <w:p>
            <w:r>
              <w:t>Test (unseen)</w:t>
            </w:r>
          </w:p>
        </w:tc>
        <w:tc>
          <w:tcPr>
            <w:tcW w:type="dxa" w:w="2045"/>
          </w:tcPr>
          <w:p>
            <w:r>
              <w:t>0.9938</w:t>
            </w:r>
          </w:p>
        </w:tc>
        <w:tc>
          <w:tcPr>
            <w:tcW w:type="dxa" w:w="2045"/>
          </w:tcPr>
          <w:p>
            <w:r>
              <w:t>0.9814</w:t>
            </w:r>
          </w:p>
        </w:tc>
        <w:tc>
          <w:tcPr>
            <w:tcW w:type="dxa" w:w="2045"/>
          </w:tcPr>
          <w:p>
            <w:r>
              <w:t>0.9807</w:t>
            </w:r>
          </w:p>
        </w:tc>
        <w:tc>
          <w:tcPr>
            <w:tcW w:type="dxa" w:w="2045"/>
          </w:tcPr>
          <w:p>
            <w:r>
              <w:t>0.3209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Precision</w:t>
            </w:r>
          </w:p>
        </w:tc>
        <w:tc>
          <w:tcPr>
            <w:tcW w:type="dxa" w:w="2045"/>
          </w:tcPr>
          <w:p>
            <w:r>
              <w:t>Recall</w:t>
            </w:r>
          </w:p>
        </w:tc>
        <w:tc>
          <w:tcPr>
            <w:tcW w:type="dxa" w:w="2045"/>
          </w:tcPr>
          <w:p>
            <w:r>
              <w:t>F1-score</w:t>
            </w:r>
          </w:p>
        </w:tc>
        <w:tc>
          <w:tcPr>
            <w:tcW w:type="dxa" w:w="2045"/>
          </w:tcPr>
          <w:p>
            <w:r>
              <w:t>Support</w:t>
            </w:r>
          </w:p>
        </w:tc>
      </w:tr>
      <w:tr>
        <w:tc>
          <w:tcPr>
            <w:tcW w:type="dxa" w:w="2045"/>
          </w:tcPr>
          <w:p>
            <w:r>
              <w:t>BRCA</w:t>
            </w:r>
          </w:p>
        </w:tc>
        <w:tc>
          <w:tcPr>
            <w:tcW w:type="dxa" w:w="2045"/>
          </w:tcPr>
          <w:p>
            <w:r>
              <w:t>0.9836</w:t>
            </w:r>
          </w:p>
        </w:tc>
        <w:tc>
          <w:tcPr>
            <w:tcW w:type="dxa" w:w="2045"/>
          </w:tcPr>
          <w:p>
            <w:r>
              <w:t>1.0000</w:t>
            </w:r>
          </w:p>
        </w:tc>
        <w:tc>
          <w:tcPr>
            <w:tcW w:type="dxa" w:w="2045"/>
          </w:tcPr>
          <w:p>
            <w:r>
              <w:t>0.9917</w:t>
            </w:r>
          </w:p>
        </w:tc>
        <w:tc>
          <w:tcPr>
            <w:tcW w:type="dxa" w:w="2045"/>
          </w:tcPr>
          <w:p>
            <w:r>
              <w:t>60</w:t>
            </w:r>
          </w:p>
        </w:tc>
      </w:tr>
      <w:tr>
        <w:tc>
          <w:tcPr>
            <w:tcW w:type="dxa" w:w="2045"/>
          </w:tcPr>
          <w:p>
            <w:r>
              <w:t>COAD</w:t>
            </w:r>
          </w:p>
        </w:tc>
        <w:tc>
          <w:tcPr>
            <w:tcW w:type="dxa" w:w="2045"/>
          </w:tcPr>
          <w:p>
            <w:r>
              <w:t>1.0000</w:t>
            </w:r>
          </w:p>
        </w:tc>
        <w:tc>
          <w:tcPr>
            <w:tcW w:type="dxa" w:w="2045"/>
          </w:tcPr>
          <w:p>
            <w:r>
              <w:t>1.0000</w:t>
            </w:r>
          </w:p>
        </w:tc>
        <w:tc>
          <w:tcPr>
            <w:tcW w:type="dxa" w:w="2045"/>
          </w:tcPr>
          <w:p>
            <w:r>
              <w:t>1.0000</w:t>
            </w:r>
          </w:p>
        </w:tc>
        <w:tc>
          <w:tcPr>
            <w:tcW w:type="dxa" w:w="2045"/>
          </w:tcPr>
          <w:p>
            <w:r>
              <w:t>16</w:t>
            </w:r>
          </w:p>
        </w:tc>
      </w:tr>
      <w:tr>
        <w:tc>
          <w:tcPr>
            <w:tcW w:type="dxa" w:w="2045"/>
          </w:tcPr>
          <w:p>
            <w:r>
              <w:t>KIRC</w:t>
            </w:r>
          </w:p>
        </w:tc>
        <w:tc>
          <w:tcPr>
            <w:tcW w:type="dxa" w:w="2045"/>
          </w:tcPr>
          <w:p>
            <w:r>
              <w:t>1.0000</w:t>
            </w:r>
          </w:p>
        </w:tc>
        <w:tc>
          <w:tcPr>
            <w:tcW w:type="dxa" w:w="2045"/>
          </w:tcPr>
          <w:p>
            <w:r>
              <w:t>1.0000</w:t>
            </w:r>
          </w:p>
        </w:tc>
        <w:tc>
          <w:tcPr>
            <w:tcW w:type="dxa" w:w="2045"/>
          </w:tcPr>
          <w:p>
            <w:r>
              <w:t>1.0000</w:t>
            </w:r>
          </w:p>
        </w:tc>
        <w:tc>
          <w:tcPr>
            <w:tcW w:type="dxa" w:w="2045"/>
          </w:tcPr>
          <w:p>
            <w:r>
              <w:t>30</w:t>
            </w:r>
          </w:p>
        </w:tc>
      </w:tr>
      <w:tr>
        <w:tc>
          <w:tcPr>
            <w:tcW w:type="dxa" w:w="2045"/>
          </w:tcPr>
          <w:p>
            <w:r>
              <w:t>LUAD</w:t>
            </w:r>
          </w:p>
        </w:tc>
        <w:tc>
          <w:tcPr>
            <w:tcW w:type="dxa" w:w="2045"/>
          </w:tcPr>
          <w:p>
            <w:r>
              <w:t>1.0000</w:t>
            </w:r>
          </w:p>
        </w:tc>
        <w:tc>
          <w:tcPr>
            <w:tcW w:type="dxa" w:w="2045"/>
          </w:tcPr>
          <w:p>
            <w:r>
              <w:t>0.9643</w:t>
            </w:r>
          </w:p>
        </w:tc>
        <w:tc>
          <w:tcPr>
            <w:tcW w:type="dxa" w:w="2045"/>
          </w:tcPr>
          <w:p>
            <w:r>
              <w:t>0.9818</w:t>
            </w:r>
          </w:p>
        </w:tc>
        <w:tc>
          <w:tcPr>
            <w:tcW w:type="dxa" w:w="2045"/>
          </w:tcPr>
          <w:p>
            <w:r>
              <w:t>28</w:t>
            </w:r>
          </w:p>
        </w:tc>
      </w:tr>
      <w:tr>
        <w:tc>
          <w:tcPr>
            <w:tcW w:type="dxa" w:w="2045"/>
          </w:tcPr>
          <w:p>
            <w:r>
              <w:t>PRAD</w:t>
            </w:r>
          </w:p>
        </w:tc>
        <w:tc>
          <w:tcPr>
            <w:tcW w:type="dxa" w:w="2045"/>
          </w:tcPr>
          <w:p>
            <w:r>
              <w:t>1.0000</w:t>
            </w:r>
          </w:p>
        </w:tc>
        <w:tc>
          <w:tcPr>
            <w:tcW w:type="dxa" w:w="2045"/>
          </w:tcPr>
          <w:p>
            <w:r>
              <w:t>1.0000</w:t>
            </w:r>
          </w:p>
        </w:tc>
        <w:tc>
          <w:tcPr>
            <w:tcW w:type="dxa" w:w="2045"/>
          </w:tcPr>
          <w:p>
            <w:r>
              <w:t>1.0000</w:t>
            </w:r>
          </w:p>
        </w:tc>
        <w:tc>
          <w:tcPr>
            <w:tcW w:type="dxa" w:w="2045"/>
          </w:tcPr>
          <w:p>
            <w:r>
              <w:t>27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2743200" cy="22444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t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244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2 – Confusion matrix on the unseen test set.</w:t>
      </w:r>
    </w:p>
    <w:p>
      <w:r>
        <w:drawing>
          <wp:inline xmlns:a="http://schemas.openxmlformats.org/drawingml/2006/main" xmlns:pic="http://schemas.openxmlformats.org/drawingml/2006/picture">
            <wp:extent cx="4846320" cy="19825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s_pc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982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3 – Unseen test samples in the first two PCs: K-Means clusters (left) vs true tumour types (right).</w:t>
      </w:r>
    </w:p>
    <w:p>
      <w:pPr>
        <w:pStyle w:val="Heading1"/>
      </w:pPr>
      <w:r>
        <w:t>7. Testing on a large unseen dataset</w:t>
      </w:r>
    </w:p>
    <w:p>
      <w:r>
        <w:t>To check that the result does not depend on one small test split, the final pipeline (hyper-parameters fixed) was retrained on only 50 % or only 20 % of all 801 samples and tested on the remaining 401 or 641 never-seen samples, repeated over 10 random stratified splits each (results/large_unseen_tests.csv).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Accuracy (mean)</w:t>
            </w:r>
          </w:p>
        </w:tc>
        <w:tc>
          <w:tcPr>
            <w:tcW w:type="dxa" w:w="2045"/>
          </w:tcPr>
          <w:p>
            <w:r>
              <w:t>Accuracy (std)</w:t>
            </w:r>
          </w:p>
        </w:tc>
        <w:tc>
          <w:tcPr>
            <w:tcW w:type="dxa" w:w="2045"/>
          </w:tcPr>
          <w:p>
            <w:r>
              <w:t>Accuracy (min)</w:t>
            </w:r>
          </w:p>
        </w:tc>
        <w:tc>
          <w:tcPr>
            <w:tcW w:type="dxa" w:w="2045"/>
          </w:tcPr>
          <w:p>
            <w:r>
              <w:t>ARI (mean)</w:t>
            </w:r>
          </w:p>
        </w:tc>
      </w:tr>
      <w:tr>
        <w:tc>
          <w:tcPr>
            <w:tcW w:type="dxa" w:w="2045"/>
          </w:tcPr>
          <w:p>
            <w:r>
              <w:t>train 160 / unseen 641</w:t>
            </w:r>
          </w:p>
        </w:tc>
        <w:tc>
          <w:tcPr>
            <w:tcW w:type="dxa" w:w="2045"/>
          </w:tcPr>
          <w:p>
            <w:r>
              <w:t>0.9977</w:t>
            </w:r>
          </w:p>
        </w:tc>
        <w:tc>
          <w:tcPr>
            <w:tcW w:type="dxa" w:w="2045"/>
          </w:tcPr>
          <w:p>
            <w:r>
              <w:t>0.0011</w:t>
            </w:r>
          </w:p>
        </w:tc>
        <w:tc>
          <w:tcPr>
            <w:tcW w:type="dxa" w:w="2045"/>
          </w:tcPr>
          <w:p>
            <w:r>
              <w:t>0.9953</w:t>
            </w:r>
          </w:p>
        </w:tc>
        <w:tc>
          <w:tcPr>
            <w:tcW w:type="dxa" w:w="2045"/>
          </w:tcPr>
          <w:p>
            <w:r>
              <w:t>0.9929</w:t>
            </w:r>
          </w:p>
        </w:tc>
      </w:tr>
      <w:tr>
        <w:tc>
          <w:tcPr>
            <w:tcW w:type="dxa" w:w="2045"/>
          </w:tcPr>
          <w:p>
            <w:r>
              <w:t>train 400 / unseen 401</w:t>
            </w:r>
          </w:p>
        </w:tc>
        <w:tc>
          <w:tcPr>
            <w:tcW w:type="dxa" w:w="2045"/>
          </w:tcPr>
          <w:p>
            <w:r>
              <w:t>0.9980</w:t>
            </w:r>
          </w:p>
        </w:tc>
        <w:tc>
          <w:tcPr>
            <w:tcW w:type="dxa" w:w="2045"/>
          </w:tcPr>
          <w:p>
            <w:r>
              <w:t>0.0020</w:t>
            </w:r>
          </w:p>
        </w:tc>
        <w:tc>
          <w:tcPr>
            <w:tcW w:type="dxa" w:w="2045"/>
          </w:tcPr>
          <w:p>
            <w:r>
              <w:t>0.9950</w:t>
            </w:r>
          </w:p>
        </w:tc>
        <w:tc>
          <w:tcPr>
            <w:tcW w:type="dxa" w:w="2045"/>
          </w:tcPr>
          <w:p>
            <w:r>
              <w:t>0.9940</w:t>
            </w:r>
          </w:p>
        </w:tc>
      </w:tr>
    </w:tbl>
    <w:p>
      <w:r>
        <w:t>Even when trained on only 160 samples, the model groups 641 unseen samples with 99.77% mean accuracy, confirming that the tumour-type structure found by K-Means is stable and generalises to new data.</w:t>
      </w:r>
    </w:p>
    <w:p>
      <w:pPr>
        <w:pStyle w:val="Heading1"/>
      </w:pPr>
      <w:r>
        <w:t>8. Model versions</w:t>
      </w:r>
    </w:p>
    <w:p>
      <w:r>
        <w:t>Three versions were trained in Google Colab; each is stored in its own folder under model/ with its notebook (with outputs), saved model (.joblib), results (.csv/.json) and figures.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>
              <w:t>Changes</w:t>
            </w:r>
          </w:p>
        </w:tc>
        <w:tc>
          <w:tcPr>
            <w:tcW w:type="dxa" w:w="2556"/>
          </w:tcPr>
          <w:p>
            <w:r>
              <w:t>Unseen-test accuracy</w:t>
            </w:r>
          </w:p>
        </w:tc>
        <w:tc>
          <w:tcPr>
            <w:tcW w:type="dxa" w:w="2556"/>
          </w:tcPr>
          <w:p>
            <w:r>
              <w:t>ARI</w:t>
            </w:r>
          </w:p>
        </w:tc>
      </w:tr>
      <w:tr>
        <w:tc>
          <w:tcPr>
            <w:tcW w:type="dxa" w:w="2556"/>
          </w:tcPr>
          <w:p>
            <w:r>
              <w:t>v1 – version1_baseline</w:t>
            </w:r>
          </w:p>
        </w:tc>
        <w:tc>
          <w:tcPr>
            <w:tcW w:type="dxa" w:w="2556"/>
          </w:tcPr>
          <w:p>
            <w:r>
              <w:t>2,000 top-variance genes, k = 5; cluster→class matching done on the test set</w:t>
            </w:r>
          </w:p>
        </w:tc>
        <w:tc>
          <w:tcPr>
            <w:tcW w:type="dxa" w:w="2556"/>
          </w:tcPr>
          <w:p>
            <w:r>
              <w:t>98.76%</w:t>
            </w:r>
          </w:p>
        </w:tc>
        <w:tc>
          <w:tcPr>
            <w:tcW w:type="dxa" w:w="2556"/>
          </w:tcPr>
          <w:p>
            <w:r>
              <w:t>0.972</w:t>
            </w:r>
          </w:p>
        </w:tc>
      </w:tr>
      <w:tr>
        <w:tc>
          <w:tcPr>
            <w:tcW w:type="dxa" w:w="2556"/>
          </w:tcPr>
          <w:p>
            <w:r>
              <w:t>v2 – version2_cv_tuned</w:t>
            </w:r>
          </w:p>
        </w:tc>
        <w:tc>
          <w:tcPr>
            <w:tcW w:type="dxa" w:w="2556"/>
          </w:tcPr>
          <w:p>
            <w:r>
              <w:t>5-fold CV tuning on training set → 500 genes; cluster→class map learned on training labels</w:t>
            </w:r>
          </w:p>
        </w:tc>
        <w:tc>
          <w:tcPr>
            <w:tcW w:type="dxa" w:w="2556"/>
          </w:tcPr>
          <w:p>
            <w:r>
              <w:t>99.38%</w:t>
            </w:r>
          </w:p>
        </w:tc>
        <w:tc>
          <w:tcPr>
            <w:tcW w:type="dxa" w:w="2556"/>
          </w:tcPr>
          <w:p>
            <w:r>
              <w:t>0.981</w:t>
            </w:r>
          </w:p>
        </w:tc>
      </w:tr>
      <w:tr>
        <w:tc>
          <w:tcPr>
            <w:tcW w:type="dxa" w:w="2556"/>
          </w:tcPr>
          <w:p>
            <w:r>
              <w:t>v3 – version3_large_unseen_test</w:t>
            </w:r>
          </w:p>
        </w:tc>
        <w:tc>
          <w:tcPr>
            <w:tcW w:type="dxa" w:w="2556"/>
          </w:tcPr>
          <w:p>
            <w:r>
              <w:t>Version 2 + robustness test on 401 / 641 unseen samples (final)</w:t>
            </w:r>
          </w:p>
        </w:tc>
        <w:tc>
          <w:tcPr>
            <w:tcW w:type="dxa" w:w="2556"/>
          </w:tcPr>
          <w:p>
            <w:r>
              <w:t>99.38%</w:t>
            </w:r>
          </w:p>
        </w:tc>
        <w:tc>
          <w:tcPr>
            <w:tcW w:type="dxa" w:w="2556"/>
          </w:tcPr>
          <w:p>
            <w:r>
              <w:t>0.981</w:t>
            </w:r>
          </w:p>
        </w:tc>
      </w:tr>
    </w:tbl>
    <w:p>
      <w:r>
        <w:t>Improvement from v1 to v2 comes from (i) using fewer, more informative genes – 500 instead of 2,000 – which removes noisy dimensions from the Euclidean distance, and (ii) a stricter, leak-free evaluation where the cluster→class mapping is learned only from training data.</w:t>
      </w:r>
    </w:p>
    <w:p>
      <w:pPr>
        <w:pStyle w:val="Heading1"/>
      </w:pPr>
      <w:r>
        <w:t>9. Analysis of results</w:t>
      </w:r>
    </w:p>
    <w:p>
      <w:pPr>
        <w:pStyle w:val="ListBullet"/>
      </w:pPr>
      <w:r>
        <w:t>Without ever seeing labels during clustering, K-Means recovered the five tumour types almost perfectly: 99.38% accuracy and ARI 0.981 on unseen samples, close to the training result (99.84%), so the model generalises and does not over-fit.</w:t>
      </w:r>
    </w:p>
    <w:p>
      <w:pPr>
        <w:pStyle w:val="ListBullet"/>
      </w:pPr>
      <w:r>
        <w:t>Misclassifications on the test set: 1 LUAD sample(s) grouped with BRCA. Errors occur between tissues with related biology/expression programmes (e.g. adenocarcinomas of different organs), while tissue-specific cancers such as KIRC and PRAD form very compact clusters.</w:t>
      </w:r>
    </w:p>
    <w:p>
      <w:pPr>
        <w:pStyle w:val="ListBullet"/>
      </w:pPr>
      <w:r>
        <w:t>Cross-validation showed that restricting to the 500 most variable genes gave the best accuracy (99.84% CV vs 99.22% with 5,000 genes), while PCA gave no further gain: low-variance genes add noise to Euclidean distances, confirming the paper’s point that the proximity measure and the data representation determine cluster quality.</w:t>
      </w:r>
    </w:p>
    <w:p>
      <w:pPr>
        <w:pStyle w:val="ListBullet"/>
      </w:pPr>
      <w:r>
        <w:t>The silhouette score is moderate (0.32) even though accuracy is high: in high-dimensional expression space the clusters are well separated in direction but not perfectly spherical – consistent with the paper’s observation that gene-expression clusters are often elongated rather than Euclidean.</w:t>
      </w:r>
    </w:p>
    <w:p>
      <w:pPr>
        <w:pStyle w:val="ListBullet"/>
      </w:pPr>
      <w:r>
        <w:t>Choosing k: the elbow/silhouette curves support k ≈ 5, agreeing with the five biological tumour types, illustrating the paper’s remark that the number of clusters must be determined by an additional search procedure.</w:t>
      </w:r>
    </w:p>
    <w:p>
      <w:pPr>
        <w:pStyle w:val="Heading1"/>
      </w:pPr>
      <w:r>
        <w:t>10. Conclusion</w:t>
      </w:r>
    </w:p>
    <w:p>
      <w:r>
        <w:t>Following the assigned paper, RNA-seq expression data were log-transformed and filtered, and K-Means (M11) was used to discover tumour-type clusters without supervision. With hyper-parameters chosen by cross-validation on training data only, the model reaches 99.38% accuracy (ARI 0.981, NMI 0.981) on unseen samples, showing that clustering of gene expression reveals biologically meaningful groups. Limitations: k was fixed using prior knowledge of the five classes, and K-Means assumes spherical clusters; hierarchical, density-based (DBSCAN) or Mahalanobis-distance clustering, as discussed in the paper, are natural extensions.</w:t>
      </w:r>
    </w:p>
    <w:p>
      <w:pPr>
        <w:pStyle w:val="Heading1"/>
      </w:pPr>
      <w:r>
        <w:t>11. Submission folder structure</w:t>
      </w:r>
    </w:p>
    <w:p>
      <w:pPr>
        <w:pStyle w:val="ListBullet"/>
      </w:pPr>
      <w:r>
        <w:t>dataset/ – original UCI archive (gene_expression_cancer_rna_seq_UCI401.zip: data.csv 801×20,531 + labels.csv) and labels.csv.</w:t>
      </w:r>
    </w:p>
    <w:p>
      <w:pPr>
        <w:pStyle w:val="ListBullet"/>
      </w:pPr>
      <w:r>
        <w:t>model/version1_baseline/, model/version2_cv_tuned/, model/version3_large_unseen_test/ – notebook with outputs, model/kmeans_pancan.joblib, results/ (metrics.json, metrics.csv, confusion_test.csv, cv_tuning.csv, large_unseen_tests.csv) and figures/.</w:t>
      </w:r>
    </w:p>
    <w:p>
      <w:pPr>
        <w:pStyle w:val="ListBullet"/>
      </w:pPr>
      <w:r>
        <w:t>model/build_notebook.py and model/kmeans_gene_expression.ipynb – source that generates the final notebook (run in Google Colab).</w:t>
      </w:r>
    </w:p>
    <w:p>
      <w:pPr>
        <w:pStyle w:val="ListBullet"/>
      </w:pPr>
      <w:r>
        <w:t>report/ – this report and build_report.py, which builds it from the saved results.</w:t>
      </w:r>
    </w:p>
    <w:p>
      <w:pPr>
        <w:pStyle w:val="Heading1"/>
      </w:pPr>
      <w:r>
        <w:t>References</w:t>
      </w:r>
    </w:p>
    <w:p>
      <w:pPr>
        <w:pStyle w:val="ListNumber"/>
      </w:pPr>
      <w:r>
        <w:t>O. Georgieva, “Clustering for Gene Expression Analysis,” ERIS 2022, CEUR-WS Vol-3372, pp. 17–24, 2022.</w:t>
      </w:r>
    </w:p>
    <w:p>
      <w:pPr>
        <w:pStyle w:val="ListNumber"/>
      </w:pPr>
      <w:r>
        <w:t>S. Fiorini, “Gene expression cancer RNA-Seq,” UCI Machine Learning Repository, 2016, doi:10.24432/C5R88H.</w:t>
      </w:r>
    </w:p>
    <w:p>
      <w:pPr>
        <w:pStyle w:val="ListNumber"/>
      </w:pPr>
      <w:r>
        <w:t>The Cancer Genome Atlas Research Network et al., “The Cancer Genome Atlas Pan-Cancer analysis project,” Nat. Genet. 45, 2013.</w:t>
      </w:r>
    </w:p>
    <w:p>
      <w:pPr>
        <w:pStyle w:val="ListNumber"/>
      </w:pPr>
      <w:r>
        <w:t>F. Pedregosa et al., “Scikit-learn: Machine Learning in Python,” JMLR 12, 2011.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