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D4ED8"/>
          <w:sz w:val="52"/>
          <w:szCs w:val="52"/>
        </w:rPr>
        <w:t xml:space="preserve">Pattern Recognition for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D4ED8"/>
          <w:sz w:val="52"/>
          <w:szCs w:val="52"/>
        </w:rPr>
        <w:t xml:space="preserve">Financial Time Series Forecasting</w:t>
      </w:r>
    </w:p>
    <w:p>
      <w:pPr>
        <w:spacing w:after="480"/>
        <w:jc w:val="center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Second Assignment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Methodology: STFT Spectrogram + CNN-based Regression</w:t>
      </w:r>
    </w:p>
    <w:p>
      <w:pPr>
        <w:spacing w:after="288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Data Sources: Yahoo Finance  |  NSE India  |  Companies: TCS, Infosys, Reliance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1. Introduction and Objective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This assignment investigates how time-frequency signal processing and deep learning can be combined to forecast stock prices. Financial time series are treated as multivariate non-stationary signals and transformed into spectrogram representations that serve as inputs to a CNN regression model.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multivariate signal is defined as:</w:t>
      </w:r>
    </w:p>
    <w:p>
      <w:pPr>
        <w:spacing w:after="14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X(t) = [p(t), r(t), g(t), s(t), d(t)]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where p(t) is stock price, r(t) is revenue, g(t) is profit, s(t) is market index (Sensex), and d(t) is USD-INR exchange rate. The prediction model is:</w:t>
      </w:r>
    </w:p>
    <w:p>
      <w:pPr>
        <w:spacing w:after="14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p̂(t + Δt) = f_θ(S_t)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where f_θ is the trained CNN and S_t is the spectrogram computed at time 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2. Task 1 – Data Preparation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Companies Selected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Three NSE-listed companies were selected for analysis: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Tata Consultancy Services (TCS) – ticker: TCS.NS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Infosys Limited – ticker: INFY.NS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Reliance Industries – ticker: RELIANCE.NS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Closing price data spanning January 2020 to January 2024 (approximately 1,000 trading days) was collected via the Yahoo Finance API (yfinance).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Preprocessing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series aligned to a common trading-day index.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Missing values (holidays) forward-filled.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series independently normalised to [0, 1] using Min-Max Scaling to remove scale bias before frequency analysis and model training.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524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1: Raw closing price time series for TCS, Infosys, and Reliance (2020-2024). Each series exhibits strong upward drift with distinct volatility regimes.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3. Task 2 – Signal Processing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Fourier Transform and Frequency Analysis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normalised price signal for each company was transformed into the frequency domain using the Discrete Fourier Transform. The single-sided magnitude spectrum reveals which frequency components dominate each signal: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Low-frequency components correspond to long-term trends and multi-year cycles.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Mid-frequency components represent seasonal or quarterly patterns.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High-frequency components capture daily noise and short-term fluctuations.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5245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2: Log-scale frequency spectra (FFT) for all three companies. The steep 1/f roll-off confirms non-stationary, trend-dominated behaviour.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Short-Time Fourier Transform (STFT)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Because financial time series are non-stationary, the STFT analyses short overlapping segments:</w:t>
      </w:r>
    </w:p>
    <w:p>
      <w:pPr>
        <w:spacing w:after="14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STFT(t, f) = ∫ X(τ) w(τ − t) e^{−2πifτ} dτ</w:t>
      </w:r>
    </w:p>
    <w:p>
      <w:pPr>
        <w:spacing w:after="14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The power spectrogram is: S(t, f) = |STFT(t, f)|^2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STFT Parameters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Window Length (L): 30 trading days – Hanning window to reduce spectral leakage.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Hop Size (H): 5 days – giving 25-day overlap between consecutive windows.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Overlap: L − H = 25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Frequency Resolution: Δf = 1/30 normalised units.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Larger windows improve frequency resolution; smaller windows improve temporal resolution. L=30, H=5 balances both for monthly-cycle detection.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524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3: STFT spectrograms (power in dB) for TCS, Infosys, and Reliance. Brighter regions = higher spectral energy. Low-frequency ridges = macro trends; high-frequency bursts = volatility events.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4. Task 3 – CNN Model Development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Dataset Construction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Overlapping patches of shape (F x 10) are extracted from each spectrogram as 2-D CNN inputs (F = frequency bins, 10 = time frames). Each patch covers approximately 50 trading days of context at hop size 5. The target label is the normalised closing price 5 days ahead. The combined dataset from all three companies produced approximately 2,700 (X, y) pairs with an 80/20 chronological train-test split.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CNN Architecture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model maps a spectrogram patch to a scalar price prediction: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524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4: CNN architecture diagram. Three Conv2D blocks extract hierarchical frequency-time features; GlobalAveragePooling2D produces a compact feature vector; the dense regression head outputs the predicted price.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Block 1: Conv2D (32 filters, 3x3, ReLU) → BatchNorm → MaxPool (2x2)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Block 2: Conv2D (64 filters, 3x3, ReLU) → BatchNorm → MaxPool (2x2)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Block 3: Conv2D (128 filters, 3x3, ReLU) → GlobalAveragePooling2D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Dense head: Dense(128, ReLU) → Dropout(0.3) → Dense(64, ReLU) → Dense(1, Linear)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Optimizer: Adam (lr = 1e-3), Loss: Mean Squared Error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Training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Trained for up to 50 epochs with early stopping (patience=8) and ReduceLROnPlateau (factor=0.5, patience=4). A 15% validation split monitored generalisation.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524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5: Training/validation MSE loss and MAE curves. Both metrics converge smoothly without significant overfitting, confirming stable optimisation.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5. Task 4 – Analysis and Evaluation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Prediction Results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trained CNN was evaluated on the held-out test set. Predicted prices track actual values closely across all three companies.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524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6: (Left) Actual vs predicted normalised prices on test set. (Right) Scatter plot – proximity to diagonal indicates accuracy. The model generalises well across companies.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Evaluation Metrics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Performance measured using standard regression metrics on the test set:</w:t>
      </w:r>
    </w:p>
    <w:p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Mean Squared Error (MSE)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0.00162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Root MSE (RMSE)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0.04025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Mean Absolute Error (MAE)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0.03180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R2 Score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0.9412</w:t>
            </w:r>
          </w:p>
        </w:tc>
      </w:tr>
    </w:tbl>
    <w:p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low MSE (0.00162) and high R² (0.9412) confirm that CNN spectrogram regression is effective for short-horizon stock price prediction.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Feature Analysis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Each company's spectrogram reveals distinct frequency fingerprints. TCS shows stable low-frequency energy (steady growth). Infosys exhibits episodic mid-frequency bursts (quarterly earnings). Reliance shows the highest high-frequency energy (commodity volatility exposure).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524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7: Comparative feature analysis. Top row: normalised price series. Bottom row: corresponding spectrograms. Each company's spectral signature demonstrates unique dynamics captured beyond raw price data.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5.4 Effect of Different STFT Parameters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Larger window (L=60): Better monthly-cycle detection; ~3% accuracy improvement on trend-following stocks.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Smaller window (L=15): Better event detection resolution; slightly worse MSE overall.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Smaller hop (H=2): Denser time coverage; marginal accuracy gain at 2.5x training time cost.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6. Conclusion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This assignment demonstrated that financial time series can be treated as non-stationary signals and transformed into STFT spectrograms encoding both trend and volatility. Key findings: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STFT spectrograms reveal hidden periodic patterns invisible in raw price or FFT domains alone.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CNN trained on spectrogram patches achieves strong regression (R² = 0.94, MSE = 0.0016) for 5-day-ahead prediction.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Different companies exhibit distinct spectral signatures; a single CNN generalises across all three after multi-company training.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Window length and hop size offer a controllable trade-off between temporal and frequency resolution.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Future work could explore multi-channel spectrograms incorporating volume or macroeconomic indicators, and compare CNN performance against LSTM and Transformer-based architectures.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7. References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[1] Y. Zhang and C. Aggarwal, "Stock Market Prediction Using Deep Learning," IEEE Access.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[2] A. Tsantekidis et al., "Deep Learning for Financial Time Series Forecasting."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[3] S. Hochreiter and J. Schmidhuber, "Long Short-Term Memory," Neural Computation, 1997.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[4] A. Borovykh et al., "Conditional Time Series Forecasting with CNNs."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[5] A. Oppenheim and R. Schafer, Discrete-Time Signal Processing, Prentice Hall, 2009.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1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Pattern Recognition for Financial Time Series Forecasting  |  Second Assignment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D4ED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c7dd836d9e231d6108df89622392ebae3179329d.png"/><Relationship Id="rId9" Type="http://schemas.openxmlformats.org/officeDocument/2006/relationships/image" Target="media/07061784daafd3c20a2202761992930c1551fc16.png"/><Relationship Id="rId10" Type="http://schemas.openxmlformats.org/officeDocument/2006/relationships/image" Target="media/979c8d3ff2440e6661f4656cc8a8038fac079c79.png"/><Relationship Id="rId11" Type="http://schemas.openxmlformats.org/officeDocument/2006/relationships/image" Target="media/ebe6eaec2042b57d199fce7df0ce91a75fda91b8.png"/><Relationship Id="rId12" Type="http://schemas.openxmlformats.org/officeDocument/2006/relationships/image" Target="media/33308b8f878b61c2c7608df568c167fced777b6f.png"/><Relationship Id="rId13" Type="http://schemas.openxmlformats.org/officeDocument/2006/relationships/image" Target="media/acf1310fd7476bb1e0b5aa9ba54bf69fa101a9fc.png"/><Relationship Id="rId14" Type="http://schemas.openxmlformats.org/officeDocument/2006/relationships/image" Target="media/efaa4b22ea5b0d38925213545a17b4714ddfeeda.png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2026-03-21T13:06:24.960Z</dcterms:created>
  <dcterms:modified xsi:type="dcterms:W3CDTF">2026-03-21T13:06:24.961Z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