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LACMS website: data protection and regulatory compliance report</w:t>
      </w:r>
    </w:p>
    <w:p>
      <w:r>
        <w:rPr>
          <w:b/>
        </w:rPr>
        <w:t>Society:</w:t>
      </w:r>
      <w:r>
        <w:t xml:space="preserve"> Lincoln African Caribbean Medical Society (LACMS), a student society of the University of Lincoln Students' Union (ULSU)</w:t>
      </w:r>
    </w:p>
    <w:p>
      <w:r>
        <w:rPr>
          <w:b/>
        </w:rPr>
        <w:t>Website:</w:t>
      </w:r>
      <w:r>
        <w:t xml:space="preserve"> lincolnacms.uk</w:t>
      </w:r>
    </w:p>
    <w:p>
      <w:r>
        <w:rPr>
          <w:b/>
        </w:rPr>
        <w:t>Report date:</w:t>
      </w:r>
      <w:r>
        <w:t xml:space="preserve"> 30 September 2026 (version 1.0)</w:t>
      </w:r>
    </w:p>
    <w:p>
      <w:r>
        <w:rPr>
          <w:b/>
        </w:rPr>
        <w:t>Privacy notice version this report matches:</w:t>
      </w:r>
      <w:r>
        <w:t xml:space="preserve"> 2026-09-30</w:t>
      </w:r>
    </w:p>
    <w:p>
      <w:pPr>
        <w:pStyle w:val="Heading1"/>
      </w:pPr>
      <w:r>
        <w:t>0. Read this first</w:t>
      </w:r>
    </w:p>
    <w:p>
      <w:r>
        <w:rPr>
          <w:b/>
        </w:rPr>
        <w:t>What this document is.</w:t>
      </w:r>
      <w:r>
        <w:t xml:space="preserve"> A record of what was checked on the LACMS website, what was changed so that it meets the law and ULSU's rules, and what still has to be done by people (a website can't do everything). It is written so that it can be shown to ULSU.</w:t>
      </w:r>
    </w:p>
    <w:p>
      <w:r>
        <w:rPr>
          <w:b/>
        </w:rPr>
        <w:t>Where things stand with ULSU.</w:t>
      </w:r>
      <w:r>
        <w:t xml:space="preserve"> The society has </w:t>
      </w:r>
      <w:r>
        <w:rPr>
          <w:b/>
        </w:rPr>
        <w:t>not yet been in contact with ULSU</w:t>
      </w:r>
      <w:r>
        <w:t xml:space="preserve"> about any of this. ULSU's published policies are used throughout as a </w:t>
      </w:r>
      <w:r>
        <w:rPr>
          <w:b/>
        </w:rPr>
        <w:t>benchmark and reference</w:t>
      </w:r>
      <w:r>
        <w:t>, not because any agreement, approval or arrangement exists. Nothing on the website or in this report should be read as saying ULSU has approved, reviewed or is overseeing it. The website describes ULSU's contacts and policies as options available to members and to the committee. Section 10.1 is the first step: open the conversation.</w:t>
      </w:r>
    </w:p>
    <w:p>
      <w:r>
        <w:rPr>
          <w:b/>
        </w:rPr>
        <w:t>What it is not.</w:t>
      </w:r>
      <w:r>
        <w:t xml:space="preserve"> It is not legal advice, and it does not certify that the society is compliant. Nobody can honestly say "we comply with every regulation" without a person at ULSU or a data protection adviser confirming the open items in section 10. Where this document says </w:t>
      </w:r>
      <w:r>
        <w:rPr>
          <w:b/>
        </w:rPr>
        <w:t>Done</w:t>
      </w:r>
      <w:r>
        <w:t xml:space="preserve">, that thing exists in the code and was tested. Where it says </w:t>
      </w:r>
      <w:r>
        <w:rPr>
          <w:b/>
        </w:rPr>
        <w:t>Action needed</w:t>
      </w:r>
      <w:r>
        <w:t xml:space="preserve"> or </w:t>
      </w:r>
      <w:r>
        <w:rPr>
          <w:b/>
        </w:rPr>
        <w:t>ULSU to confirm</w:t>
      </w:r>
      <w:r>
        <w:t>, it is not finished and it says who has to finish it.</w:t>
      </w:r>
    </w:p>
    <w:p>
      <w:r>
        <w:rPr>
          <w:b/>
        </w:rPr>
        <w:t>How the work was done.</w:t>
      </w:r>
    </w:p>
    <w:p>
      <w:pPr>
        <w:pStyle w:val="ListNumber"/>
      </w:pPr>
      <w:r>
        <w:t>Every page, script, database table and email template in the website was inspected for what personal data it collects, stores, shows, shares or sends.</w:t>
      </w:r>
    </w:p>
    <w:p>
      <w:pPr>
        <w:pStyle w:val="ListNumber"/>
      </w:pPr>
      <w:r>
        <w:t>ULSU's published policies were fetched and read: the Privacy Notice (August 2026), the Safeguarding of Children and Vulnerable Adults Policy, the Student Members' Social Media Policy, and the Group Gmail Access and Onboarding Policy. The wider set read for the second pass, and the few not read, are listed in section 2.</w:t>
      </w:r>
    </w:p>
    <w:p>
      <w:pPr>
        <w:pStyle w:val="ListNumber"/>
      </w:pPr>
      <w:r>
        <w:t>ULSU does not publish a data protection guide for societies' own websites, and its privacy notice does not say how a society's website should be treated. Where ULSU is silent, this report applies the law (UK GDPR, Data Protection Act 2018, PECR, Data (Use and Access) Act 2025 and others) directly.</w:t>
      </w:r>
    </w:p>
    <w:p>
      <w:pPr>
        <w:pStyle w:val="ListNumber"/>
      </w:pPr>
      <w:r>
        <w:t>Code, database and content changes were made, then tested (section 11).</w:t>
      </w:r>
    </w:p>
    <w:p>
      <w:r>
        <w:rPr>
          <w:b/>
        </w:rPr>
        <w:t>Status key:</w:t>
      </w:r>
      <w:r>
        <w:t xml:space="preserve"> </w:t>
      </w:r>
      <w:r>
        <w:rPr>
          <w:b/>
        </w:rPr>
        <w:t>Done</w:t>
      </w:r>
      <w:r>
        <w:t xml:space="preserve"> = built and tested. </w:t>
      </w:r>
      <w:r>
        <w:rPr>
          <w:b/>
        </w:rPr>
        <w:t>Action needed</w:t>
      </w:r>
      <w:r>
        <w:t xml:space="preserve"> = the committee must do it. </w:t>
      </w:r>
      <w:r>
        <w:rPr>
          <w:b/>
        </w:rPr>
        <w:t>ULSU to confirm</w:t>
      </w:r>
      <w:r>
        <w:t xml:space="preserve"> = needs a decision or written confirmation from ULSU.</w:t>
      </w:r>
    </w:p>
    <w:p>
      <w:pPr>
        <w:pStyle w:val="Heading1"/>
      </w:pPr>
      <w:r>
        <w:t>1. Summary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w:t>
            </w:r>
          </w:p>
        </w:tc>
        <w:tc>
          <w:tcPr>
            <w:tcW w:type="dxa" w:w="1994"/>
            <w:shd w:val="clear" w:color="auto" w:fill="E8E1CC"/>
          </w:tcPr>
          <w:p>
            <w:r>
              <w:rPr>
                <w:b/>
              </w:rPr>
            </w:r>
            <w:r>
              <w:rPr>
                <w:b/>
                <w:sz w:val="18"/>
              </w:rPr>
              <w:t>Area</w:t>
            </w:r>
          </w:p>
        </w:tc>
        <w:tc>
          <w:tcPr>
            <w:tcW w:type="dxa" w:w="1994"/>
            <w:shd w:val="clear" w:color="auto" w:fill="E8E1CC"/>
          </w:tcPr>
          <w:p>
            <w:r>
              <w:rPr>
                <w:b/>
              </w:rPr>
            </w:r>
            <w:r>
              <w:rPr>
                <w:b/>
                <w:sz w:val="18"/>
              </w:rPr>
              <w:t>Before</w:t>
            </w:r>
          </w:p>
        </w:tc>
        <w:tc>
          <w:tcPr>
            <w:tcW w:type="dxa" w:w="1994"/>
            <w:shd w:val="clear" w:color="auto" w:fill="E8E1CC"/>
          </w:tcPr>
          <w:p>
            <w:r>
              <w:rPr>
                <w:b/>
              </w:rPr>
            </w:r>
            <w:r>
              <w:rPr>
                <w:b/>
                <w:sz w:val="18"/>
              </w:rPr>
              <w:t>Now</w:t>
            </w:r>
          </w:p>
        </w:tc>
        <w:tc>
          <w:tcPr>
            <w:tcW w:type="dxa" w:w="1994"/>
            <w:shd w:val="clear" w:color="auto" w:fill="E8E1CC"/>
          </w:tcPr>
          <w:p>
            <w:r>
              <w:rPr>
                <w:b/>
              </w:rPr>
            </w:r>
            <w:r>
              <w:rPr>
                <w:b/>
                <w:sz w:val="18"/>
              </w:rPr>
              <w:t>Status</w:t>
            </w:r>
          </w:p>
        </w:tc>
      </w:tr>
      <w:tr>
        <w:tc>
          <w:tcPr>
            <w:tcW w:type="dxa" w:w="1994"/>
          </w:tcPr>
          <w:p>
            <w:r/>
            <w:r>
              <w:rPr>
                <w:sz w:val="17"/>
              </w:rPr>
              <w:t>1</w:t>
            </w:r>
          </w:p>
        </w:tc>
        <w:tc>
          <w:tcPr>
            <w:tcW w:type="dxa" w:w="1994"/>
          </w:tcPr>
          <w:p>
            <w:r/>
            <w:r>
              <w:rPr>
                <w:sz w:val="17"/>
              </w:rPr>
              <w:t>Privacy notice</w:t>
            </w:r>
          </w:p>
        </w:tc>
        <w:tc>
          <w:tcPr>
            <w:tcW w:type="dxa" w:w="1994"/>
          </w:tcPr>
          <w:p>
            <w:r/>
            <w:r>
              <w:rPr>
                <w:sz w:val="17"/>
              </w:rPr>
              <w:t>None</w:t>
            </w:r>
          </w:p>
        </w:tc>
        <w:tc>
          <w:tcPr>
            <w:tcW w:type="dxa" w:w="1994"/>
          </w:tcPr>
          <w:p>
            <w:r/>
            <w:r>
              <w:rPr>
                <w:sz w:val="17"/>
              </w:rPr>
              <w:t xml:space="preserve">Full notice at </w:t>
            </w:r>
            <w:r>
              <w:rPr>
                <w:rFonts w:ascii="Consolas" w:hAnsi="Consolas"/>
                <w:sz w:val="18"/>
              </w:rPr>
              <w:t>privacy.html</w:t>
            </w:r>
            <w:r>
              <w:rPr>
                <w:sz w:val="17"/>
              </w:rPr>
              <w:t>, matched to what the code collects; members must read it and are asked again when it changes</w:t>
            </w:r>
          </w:p>
        </w:tc>
        <w:tc>
          <w:tcPr>
            <w:tcW w:type="dxa" w:w="1994"/>
          </w:tcPr>
          <w:p>
            <w:r/>
            <w:r>
              <w:rPr>
                <w:sz w:val="17"/>
              </w:rPr>
              <w:t>Done</w:t>
            </w:r>
          </w:p>
        </w:tc>
      </w:tr>
      <w:tr>
        <w:tc>
          <w:tcPr>
            <w:tcW w:type="dxa" w:w="1994"/>
          </w:tcPr>
          <w:p>
            <w:r/>
            <w:r>
              <w:rPr>
                <w:sz w:val="17"/>
              </w:rPr>
              <w:t>2</w:t>
            </w:r>
          </w:p>
        </w:tc>
        <w:tc>
          <w:tcPr>
            <w:tcW w:type="dxa" w:w="1994"/>
          </w:tcPr>
          <w:p>
            <w:r/>
            <w:r>
              <w:rPr>
                <w:sz w:val="17"/>
              </w:rPr>
              <w:t>Cookies and visit counting</w:t>
            </w:r>
          </w:p>
        </w:tc>
        <w:tc>
          <w:tcPr>
            <w:tcW w:type="dxa" w:w="1994"/>
          </w:tcPr>
          <w:p>
            <w:r/>
            <w:r>
              <w:rPr>
                <w:sz w:val="17"/>
              </w:rPr>
              <w:t>Every visitor was counted with a stored random ID whether or not they agreed</w:t>
            </w:r>
          </w:p>
        </w:tc>
        <w:tc>
          <w:tcPr>
            <w:tcW w:type="dxa" w:w="1994"/>
          </w:tcPr>
          <w:p>
            <w:r/>
            <w:r>
              <w:rPr>
                <w:sz w:val="17"/>
              </w:rPr>
              <w:t>Opt-in banner and settings page; counting only after consent; ID deleted if consent is withdrawn; Do Not Track / Global Privacy Control respected</w:t>
            </w:r>
          </w:p>
        </w:tc>
        <w:tc>
          <w:tcPr>
            <w:tcW w:type="dxa" w:w="1994"/>
          </w:tcPr>
          <w:p>
            <w:r/>
            <w:r>
              <w:rPr>
                <w:sz w:val="17"/>
              </w:rPr>
              <w:t>Done</w:t>
            </w:r>
          </w:p>
        </w:tc>
      </w:tr>
      <w:tr>
        <w:tc>
          <w:tcPr>
            <w:tcW w:type="dxa" w:w="1994"/>
          </w:tcPr>
          <w:p>
            <w:r/>
            <w:r>
              <w:rPr>
                <w:sz w:val="17"/>
              </w:rPr>
              <w:t>3</w:t>
            </w:r>
          </w:p>
        </w:tc>
        <w:tc>
          <w:tcPr>
            <w:tcW w:type="dxa" w:w="1994"/>
          </w:tcPr>
          <w:p>
            <w:r/>
            <w:r>
              <w:rPr>
                <w:sz w:val="17"/>
              </w:rPr>
              <w:t>Third parties receiving visitors' IP addresses</w:t>
            </w:r>
          </w:p>
        </w:tc>
        <w:tc>
          <w:tcPr>
            <w:tcW w:type="dxa" w:w="1994"/>
          </w:tcPr>
          <w:p>
            <w:r/>
            <w:r>
              <w:rPr>
                <w:sz w:val="17"/>
              </w:rPr>
              <w:t>Google Fonts (loaded on every page) and the jsDelivr CDN (loaded the login library on 28 pages, unpinned version)</w:t>
            </w:r>
          </w:p>
        </w:tc>
        <w:tc>
          <w:tcPr>
            <w:tcW w:type="dxa" w:w="1994"/>
          </w:tcPr>
          <w:p>
            <w:r/>
            <w:r>
              <w:rPr>
                <w:sz w:val="17"/>
              </w:rPr>
              <w:t>Both removed. Fonts and the library are hosted with the site and the library is pinned to one version</w:t>
            </w:r>
          </w:p>
        </w:tc>
        <w:tc>
          <w:tcPr>
            <w:tcW w:type="dxa" w:w="1994"/>
          </w:tcPr>
          <w:p>
            <w:r/>
            <w:r>
              <w:rPr>
                <w:sz w:val="17"/>
              </w:rPr>
              <w:t>Done</w:t>
            </w:r>
          </w:p>
        </w:tc>
      </w:tr>
      <w:tr>
        <w:tc>
          <w:tcPr>
            <w:tcW w:type="dxa" w:w="1994"/>
          </w:tcPr>
          <w:p>
            <w:r/>
            <w:r>
              <w:rPr>
                <w:sz w:val="17"/>
              </w:rPr>
              <w:t>4</w:t>
            </w:r>
          </w:p>
        </w:tc>
        <w:tc>
          <w:tcPr>
            <w:tcW w:type="dxa" w:w="1994"/>
          </w:tcPr>
          <w:p>
            <w:r/>
            <w:r>
              <w:rPr>
                <w:sz w:val="17"/>
              </w:rPr>
              <w:t>Right of access and portability</w:t>
            </w:r>
          </w:p>
        </w:tc>
        <w:tc>
          <w:tcPr>
            <w:tcW w:type="dxa" w:w="1994"/>
          </w:tcPr>
          <w:p>
            <w:r/>
            <w:r>
              <w:rPr>
                <w:sz w:val="17"/>
              </w:rPr>
              <w:t>None</w:t>
            </w:r>
          </w:p>
        </w:tc>
        <w:tc>
          <w:tcPr>
            <w:tcW w:type="dxa" w:w="1994"/>
          </w:tcPr>
          <w:p>
            <w:r/>
            <w:r>
              <w:rPr>
                <w:sz w:val="17"/>
              </w:rPr>
              <w:t>Members download all their data instantly; the committee can produce a file for anyone</w:t>
            </w:r>
          </w:p>
        </w:tc>
        <w:tc>
          <w:tcPr>
            <w:tcW w:type="dxa" w:w="1994"/>
          </w:tcPr>
          <w:p>
            <w:r/>
            <w:r>
              <w:rPr>
                <w:sz w:val="17"/>
              </w:rPr>
              <w:t>Done</w:t>
            </w:r>
          </w:p>
        </w:tc>
      </w:tr>
      <w:tr>
        <w:tc>
          <w:tcPr>
            <w:tcW w:type="dxa" w:w="1994"/>
          </w:tcPr>
          <w:p>
            <w:r/>
            <w:r>
              <w:rPr>
                <w:sz w:val="17"/>
              </w:rPr>
              <w:t>5</w:t>
            </w:r>
          </w:p>
        </w:tc>
        <w:tc>
          <w:tcPr>
            <w:tcW w:type="dxa" w:w="1994"/>
          </w:tcPr>
          <w:p>
            <w:r/>
            <w:r>
              <w:rPr>
                <w:sz w:val="17"/>
              </w:rPr>
              <w:t>Right to erasure</w:t>
            </w:r>
          </w:p>
        </w:tc>
        <w:tc>
          <w:tcPr>
            <w:tcW w:type="dxa" w:w="1994"/>
          </w:tcPr>
          <w:p>
            <w:r/>
            <w:r>
              <w:rPr>
                <w:sz w:val="17"/>
              </w:rPr>
              <w:t>Committee could delete a profile row only; login and linked data survived</w:t>
            </w:r>
          </w:p>
        </w:tc>
        <w:tc>
          <w:tcPr>
            <w:tcW w:type="dxa" w:w="1994"/>
          </w:tcPr>
          <w:p>
            <w:r/>
            <w:r>
              <w:rPr>
                <w:sz w:val="17"/>
              </w:rPr>
              <w:t>One committee action erases the login and everything linked, removes copies kept by email address, anonymises what must stay, and lists what needs checking by hand</w:t>
            </w:r>
          </w:p>
        </w:tc>
        <w:tc>
          <w:tcPr>
            <w:tcW w:type="dxa" w:w="1994"/>
          </w:tcPr>
          <w:p>
            <w:r/>
            <w:r>
              <w:rPr>
                <w:sz w:val="17"/>
              </w:rPr>
              <w:t>Done</w:t>
            </w:r>
          </w:p>
        </w:tc>
      </w:tr>
      <w:tr>
        <w:tc>
          <w:tcPr>
            <w:tcW w:type="dxa" w:w="1994"/>
          </w:tcPr>
          <w:p>
            <w:r/>
            <w:r>
              <w:rPr>
                <w:sz w:val="17"/>
              </w:rPr>
              <w:t>6</w:t>
            </w:r>
          </w:p>
        </w:tc>
        <w:tc>
          <w:tcPr>
            <w:tcW w:type="dxa" w:w="1994"/>
          </w:tcPr>
          <w:p>
            <w:r/>
            <w:r>
              <w:rPr>
                <w:sz w:val="17"/>
              </w:rPr>
              <w:t>Other rights, complaints and concerns</w:t>
            </w:r>
          </w:p>
        </w:tc>
        <w:tc>
          <w:tcPr>
            <w:tcW w:type="dxa" w:w="1994"/>
          </w:tcPr>
          <w:p>
            <w:r/>
            <w:r>
              <w:rPr>
                <w:sz w:val="17"/>
              </w:rPr>
              <w:t>None</w:t>
            </w:r>
          </w:p>
        </w:tc>
        <w:tc>
          <w:tcPr>
            <w:tcW w:type="dxa" w:w="1994"/>
          </w:tcPr>
          <w:p>
            <w:r/>
            <w:r>
              <w:rPr>
                <w:sz w:val="17"/>
              </w:rPr>
              <w:t>Public "Your data rights" form (no account needed) feeding a dashboard queue with a one-month deadline, overdue warnings and notes; a "report a concern" route</w:t>
            </w:r>
          </w:p>
        </w:tc>
        <w:tc>
          <w:tcPr>
            <w:tcW w:type="dxa" w:w="1994"/>
          </w:tcPr>
          <w:p>
            <w:r/>
            <w:r>
              <w:rPr>
                <w:sz w:val="17"/>
              </w:rPr>
              <w:t>Done</w:t>
            </w:r>
          </w:p>
        </w:tc>
      </w:tr>
      <w:tr>
        <w:tc>
          <w:tcPr>
            <w:tcW w:type="dxa" w:w="1994"/>
          </w:tcPr>
          <w:p>
            <w:r/>
            <w:r>
              <w:rPr>
                <w:sz w:val="17"/>
              </w:rPr>
              <w:t>7</w:t>
            </w:r>
          </w:p>
        </w:tc>
        <w:tc>
          <w:tcPr>
            <w:tcW w:type="dxa" w:w="1994"/>
          </w:tcPr>
          <w:p>
            <w:r/>
            <w:r>
              <w:rPr>
                <w:sz w:val="17"/>
              </w:rPr>
              <w:t>Retention</w:t>
            </w:r>
          </w:p>
        </w:tc>
        <w:tc>
          <w:tcPr>
            <w:tcW w:type="dxa" w:w="1994"/>
          </w:tcPr>
          <w:p>
            <w:r/>
            <w:r>
              <w:rPr>
                <w:sz w:val="17"/>
              </w:rPr>
              <w:t>Nothing was ever deleted</w:t>
            </w:r>
          </w:p>
        </w:tc>
        <w:tc>
          <w:tcPr>
            <w:tcW w:type="dxa" w:w="1994"/>
          </w:tcPr>
          <w:p>
            <w:r/>
            <w:r>
              <w:rPr>
                <w:sz w:val="17"/>
              </w:rPr>
              <w:t>Written schedule; automatic clean-up function; inactive-account review tool</w:t>
            </w:r>
          </w:p>
        </w:tc>
        <w:tc>
          <w:tcPr>
            <w:tcW w:type="dxa" w:w="1994"/>
          </w:tcPr>
          <w:p>
            <w:r/>
            <w:r>
              <w:rPr>
                <w:sz w:val="17"/>
              </w:rPr>
              <w:t>Done (see 10.5)</w:t>
            </w:r>
          </w:p>
        </w:tc>
      </w:tr>
      <w:tr>
        <w:tc>
          <w:tcPr>
            <w:tcW w:type="dxa" w:w="1994"/>
          </w:tcPr>
          <w:p>
            <w:r/>
            <w:r>
              <w:rPr>
                <w:sz w:val="17"/>
              </w:rPr>
              <w:t>8</w:t>
            </w:r>
          </w:p>
        </w:tc>
        <w:tc>
          <w:tcPr>
            <w:tcW w:type="dxa" w:w="1994"/>
          </w:tcPr>
          <w:p>
            <w:r/>
            <w:r>
              <w:rPr>
                <w:sz w:val="17"/>
              </w:rPr>
              <w:t>Email</w:t>
            </w:r>
          </w:p>
        </w:tc>
        <w:tc>
          <w:tcPr>
            <w:tcW w:type="dxa" w:w="1994"/>
          </w:tcPr>
          <w:p>
            <w:r/>
            <w:r>
              <w:rPr>
                <w:sz w:val="17"/>
              </w:rPr>
              <w:t>No sender identification or opt-out</w:t>
            </w:r>
          </w:p>
        </w:tc>
        <w:tc>
          <w:tcPr>
            <w:tcW w:type="dxa" w:w="1994"/>
          </w:tcPr>
          <w:p>
            <w:r/>
            <w:r>
              <w:rPr>
                <w:sz w:val="17"/>
              </w:rPr>
              <w:t>Every email says who sent it, why, and links to the privacy notice and data rights; society updates can be switched off; the email centre skips people who opted out</w:t>
            </w:r>
          </w:p>
        </w:tc>
        <w:tc>
          <w:tcPr>
            <w:tcW w:type="dxa" w:w="1994"/>
          </w:tcPr>
          <w:p>
            <w:r/>
            <w:r>
              <w:rPr>
                <w:sz w:val="17"/>
              </w:rPr>
              <w:t>Done (edge functions must be redeployed, 10.2)</w:t>
            </w:r>
          </w:p>
        </w:tc>
      </w:tr>
      <w:tr>
        <w:tc>
          <w:tcPr>
            <w:tcW w:type="dxa" w:w="1994"/>
          </w:tcPr>
          <w:p>
            <w:r/>
            <w:r>
              <w:rPr>
                <w:sz w:val="17"/>
              </w:rPr>
              <w:t>9</w:t>
            </w:r>
          </w:p>
        </w:tc>
        <w:tc>
          <w:tcPr>
            <w:tcW w:type="dxa" w:w="1994"/>
          </w:tcPr>
          <w:p>
            <w:r/>
            <w:r>
              <w:rPr>
                <w:sz w:val="17"/>
              </w:rPr>
              <w:t>Sensitive data</w:t>
            </w:r>
          </w:p>
        </w:tc>
        <w:tc>
          <w:tcPr>
            <w:tcW w:type="dxa" w:w="1994"/>
          </w:tcPr>
          <w:p>
            <w:r/>
            <w:r>
              <w:rPr>
                <w:sz w:val="17"/>
              </w:rPr>
              <w:t>Optional "country of heritage" and mood check-ins with no notice</w:t>
            </w:r>
          </w:p>
        </w:tc>
        <w:tc>
          <w:tcPr>
            <w:tcW w:type="dxa" w:w="1994"/>
          </w:tcPr>
          <w:p>
            <w:r/>
            <w:r>
              <w:rPr>
                <w:sz w:val="17"/>
              </w:rPr>
              <w:t>Plain-language notices; explicit-consent wording; "not a crisis service" and where to get urgent help</w:t>
            </w:r>
          </w:p>
        </w:tc>
        <w:tc>
          <w:tcPr>
            <w:tcW w:type="dxa" w:w="1994"/>
          </w:tcPr>
          <w:p>
            <w:r/>
            <w:r>
              <w:rPr>
                <w:sz w:val="17"/>
              </w:rPr>
              <w:t>Done</w:t>
            </w:r>
          </w:p>
        </w:tc>
      </w:tr>
      <w:tr>
        <w:tc>
          <w:tcPr>
            <w:tcW w:type="dxa" w:w="1994"/>
          </w:tcPr>
          <w:p>
            <w:r/>
            <w:r>
              <w:rPr>
                <w:sz w:val="17"/>
              </w:rPr>
              <w:t>10</w:t>
            </w:r>
          </w:p>
        </w:tc>
        <w:tc>
          <w:tcPr>
            <w:tcW w:type="dxa" w:w="1994"/>
          </w:tcPr>
          <w:p>
            <w:r/>
            <w:r>
              <w:rPr>
                <w:sz w:val="17"/>
              </w:rPr>
              <w:t>Safeguarding</w:t>
            </w:r>
          </w:p>
        </w:tc>
        <w:tc>
          <w:tcPr>
            <w:tcW w:type="dxa" w:w="1994"/>
          </w:tcPr>
          <w:p>
            <w:r/>
            <w:r>
              <w:rPr>
                <w:sz w:val="17"/>
              </w:rPr>
              <w:t>No page or route</w:t>
            </w:r>
          </w:p>
        </w:tc>
        <w:tc>
          <w:tcPr>
            <w:tcW w:type="dxa" w:w="1994"/>
          </w:tcPr>
          <w:p>
            <w:r/>
            <w:r>
              <w:rPr>
                <w:sz w:val="17"/>
              </w:rPr>
              <w:t>Safeguarding page built from ULSU's policy (Safeguarding Officers, wellbeing contacts, Prevent)</w:t>
            </w:r>
          </w:p>
        </w:tc>
        <w:tc>
          <w:tcPr>
            <w:tcW w:type="dxa" w:w="1994"/>
          </w:tcPr>
          <w:p>
            <w:r/>
            <w:r>
              <w:rPr>
                <w:sz w:val="17"/>
              </w:rPr>
              <w:t>Done; contact person needed (10.8)</w:t>
            </w:r>
          </w:p>
        </w:tc>
      </w:tr>
      <w:tr>
        <w:tc>
          <w:tcPr>
            <w:tcW w:type="dxa" w:w="1994"/>
          </w:tcPr>
          <w:p>
            <w:r/>
            <w:r>
              <w:rPr>
                <w:sz w:val="17"/>
              </w:rPr>
              <w:t>11</w:t>
            </w:r>
          </w:p>
        </w:tc>
        <w:tc>
          <w:tcPr>
            <w:tcW w:type="dxa" w:w="1994"/>
          </w:tcPr>
          <w:p>
            <w:r/>
            <w:r>
              <w:rPr>
                <w:sz w:val="17"/>
              </w:rPr>
              <w:t>Terms and community rules</w:t>
            </w:r>
          </w:p>
        </w:tc>
        <w:tc>
          <w:tcPr>
            <w:tcW w:type="dxa" w:w="1994"/>
          </w:tcPr>
          <w:p>
            <w:r/>
            <w:r>
              <w:rPr>
                <w:sz w:val="17"/>
              </w:rPr>
              <w:t>None</w:t>
            </w:r>
          </w:p>
        </w:tc>
        <w:tc>
          <w:tcPr>
            <w:tcW w:type="dxa" w:w="1994"/>
          </w:tcPr>
          <w:p>
            <w:r/>
            <w:r>
              <w:rPr>
                <w:sz w:val="17"/>
              </w:rPr>
              <w:t>Terms of use aligned to ULSU's Code of Conduct and social media policy, including a ban on patient information and a takedown route</w:t>
            </w:r>
          </w:p>
        </w:tc>
        <w:tc>
          <w:tcPr>
            <w:tcW w:type="dxa" w:w="1994"/>
          </w:tcPr>
          <w:p>
            <w:r/>
            <w:r>
              <w:rPr>
                <w:sz w:val="17"/>
              </w:rPr>
              <w:t>Done</w:t>
            </w:r>
          </w:p>
        </w:tc>
      </w:tr>
      <w:tr>
        <w:tc>
          <w:tcPr>
            <w:tcW w:type="dxa" w:w="1994"/>
          </w:tcPr>
          <w:p>
            <w:r/>
            <w:r>
              <w:rPr>
                <w:sz w:val="17"/>
              </w:rPr>
              <w:t>12</w:t>
            </w:r>
          </w:p>
        </w:tc>
        <w:tc>
          <w:tcPr>
            <w:tcW w:type="dxa" w:w="1994"/>
          </w:tcPr>
          <w:p>
            <w:r/>
            <w:r>
              <w:rPr>
                <w:sz w:val="17"/>
              </w:rPr>
              <w:t>Accessibility</w:t>
            </w:r>
          </w:p>
        </w:tc>
        <w:tc>
          <w:tcPr>
            <w:tcW w:type="dxa" w:w="1994"/>
          </w:tcPr>
          <w:p>
            <w:r/>
            <w:r>
              <w:rPr>
                <w:sz w:val="17"/>
              </w:rPr>
              <w:t>No statement</w:t>
            </w:r>
          </w:p>
        </w:tc>
        <w:tc>
          <w:tcPr>
            <w:tcW w:type="dxa" w:w="1994"/>
          </w:tcPr>
          <w:p>
            <w:r/>
            <w:r>
              <w:rPr>
                <w:sz w:val="17"/>
              </w:rPr>
              <w:t>Accessibility statement; unlabelled search and file inputs fixed</w:t>
            </w:r>
          </w:p>
        </w:tc>
        <w:tc>
          <w:tcPr>
            <w:tcW w:type="dxa" w:w="1994"/>
          </w:tcPr>
          <w:p>
            <w:r/>
            <w:r>
              <w:rPr>
                <w:sz w:val="17"/>
              </w:rPr>
              <w:t>Done; independent audit recommended</w:t>
            </w:r>
          </w:p>
        </w:tc>
      </w:tr>
      <w:tr>
        <w:tc>
          <w:tcPr>
            <w:tcW w:type="dxa" w:w="1994"/>
          </w:tcPr>
          <w:p>
            <w:r/>
            <w:r>
              <w:rPr>
                <w:sz w:val="17"/>
              </w:rPr>
              <w:t>13</w:t>
            </w:r>
          </w:p>
        </w:tc>
        <w:tc>
          <w:tcPr>
            <w:tcW w:type="dxa" w:w="1994"/>
          </w:tcPr>
          <w:p>
            <w:r/>
            <w:r>
              <w:rPr>
                <w:sz w:val="17"/>
              </w:rPr>
              <w:t>Society identity</w:t>
            </w:r>
          </w:p>
        </w:tc>
        <w:tc>
          <w:tcPr>
            <w:tcW w:type="dxa" w:w="1994"/>
          </w:tcPr>
          <w:p>
            <w:r/>
            <w:r>
              <w:rPr>
                <w:sz w:val="17"/>
              </w:rPr>
              <w:t>Not stated on the site</w:t>
            </w:r>
          </w:p>
        </w:tc>
        <w:tc>
          <w:tcPr>
            <w:tcW w:type="dxa" w:w="1994"/>
          </w:tcPr>
          <w:p>
            <w:r/>
            <w:r>
              <w:rPr>
                <w:sz w:val="17"/>
              </w:rPr>
              <w:t>Every page footer states LACMS is a society of ULSU and links the legal pages</w:t>
            </w:r>
          </w:p>
        </w:tc>
        <w:tc>
          <w:tcPr>
            <w:tcW w:type="dxa" w:w="1994"/>
          </w:tcPr>
          <w:p>
            <w:r/>
            <w:r>
              <w:rPr>
                <w:sz w:val="17"/>
              </w:rPr>
              <w:t>Done</w:t>
            </w:r>
          </w:p>
        </w:tc>
      </w:tr>
      <w:tr>
        <w:tc>
          <w:tcPr>
            <w:tcW w:type="dxa" w:w="1994"/>
          </w:tcPr>
          <w:p>
            <w:r/>
            <w:r>
              <w:rPr>
                <w:sz w:val="17"/>
              </w:rPr>
              <w:t>14</w:t>
            </w:r>
          </w:p>
        </w:tc>
        <w:tc>
          <w:tcPr>
            <w:tcW w:type="dxa" w:w="1994"/>
          </w:tcPr>
          <w:p>
            <w:r/>
            <w:r>
              <w:rPr>
                <w:sz w:val="17"/>
              </w:rPr>
              <w:t>Controller arrangement with ULSU</w:t>
            </w:r>
          </w:p>
        </w:tc>
        <w:tc>
          <w:tcPr>
            <w:tcW w:type="dxa" w:w="1994"/>
          </w:tcPr>
          <w:p>
            <w:r/>
            <w:r>
              <w:rPr>
                <w:sz w:val="17"/>
              </w:rPr>
              <w:t>Unstated</w:t>
            </w:r>
          </w:p>
        </w:tc>
        <w:tc>
          <w:tcPr>
            <w:tcW w:type="dxa" w:w="1994"/>
          </w:tcPr>
          <w:p>
            <w:r/>
            <w:r>
              <w:rPr>
                <w:sz w:val="17"/>
              </w:rPr>
              <w:t>Notice names LACMS as responsible with ULSU's DPO overseeing</w:t>
            </w:r>
          </w:p>
        </w:tc>
        <w:tc>
          <w:tcPr>
            <w:tcW w:type="dxa" w:w="1994"/>
          </w:tcPr>
          <w:p>
            <w:r/>
            <w:r>
              <w:rPr>
                <w:b/>
                <w:sz w:val="17"/>
              </w:rPr>
              <w:t>ULSU to confirm</w:t>
            </w:r>
          </w:p>
        </w:tc>
      </w:tr>
      <w:tr>
        <w:tc>
          <w:tcPr>
            <w:tcW w:type="dxa" w:w="1994"/>
          </w:tcPr>
          <w:p>
            <w:r/>
            <w:r>
              <w:rPr>
                <w:sz w:val="17"/>
              </w:rPr>
              <w:t>15</w:t>
            </w:r>
          </w:p>
        </w:tc>
        <w:tc>
          <w:tcPr>
            <w:tcW w:type="dxa" w:w="1994"/>
          </w:tcPr>
          <w:p>
            <w:r/>
            <w:r>
              <w:rPr>
                <w:sz w:val="17"/>
              </w:rPr>
              <w:t>Contracts, registrations and account security</w:t>
            </w:r>
          </w:p>
        </w:tc>
        <w:tc>
          <w:tcPr>
            <w:tcW w:type="dxa" w:w="1994"/>
          </w:tcPr>
          <w:p>
            <w:r/>
            <w:r>
              <w:rPr>
                <w:sz w:val="17"/>
              </w:rPr>
              <w:t>n/a</w:t>
            </w:r>
          </w:p>
        </w:tc>
        <w:tc>
          <w:tcPr>
            <w:tcW w:type="dxa" w:w="1994"/>
          </w:tcPr>
          <w:p>
            <w:r/>
            <w:r>
              <w:rPr>
                <w:sz w:val="17"/>
              </w:rPr>
              <w:t>See section 10</w:t>
            </w:r>
          </w:p>
        </w:tc>
        <w:tc>
          <w:tcPr>
            <w:tcW w:type="dxa" w:w="1994"/>
          </w:tcPr>
          <w:p>
            <w:r/>
            <w:r>
              <w:rPr>
                <w:b/>
                <w:sz w:val="17"/>
              </w:rPr>
              <w:t>Action needed</w:t>
            </w:r>
          </w:p>
        </w:tc>
      </w:tr>
      <w:tr>
        <w:tc>
          <w:tcPr>
            <w:tcW w:type="dxa" w:w="1994"/>
          </w:tcPr>
          <w:p>
            <w:r/>
            <w:r>
              <w:rPr>
                <w:sz w:val="17"/>
              </w:rPr>
              <w:t>16</w:t>
            </w:r>
          </w:p>
        </w:tc>
        <w:tc>
          <w:tcPr>
            <w:tcW w:type="dxa" w:w="1994"/>
          </w:tcPr>
          <w:p>
            <w:r/>
            <w:r>
              <w:rPr>
                <w:sz w:val="17"/>
              </w:rPr>
              <w:t>ULSU's own rules (Code of Conduct, External Speakers, Non-Student Membership, Social Media, Gmail, Safeguarding and others)</w:t>
            </w:r>
          </w:p>
        </w:tc>
        <w:tc>
          <w:tcPr>
            <w:tcW w:type="dxa" w:w="1994"/>
          </w:tcPr>
          <w:p>
            <w:r/>
            <w:r>
              <w:rPr>
                <w:sz w:val="17"/>
              </w:rPr>
              <w:t>Not compared</w:t>
            </w:r>
          </w:p>
        </w:tc>
        <w:tc>
          <w:tcPr>
            <w:tcW w:type="dxa" w:w="1994"/>
          </w:tcPr>
          <w:p>
            <w:r/>
            <w:r>
              <w:rPr>
                <w:sz w:val="17"/>
              </w:rPr>
              <w:t>Compared rule by rule in section 2; committee data-protection confirmation, speaker and brand safeguards built; five items need the committee or ULSU</w:t>
            </w:r>
          </w:p>
        </w:tc>
        <w:tc>
          <w:tcPr>
            <w:tcW w:type="dxa" w:w="1994"/>
          </w:tcPr>
          <w:p>
            <w:r/>
            <w:r>
              <w:rPr>
                <w:b/>
                <w:sz w:val="17"/>
              </w:rPr>
              <w:t>Action needed</w:t>
            </w:r>
            <w:r>
              <w:rPr>
                <w:sz w:val="17"/>
              </w:rPr>
              <w:t xml:space="preserve"> (10.15 to 10.18)</w:t>
            </w:r>
          </w:p>
        </w:tc>
      </w:tr>
    </w:tbl>
    <w:p/>
    <w:p>
      <w:pPr>
        <w:pStyle w:val="Heading1"/>
      </w:pPr>
      <w:r>
        <w:t>2. Lincoln Students' Union's published rules and how the website lines up</w:t>
      </w:r>
    </w:p>
    <w:p>
      <w:r>
        <w:t xml:space="preserve">This compares the website against ULSU's published documents (listed in Appendix C). </w:t>
      </w:r>
      <w:r>
        <w:rPr>
          <w:b/>
        </w:rPr>
        <w:t>No agreement or contact with ULSU has taken place yet</w:t>
      </w:r>
      <w:r>
        <w:t>, so "lines up" means "is consistent with what ULSU has published", not "ULSU has approved it". Documents read in full: Privacy Notice, Code of Conduct 2026/27, Safeguarding Policy, Student Members' Social Media Policy, Group Gmail Policy, Non-Student Membership Policy, External Speakers Policy, Political Activity Policy, Equal Opportunities Policy (membership parts), Complaints Handbook (data protection and societies parts), the University/ULSU Information Sharing Agreement, the Brand Guidelines, and the Student Code of Practice. ULSU's Terms, Cookie Policy and accessibility page were checked only for rules about societies (none found). The Fundraising, Conflict of Interest, Foreign Influence, Campaigning, Trips &amp; Events and Volunteering policies were not read in detail because they concern activities, not the website.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w:t>
            </w:r>
          </w:p>
        </w:tc>
        <w:tc>
          <w:tcPr>
            <w:tcW w:type="dxa" w:w="1994"/>
            <w:shd w:val="clear" w:color="auto" w:fill="E8E1CC"/>
          </w:tcPr>
          <w:p>
            <w:r>
              <w:rPr>
                <w:b/>
              </w:rPr>
            </w:r>
            <w:r>
              <w:rPr>
                <w:b/>
                <w:sz w:val="18"/>
              </w:rPr>
              <w:t>ULSU rule</w:t>
            </w:r>
          </w:p>
        </w:tc>
        <w:tc>
          <w:tcPr>
            <w:tcW w:type="dxa" w:w="1994"/>
            <w:shd w:val="clear" w:color="auto" w:fill="E8E1CC"/>
          </w:tcPr>
          <w:p>
            <w:r>
              <w:rPr>
                <w:b/>
              </w:rPr>
            </w:r>
            <w:r>
              <w:rPr>
                <w:b/>
                <w:sz w:val="18"/>
              </w:rPr>
              <w:t>Where it comes from</w:t>
            </w:r>
          </w:p>
        </w:tc>
        <w:tc>
          <w:tcPr>
            <w:tcW w:type="dxa" w:w="1994"/>
            <w:shd w:val="clear" w:color="auto" w:fill="E8E1CC"/>
          </w:tcPr>
          <w:p>
            <w:r>
              <w:rPr>
                <w:b/>
              </w:rPr>
            </w:r>
            <w:r>
              <w:rPr>
                <w:b/>
                <w:sz w:val="18"/>
              </w:rPr>
              <w:t>Website position</w:t>
            </w:r>
          </w:p>
        </w:tc>
        <w:tc>
          <w:tcPr>
            <w:tcW w:type="dxa" w:w="1994"/>
            <w:shd w:val="clear" w:color="auto" w:fill="E8E1CC"/>
          </w:tcPr>
          <w:p>
            <w:r>
              <w:rPr>
                <w:b/>
              </w:rPr>
            </w:r>
            <w:r>
              <w:rPr>
                <w:b/>
                <w:sz w:val="18"/>
              </w:rPr>
              <w:t>Status</w:t>
            </w:r>
          </w:p>
        </w:tc>
      </w:tr>
      <w:tr>
        <w:tc>
          <w:tcPr>
            <w:tcW w:type="dxa" w:w="1994"/>
          </w:tcPr>
          <w:p>
            <w:r/>
            <w:r>
              <w:rPr>
                <w:sz w:val="17"/>
              </w:rPr>
              <w:t>1</w:t>
            </w:r>
          </w:p>
        </w:tc>
        <w:tc>
          <w:tcPr>
            <w:tcW w:type="dxa" w:w="1994"/>
          </w:tcPr>
          <w:p>
            <w:r/>
            <w:r>
              <w:rPr>
                <w:sz w:val="17"/>
              </w:rPr>
              <w:t xml:space="preserve">Committee members complete ULSU's </w:t>
            </w:r>
            <w:r>
              <w:rPr>
                <w:b/>
                <w:sz w:val="17"/>
              </w:rPr>
              <w:t>data protection training before being given access to personal data</w:t>
            </w:r>
          </w:p>
        </w:tc>
        <w:tc>
          <w:tcPr>
            <w:tcW w:type="dxa" w:w="1994"/>
          </w:tcPr>
          <w:p>
            <w:r/>
            <w:r>
              <w:rPr>
                <w:sz w:val="17"/>
              </w:rPr>
              <w:t>Code of Conduct, "Data Protection"</w:t>
            </w:r>
          </w:p>
        </w:tc>
        <w:tc>
          <w:tcPr>
            <w:tcW w:type="dxa" w:w="1994"/>
          </w:tcPr>
          <w:p>
            <w:r/>
            <w:r>
              <w:rPr>
                <w:sz w:val="17"/>
              </w:rPr>
              <w:t>Each committee member who opens the dashboard is asked once a year to confirm whether they have completed the training; the answer is recorded (and the president can see it); "not yet" shows a reminder until confirmed. The website cannot deliver or verify the training. It records and reminds rather than blocking access.</w:t>
            </w:r>
          </w:p>
        </w:tc>
        <w:tc>
          <w:tcPr>
            <w:tcW w:type="dxa" w:w="1994"/>
          </w:tcPr>
          <w:p>
            <w:r/>
            <w:r>
              <w:rPr>
                <w:b/>
                <w:sz w:val="17"/>
              </w:rPr>
              <w:t>Partly met. Action needed</w:t>
            </w:r>
            <w:r>
              <w:rPr>
                <w:sz w:val="17"/>
              </w:rPr>
              <w:t xml:space="preserve"> (10.16)</w:t>
            </w:r>
          </w:p>
        </w:tc>
      </w:tr>
      <w:tr>
        <w:tc>
          <w:tcPr>
            <w:tcW w:type="dxa" w:w="1994"/>
          </w:tcPr>
          <w:p>
            <w:r/>
            <w:r>
              <w:rPr>
                <w:sz w:val="17"/>
              </w:rPr>
              <w:t>2</w:t>
            </w:r>
          </w:p>
        </w:tc>
        <w:tc>
          <w:tcPr>
            <w:tcW w:type="dxa" w:w="1994"/>
          </w:tcPr>
          <w:p>
            <w:r/>
            <w:r>
              <w:rPr>
                <w:b/>
                <w:sz w:val="17"/>
              </w:rPr>
              <w:t>Events and external speakers</w:t>
            </w:r>
            <w:r>
              <w:rPr>
                <w:sz w:val="17"/>
              </w:rPr>
              <w:t xml:space="preserve"> (anyone who isn't a current student or staff member, including professionals) must be cleared by ULSU through the Student Dashboard, 10 working days ahead, and </w:t>
            </w:r>
            <w:r>
              <w:rPr>
                <w:b/>
                <w:sz w:val="17"/>
              </w:rPr>
              <w:t>the event must not be publicised until cleared</w:t>
            </w:r>
          </w:p>
        </w:tc>
        <w:tc>
          <w:tcPr>
            <w:tcW w:type="dxa" w:w="1994"/>
          </w:tcPr>
          <w:p>
            <w:r/>
            <w:r>
              <w:rPr>
                <w:sz w:val="17"/>
              </w:rPr>
              <w:t>External Speakers Policy; Code of Conduct</w:t>
            </w:r>
          </w:p>
        </w:tc>
        <w:tc>
          <w:tcPr>
            <w:tcW w:type="dxa" w:w="1994"/>
          </w:tcPr>
          <w:p>
            <w:r/>
            <w:r>
              <w:rPr>
                <w:sz w:val="17"/>
              </w:rPr>
              <w:t xml:space="preserve">Events can be marked </w:t>
            </w:r>
            <w:r>
              <w:rPr>
                <w:b/>
                <w:sz w:val="17"/>
              </w:rPr>
              <w:t>Provisional</w:t>
            </w:r>
            <w:r>
              <w:rPr>
                <w:sz w:val="17"/>
              </w:rPr>
              <w:t xml:space="preserve"> (migration 112): they show a Provisional badge and members can only </w:t>
            </w:r>
            <w:r>
              <w:rPr>
                <w:i/>
                <w:sz w:val="17"/>
              </w:rPr>
              <w:t>register interest</w:t>
            </w:r>
            <w:r>
              <w:rPr>
                <w:sz w:val="17"/>
              </w:rPr>
              <w:t xml:space="preserve"> until ULSU approves and the committee switches them to Confirmed. The event editor warns committee members before publishing; the professional request form says offering to speak isn't an invitation. Whether any existing event has an uncleared external speaker can't be checked from the code.</w:t>
            </w:r>
          </w:p>
        </w:tc>
        <w:tc>
          <w:tcPr>
            <w:tcW w:type="dxa" w:w="1994"/>
          </w:tcPr>
          <w:p>
            <w:r/>
            <w:r>
              <w:rPr>
                <w:b/>
                <w:sz w:val="17"/>
              </w:rPr>
              <w:t>Partly met. Action needed</w:t>
            </w:r>
            <w:r>
              <w:rPr>
                <w:sz w:val="17"/>
              </w:rPr>
              <w:t xml:space="preserve"> (10.17)</w:t>
            </w:r>
          </w:p>
        </w:tc>
      </w:tr>
      <w:tr>
        <w:tc>
          <w:tcPr>
            <w:tcW w:type="dxa" w:w="1994"/>
          </w:tcPr>
          <w:p>
            <w:r/>
            <w:r>
              <w:rPr>
                <w:sz w:val="17"/>
              </w:rPr>
              <w:t>3</w:t>
            </w:r>
          </w:p>
        </w:tc>
        <w:tc>
          <w:tcPr>
            <w:tcW w:type="dxa" w:w="1994"/>
          </w:tcPr>
          <w:p>
            <w:r/>
            <w:r>
              <w:rPr>
                <w:b/>
                <w:sz w:val="17"/>
              </w:rPr>
              <w:t>Non-students</w:t>
            </w:r>
            <w:r>
              <w:rPr>
                <w:sz w:val="17"/>
              </w:rPr>
              <w:t xml:space="preserve"> can take part in society activity only through a ULSU Non-Student Membership (Associate, Visiting, Coaches...), and cannot hold society committee roles</w:t>
            </w:r>
          </w:p>
        </w:tc>
        <w:tc>
          <w:tcPr>
            <w:tcW w:type="dxa" w:w="1994"/>
          </w:tcPr>
          <w:p>
            <w:r/>
            <w:r>
              <w:rPr>
                <w:sz w:val="17"/>
              </w:rPr>
              <w:t>Non-Student Membership Policy</w:t>
            </w:r>
          </w:p>
        </w:tc>
        <w:tc>
          <w:tcPr>
            <w:tcW w:type="dxa" w:w="1994"/>
          </w:tcPr>
          <w:p>
            <w:r/>
            <w:r>
              <w:rPr>
                <w:sz w:val="17"/>
              </w:rPr>
              <w:t xml:space="preserve">The site lets approved healthcare professionals (not students) into the Network, the Sankofa Hub and messaging. None holds a committee role. ULSU may say these people need a membership type, or that they take part as invited guests/speakers. This is a </w:t>
            </w:r>
            <w:r>
              <w:rPr>
                <w:b/>
                <w:sz w:val="17"/>
              </w:rPr>
              <w:t>ULSU decision</w:t>
            </w:r>
            <w:r>
              <w:rPr>
                <w:sz w:val="17"/>
              </w:rPr>
              <w:t>, not something code can settle.</w:t>
            </w:r>
          </w:p>
        </w:tc>
        <w:tc>
          <w:tcPr>
            <w:tcW w:type="dxa" w:w="1994"/>
          </w:tcPr>
          <w:p>
            <w:r/>
            <w:r>
              <w:rPr>
                <w:b/>
                <w:sz w:val="17"/>
              </w:rPr>
              <w:t>Not confirmed. Action needed</w:t>
            </w:r>
            <w:r>
              <w:rPr>
                <w:sz w:val="17"/>
              </w:rPr>
              <w:t xml:space="preserve"> (10.15)</w:t>
            </w:r>
          </w:p>
        </w:tc>
      </w:tr>
      <w:tr>
        <w:tc>
          <w:tcPr>
            <w:tcW w:type="dxa" w:w="1994"/>
          </w:tcPr>
          <w:p>
            <w:r/>
            <w:r>
              <w:rPr>
                <w:sz w:val="17"/>
              </w:rPr>
              <w:t>4</w:t>
            </w:r>
          </w:p>
        </w:tc>
        <w:tc>
          <w:tcPr>
            <w:tcW w:type="dxa" w:w="1994"/>
          </w:tcPr>
          <w:p>
            <w:r/>
            <w:r>
              <w:rPr>
                <w:sz w:val="17"/>
              </w:rPr>
              <w:t xml:space="preserve">Only </w:t>
            </w:r>
            <w:r>
              <w:rPr>
                <w:b/>
                <w:sz w:val="17"/>
              </w:rPr>
              <w:t>current members</w:t>
            </w:r>
            <w:r>
              <w:rPr>
                <w:sz w:val="17"/>
              </w:rPr>
              <w:t xml:space="preserve"> may attend society events; societies report anyone without valid membership</w:t>
            </w:r>
          </w:p>
        </w:tc>
        <w:tc>
          <w:tcPr>
            <w:tcW w:type="dxa" w:w="1994"/>
          </w:tcPr>
          <w:p>
            <w:r/>
            <w:r>
              <w:rPr>
                <w:sz w:val="17"/>
              </w:rPr>
              <w:t>Social Media Policy; Code of Conduct</w:t>
            </w:r>
          </w:p>
        </w:tc>
        <w:tc>
          <w:tcPr>
            <w:tcW w:type="dxa" w:w="1994"/>
          </w:tcPr>
          <w:p>
            <w:r/>
            <w:r>
              <w:rPr>
                <w:sz w:val="17"/>
              </w:rPr>
              <w:t>Account approval checks the person has paid for membership through ULSU; event registration needs a members' login</w:t>
            </w:r>
          </w:p>
        </w:tc>
        <w:tc>
          <w:tcPr>
            <w:tcW w:type="dxa" w:w="1994"/>
          </w:tcPr>
          <w:p>
            <w:r/>
            <w:r>
              <w:rPr>
                <w:sz w:val="17"/>
              </w:rPr>
              <w:t>Met</w:t>
            </w:r>
          </w:p>
        </w:tc>
      </w:tr>
      <w:tr>
        <w:tc>
          <w:tcPr>
            <w:tcW w:type="dxa" w:w="1994"/>
          </w:tcPr>
          <w:p>
            <w:r/>
            <w:r>
              <w:rPr>
                <w:sz w:val="17"/>
              </w:rPr>
              <w:t>5</w:t>
            </w:r>
          </w:p>
        </w:tc>
        <w:tc>
          <w:tcPr>
            <w:tcW w:type="dxa" w:w="1994"/>
          </w:tcPr>
          <w:p>
            <w:r/>
            <w:r>
              <w:rPr>
                <w:b/>
                <w:sz w:val="17"/>
              </w:rPr>
              <w:t>All money for activities goes through ULSU</w:t>
            </w:r>
            <w:r>
              <w:rPr>
                <w:sz w:val="17"/>
              </w:rPr>
              <w:t>; no outside bank accounts or collecting money; external fundraising needs Trustees' permission</w:t>
            </w:r>
          </w:p>
        </w:tc>
        <w:tc>
          <w:tcPr>
            <w:tcW w:type="dxa" w:w="1994"/>
          </w:tcPr>
          <w:p>
            <w:r/>
            <w:r>
              <w:rPr>
                <w:sz w:val="17"/>
              </w:rPr>
              <w:t>Code of Conduct; External Speakers Policy</w:t>
            </w:r>
          </w:p>
        </w:tc>
        <w:tc>
          <w:tcPr>
            <w:tcW w:type="dxa" w:w="1994"/>
          </w:tcPr>
          <w:p>
            <w:r/>
            <w:r>
              <w:rPr>
                <w:sz w:val="17"/>
              </w:rPr>
              <w:t xml:space="preserve">The website handles no money (membership is bought on ULSU's site). The events page lists a </w:t>
            </w:r>
            <w:r>
              <w:rPr>
                <w:i/>
                <w:sz w:val="17"/>
              </w:rPr>
              <w:t>Winter Charity Fundraiser</w:t>
            </w:r>
            <w:r>
              <w:rPr>
                <w:sz w:val="17"/>
              </w:rPr>
              <w:t>: any collecting must run through ULSU and may need Trustee permission.</w:t>
            </w:r>
          </w:p>
        </w:tc>
        <w:tc>
          <w:tcPr>
            <w:tcW w:type="dxa" w:w="1994"/>
          </w:tcPr>
          <w:p>
            <w:r/>
            <w:r>
              <w:rPr>
                <w:sz w:val="17"/>
              </w:rPr>
              <w:t xml:space="preserve">Met for the site; </w:t>
            </w:r>
            <w:r>
              <w:rPr>
                <w:b/>
                <w:sz w:val="17"/>
              </w:rPr>
              <w:t>Action needed</w:t>
            </w:r>
            <w:r>
              <w:rPr>
                <w:sz w:val="17"/>
              </w:rPr>
              <w:t xml:space="preserve"> (10.18)</w:t>
            </w:r>
          </w:p>
        </w:tc>
      </w:tr>
      <w:tr>
        <w:tc>
          <w:tcPr>
            <w:tcW w:type="dxa" w:w="1994"/>
          </w:tcPr>
          <w:p>
            <w:r/>
            <w:r>
              <w:rPr>
                <w:sz w:val="17"/>
              </w:rPr>
              <w:t>6</w:t>
            </w:r>
          </w:p>
        </w:tc>
        <w:tc>
          <w:tcPr>
            <w:tcW w:type="dxa" w:w="1994"/>
          </w:tcPr>
          <w:p>
            <w:r/>
            <w:r>
              <w:rPr>
                <w:sz w:val="17"/>
              </w:rPr>
              <w:t>Data: ULSU is controller for SU activity; rights, one-month replies, complaints handled by the DPO then the ICO; marketing consent or soft opt-in with free opt-out</w:t>
            </w:r>
          </w:p>
        </w:tc>
        <w:tc>
          <w:tcPr>
            <w:tcW w:type="dxa" w:w="1994"/>
          </w:tcPr>
          <w:p>
            <w:r/>
            <w:r>
              <w:rPr>
                <w:sz w:val="17"/>
              </w:rPr>
              <w:t>ULSU Privacy Notice; Complaints Handbook</w:t>
            </w:r>
          </w:p>
        </w:tc>
        <w:tc>
          <w:tcPr>
            <w:tcW w:type="dxa" w:w="1994"/>
          </w:tcPr>
          <w:p>
            <w:r/>
            <w:r>
              <w:rPr>
                <w:sz w:val="17"/>
              </w:rPr>
              <w:t>Notice uses the same rights and timescales, shows ULSU's DPO and complaints contacts, and has an update-email opt-out</w:t>
            </w:r>
          </w:p>
        </w:tc>
        <w:tc>
          <w:tcPr>
            <w:tcW w:type="dxa" w:w="1994"/>
          </w:tcPr>
          <w:p>
            <w:r/>
            <w:r>
              <w:rPr>
                <w:sz w:val="17"/>
              </w:rPr>
              <w:t>Met (wording to be agreed with ULSU, 10.1)</w:t>
            </w:r>
          </w:p>
        </w:tc>
      </w:tr>
      <w:tr>
        <w:tc>
          <w:tcPr>
            <w:tcW w:type="dxa" w:w="1994"/>
          </w:tcPr>
          <w:p>
            <w:r/>
            <w:r>
              <w:rPr>
                <w:sz w:val="17"/>
              </w:rPr>
              <w:t>7</w:t>
            </w:r>
          </w:p>
        </w:tc>
        <w:tc>
          <w:tcPr>
            <w:tcW w:type="dxa" w:w="1994"/>
          </w:tcPr>
          <w:p>
            <w:r/>
            <w:r>
              <w:rPr>
                <w:sz w:val="17"/>
              </w:rPr>
              <w:t xml:space="preserve">Student data from the University must not be passed to third parties without written authority, and </w:t>
            </w:r>
            <w:r>
              <w:rPr>
                <w:b/>
                <w:sz w:val="17"/>
              </w:rPr>
              <w:t>not exported outside the EEA</w:t>
            </w:r>
            <w:r>
              <w:rPr>
                <w:sz w:val="17"/>
              </w:rPr>
              <w:t xml:space="preserve"> without adequate protection</w:t>
            </w:r>
          </w:p>
        </w:tc>
        <w:tc>
          <w:tcPr>
            <w:tcW w:type="dxa" w:w="1994"/>
          </w:tcPr>
          <w:p>
            <w:r/>
            <w:r>
              <w:rPr>
                <w:sz w:val="17"/>
              </w:rPr>
              <w:t>University/ULSU Information Sharing Agreement</w:t>
            </w:r>
          </w:p>
        </w:tc>
        <w:tc>
          <w:tcPr>
            <w:tcW w:type="dxa" w:w="1994"/>
          </w:tcPr>
          <w:p>
            <w:r/>
            <w:r>
              <w:rPr>
                <w:sz w:val="17"/>
              </w:rPr>
              <w:t>The website holds data members give it directly. It does not import the University's student data. Hosting and email providers may be outside the UK/EEA (10.3).</w:t>
            </w:r>
          </w:p>
        </w:tc>
        <w:tc>
          <w:tcPr>
            <w:tcW w:type="dxa" w:w="1994"/>
          </w:tcPr>
          <w:p>
            <w:r/>
            <w:r>
              <w:rPr>
                <w:b/>
                <w:sz w:val="17"/>
              </w:rPr>
              <w:t>Check needed</w:t>
            </w:r>
            <w:r>
              <w:rPr>
                <w:sz w:val="17"/>
              </w:rPr>
              <w:t xml:space="preserve"> (10.3)</w:t>
            </w:r>
          </w:p>
        </w:tc>
      </w:tr>
      <w:tr>
        <w:tc>
          <w:tcPr>
            <w:tcW w:type="dxa" w:w="1994"/>
          </w:tcPr>
          <w:p>
            <w:r/>
            <w:r>
              <w:rPr>
                <w:sz w:val="17"/>
              </w:rPr>
              <w:t>8</w:t>
            </w:r>
          </w:p>
        </w:tc>
        <w:tc>
          <w:tcPr>
            <w:tcW w:type="dxa" w:w="1994"/>
          </w:tcPr>
          <w:p>
            <w:r/>
            <w:r>
              <w:rPr>
                <w:sz w:val="17"/>
              </w:rPr>
              <w:t>Safeguarding concerns go to the ULSU Safeguarding Officers; incidents at activities are reported through the Student Dashboard; Prevent duty</w:t>
            </w:r>
          </w:p>
        </w:tc>
        <w:tc>
          <w:tcPr>
            <w:tcW w:type="dxa" w:w="1994"/>
          </w:tcPr>
          <w:p>
            <w:r/>
            <w:r>
              <w:rPr>
                <w:sz w:val="17"/>
              </w:rPr>
              <w:t>Safeguarding Policy; Code of Conduct</w:t>
            </w:r>
          </w:p>
        </w:tc>
        <w:tc>
          <w:tcPr>
            <w:tcW w:type="dxa" w:w="1994"/>
          </w:tcPr>
          <w:p>
            <w:r/>
            <w:r>
              <w:rPr>
                <w:sz w:val="17"/>
              </w:rPr>
              <w:t>Safeguarding page names the route and the urgent-help numbers and links ULSU's incident report form</w:t>
            </w:r>
          </w:p>
        </w:tc>
        <w:tc>
          <w:tcPr>
            <w:tcW w:type="dxa" w:w="1994"/>
          </w:tcPr>
          <w:p>
            <w:r/>
            <w:r>
              <w:rPr>
                <w:sz w:val="17"/>
              </w:rPr>
              <w:t xml:space="preserve">Met; </w:t>
            </w:r>
            <w:r>
              <w:rPr>
                <w:b/>
                <w:sz w:val="17"/>
              </w:rPr>
              <w:t>Action needed</w:t>
            </w:r>
            <w:r>
              <w:rPr>
                <w:sz w:val="17"/>
              </w:rPr>
              <w:t xml:space="preserve"> (10.8)</w:t>
            </w:r>
          </w:p>
        </w:tc>
      </w:tr>
      <w:tr>
        <w:tc>
          <w:tcPr>
            <w:tcW w:type="dxa" w:w="1994"/>
          </w:tcPr>
          <w:p>
            <w:r/>
            <w:r>
              <w:rPr>
                <w:sz w:val="17"/>
              </w:rPr>
              <w:t>9</w:t>
            </w:r>
          </w:p>
        </w:tc>
        <w:tc>
          <w:tcPr>
            <w:tcW w:type="dxa" w:w="1994"/>
          </w:tcPr>
          <w:p>
            <w:r/>
            <w:r>
              <w:rPr>
                <w:sz w:val="17"/>
              </w:rPr>
              <w:t>Professional, respectful online conduct; no harassment, explicit or defamatory content; no deceptive AI content; don't misrepresent ULSU</w:t>
            </w:r>
          </w:p>
        </w:tc>
        <w:tc>
          <w:tcPr>
            <w:tcW w:type="dxa" w:w="1994"/>
          </w:tcPr>
          <w:p>
            <w:r/>
            <w:r>
              <w:rPr>
                <w:sz w:val="17"/>
              </w:rPr>
              <w:t>Code of Conduct; Social Media Policy</w:t>
            </w:r>
          </w:p>
        </w:tc>
        <w:tc>
          <w:tcPr>
            <w:tcW w:type="dxa" w:w="1994"/>
          </w:tcPr>
          <w:p>
            <w:r/>
            <w:r>
              <w:rPr>
                <w:sz w:val="17"/>
              </w:rPr>
              <w:t>Terms of use cover each. The footer now says this is the society's own website and not an official ULSU website.</w:t>
            </w:r>
          </w:p>
        </w:tc>
        <w:tc>
          <w:tcPr>
            <w:tcW w:type="dxa" w:w="1994"/>
          </w:tcPr>
          <w:p>
            <w:r/>
            <w:r>
              <w:rPr>
                <w:sz w:val="17"/>
              </w:rPr>
              <w:t>Met</w:t>
            </w:r>
          </w:p>
        </w:tc>
      </w:tr>
      <w:tr>
        <w:tc>
          <w:tcPr>
            <w:tcW w:type="dxa" w:w="1994"/>
          </w:tcPr>
          <w:p>
            <w:r/>
            <w:r>
              <w:rPr>
                <w:sz w:val="17"/>
              </w:rPr>
              <w:t>10</w:t>
            </w:r>
          </w:p>
        </w:tc>
        <w:tc>
          <w:tcPr>
            <w:tcW w:type="dxa" w:w="1994"/>
          </w:tcPr>
          <w:p>
            <w:r/>
            <w:r>
              <w:rPr>
                <w:b/>
                <w:sz w:val="17"/>
              </w:rPr>
              <w:t>No unapproved use of ULSU's name or logo</w:t>
            </w:r>
            <w:r>
              <w:rPr>
                <w:sz w:val="17"/>
              </w:rPr>
              <w:t>; official logo files only</w:t>
            </w:r>
          </w:p>
        </w:tc>
        <w:tc>
          <w:tcPr>
            <w:tcW w:type="dxa" w:w="1994"/>
          </w:tcPr>
          <w:p>
            <w:r/>
            <w:r>
              <w:rPr>
                <w:sz w:val="17"/>
              </w:rPr>
              <w:t>Social Media Policy; Brand Guidelines</w:t>
            </w:r>
          </w:p>
        </w:tc>
        <w:tc>
          <w:tcPr>
            <w:tcW w:type="dxa" w:w="1994"/>
          </w:tcPr>
          <w:p>
            <w:r/>
            <w:r>
              <w:rPr>
                <w:sz w:val="17"/>
              </w:rPr>
              <w:t>The website doesn't use the logo or any redrawn version. It names ULSU in plain text only.</w:t>
            </w:r>
          </w:p>
        </w:tc>
        <w:tc>
          <w:tcPr>
            <w:tcW w:type="dxa" w:w="1994"/>
          </w:tcPr>
          <w:p>
            <w:r/>
            <w:r>
              <w:rPr>
                <w:sz w:val="17"/>
              </w:rPr>
              <w:t>Met</w:t>
            </w:r>
          </w:p>
        </w:tc>
      </w:tr>
      <w:tr>
        <w:tc>
          <w:tcPr>
            <w:tcW w:type="dxa" w:w="1994"/>
          </w:tcPr>
          <w:p>
            <w:r/>
            <w:r>
              <w:rPr>
                <w:sz w:val="17"/>
              </w:rPr>
              <w:t>11</w:t>
            </w:r>
          </w:p>
        </w:tc>
        <w:tc>
          <w:tcPr>
            <w:tcW w:type="dxa" w:w="1994"/>
          </w:tcPr>
          <w:p>
            <w:r/>
            <w:r>
              <w:rPr>
                <w:sz w:val="17"/>
              </w:rPr>
              <w:t xml:space="preserve">Hand </w:t>
            </w:r>
            <w:r>
              <w:rPr>
                <w:b/>
                <w:sz w:val="17"/>
              </w:rPr>
              <w:t>social media and service logins</w:t>
            </w:r>
            <w:r>
              <w:rPr>
                <w:sz w:val="17"/>
              </w:rPr>
              <w:t xml:space="preserve"> to ULSU at each handover; MFA</w:t>
            </w:r>
          </w:p>
        </w:tc>
        <w:tc>
          <w:tcPr>
            <w:tcW w:type="dxa" w:w="1994"/>
          </w:tcPr>
          <w:p>
            <w:r/>
            <w:r>
              <w:rPr>
                <w:sz w:val="17"/>
              </w:rPr>
              <w:t>Social Media Policy</w:t>
            </w:r>
          </w:p>
        </w:tc>
        <w:tc>
          <w:tcPr>
            <w:tcW w:type="dxa" w:w="1994"/>
          </w:tcPr>
          <w:p>
            <w:r/>
            <w:r>
              <w:rPr>
                <w:sz w:val="17"/>
              </w:rPr>
              <w:t>Not something the website can do</w:t>
            </w:r>
          </w:p>
        </w:tc>
        <w:tc>
          <w:tcPr>
            <w:tcW w:type="dxa" w:w="1994"/>
          </w:tcPr>
          <w:p>
            <w:r/>
            <w:r>
              <w:rPr>
                <w:b/>
                <w:sz w:val="17"/>
              </w:rPr>
              <w:t>Action needed</w:t>
            </w:r>
            <w:r>
              <w:rPr>
                <w:sz w:val="17"/>
              </w:rPr>
              <w:t xml:space="preserve"> (10.7)</w:t>
            </w:r>
          </w:p>
        </w:tc>
      </w:tr>
      <w:tr>
        <w:tc>
          <w:tcPr>
            <w:tcW w:type="dxa" w:w="1994"/>
          </w:tcPr>
          <w:p>
            <w:r/>
            <w:r>
              <w:rPr>
                <w:sz w:val="17"/>
              </w:rPr>
              <w:t>12</w:t>
            </w:r>
          </w:p>
        </w:tc>
        <w:tc>
          <w:tcPr>
            <w:tcW w:type="dxa" w:w="1994"/>
          </w:tcPr>
          <w:p>
            <w:r/>
            <w:r>
              <w:rPr>
                <w:sz w:val="17"/>
              </w:rPr>
              <w:t>Use the official ULSU group email, not personal addresses</w:t>
            </w:r>
          </w:p>
        </w:tc>
        <w:tc>
          <w:tcPr>
            <w:tcW w:type="dxa" w:w="1994"/>
          </w:tcPr>
          <w:p>
            <w:r/>
            <w:r>
              <w:rPr>
                <w:sz w:val="17"/>
              </w:rPr>
              <w:t>Group Gmail Policy</w:t>
            </w:r>
          </w:p>
        </w:tc>
        <w:tc>
          <w:tcPr>
            <w:tcW w:type="dxa" w:w="1994"/>
          </w:tcPr>
          <w:p>
            <w:r/>
            <w:r>
              <w:rPr>
                <w:sz w:val="17"/>
              </w:rPr>
              <w:t xml:space="preserve">Site publishes and sends from </w:t>
            </w:r>
            <w:r>
              <w:rPr>
                <w:rFonts w:ascii="Consolas" w:hAnsi="Consolas"/>
                <w:sz w:val="18"/>
              </w:rPr>
              <w:t>acms@lincolnsu.com</w:t>
            </w:r>
          </w:p>
        </w:tc>
        <w:tc>
          <w:tcPr>
            <w:tcW w:type="dxa" w:w="1994"/>
          </w:tcPr>
          <w:p>
            <w:r/>
            <w:r>
              <w:rPr>
                <w:sz w:val="17"/>
              </w:rPr>
              <w:t xml:space="preserve">Met; accounts behind the site </w:t>
            </w:r>
            <w:r>
              <w:rPr>
                <w:b/>
                <w:sz w:val="17"/>
              </w:rPr>
              <w:t>Action needed</w:t>
            </w:r>
            <w:r>
              <w:rPr>
                <w:sz w:val="17"/>
              </w:rPr>
              <w:t xml:space="preserve"> (10.7)</w:t>
            </w:r>
          </w:p>
        </w:tc>
      </w:tr>
      <w:tr>
        <w:tc>
          <w:tcPr>
            <w:tcW w:type="dxa" w:w="1994"/>
          </w:tcPr>
          <w:p>
            <w:r/>
            <w:r>
              <w:rPr>
                <w:sz w:val="17"/>
              </w:rPr>
              <w:t>13</w:t>
            </w:r>
          </w:p>
        </w:tc>
        <w:tc>
          <w:tcPr>
            <w:tcW w:type="dxa" w:w="1994"/>
          </w:tcPr>
          <w:p>
            <w:r/>
            <w:r>
              <w:rPr>
                <w:sz w:val="17"/>
              </w:rPr>
              <w:t xml:space="preserve">Societies have </w:t>
            </w:r>
            <w:r>
              <w:rPr>
                <w:b/>
                <w:sz w:val="17"/>
              </w:rPr>
              <w:t>open membership</w:t>
            </w:r>
            <w:r>
              <w:rPr>
                <w:sz w:val="17"/>
              </w:rPr>
              <w:t xml:space="preserve"> and don't restrict by name</w:t>
            </w:r>
          </w:p>
        </w:tc>
        <w:tc>
          <w:tcPr>
            <w:tcW w:type="dxa" w:w="1994"/>
          </w:tcPr>
          <w:p>
            <w:r/>
            <w:r>
              <w:rPr>
                <w:sz w:val="17"/>
              </w:rPr>
              <w:t>Equal Opportunities Policy</w:t>
            </w:r>
          </w:p>
        </w:tc>
        <w:tc>
          <w:tcPr>
            <w:tcW w:type="dxa" w:w="1994"/>
          </w:tcPr>
          <w:p>
            <w:r/>
            <w:r>
              <w:rPr>
                <w:sz w:val="17"/>
              </w:rPr>
              <w:t>Site says "Open to every course and background"</w:t>
            </w:r>
          </w:p>
        </w:tc>
        <w:tc>
          <w:tcPr>
            <w:tcW w:type="dxa" w:w="1994"/>
          </w:tcPr>
          <w:p>
            <w:r/>
            <w:r>
              <w:rPr>
                <w:sz w:val="17"/>
              </w:rPr>
              <w:t>Met</w:t>
            </w:r>
          </w:p>
        </w:tc>
      </w:tr>
      <w:tr>
        <w:tc>
          <w:tcPr>
            <w:tcW w:type="dxa" w:w="1994"/>
          </w:tcPr>
          <w:p>
            <w:r/>
            <w:r>
              <w:rPr>
                <w:sz w:val="17"/>
              </w:rPr>
              <w:t>14</w:t>
            </w:r>
          </w:p>
        </w:tc>
        <w:tc>
          <w:tcPr>
            <w:tcW w:type="dxa" w:w="1994"/>
          </w:tcPr>
          <w:p>
            <w:r/>
            <w:r>
              <w:rPr>
                <w:sz w:val="17"/>
              </w:rPr>
              <w:t>Free speech with lawful, respectful debate; no hate speech</w:t>
            </w:r>
          </w:p>
        </w:tc>
        <w:tc>
          <w:tcPr>
            <w:tcW w:type="dxa" w:w="1994"/>
          </w:tcPr>
          <w:p>
            <w:r/>
            <w:r>
              <w:rPr>
                <w:sz w:val="17"/>
              </w:rPr>
              <w:t>Code of Conduct</w:t>
            </w:r>
          </w:p>
        </w:tc>
        <w:tc>
          <w:tcPr>
            <w:tcW w:type="dxa" w:w="1994"/>
          </w:tcPr>
          <w:p>
            <w:r/>
            <w:r>
              <w:rPr>
                <w:sz w:val="17"/>
              </w:rPr>
              <w:t>Terms welcome debate and ban harassment and hate</w:t>
            </w:r>
          </w:p>
        </w:tc>
        <w:tc>
          <w:tcPr>
            <w:tcW w:type="dxa" w:w="1994"/>
          </w:tcPr>
          <w:p>
            <w:r/>
            <w:r>
              <w:rPr>
                <w:sz w:val="17"/>
              </w:rPr>
              <w:t>Met</w:t>
            </w:r>
          </w:p>
        </w:tc>
      </w:tr>
      <w:tr>
        <w:tc>
          <w:tcPr>
            <w:tcW w:type="dxa" w:w="1994"/>
          </w:tcPr>
          <w:p>
            <w:r/>
            <w:r>
              <w:rPr>
                <w:sz w:val="17"/>
              </w:rPr>
              <w:t>15</w:t>
            </w:r>
          </w:p>
        </w:tc>
        <w:tc>
          <w:tcPr>
            <w:tcW w:type="dxa" w:w="1994"/>
          </w:tcPr>
          <w:p>
            <w:r/>
            <w:r>
              <w:rPr>
                <w:sz w:val="17"/>
              </w:rPr>
              <w:t>Political neutrality</w:t>
            </w:r>
          </w:p>
        </w:tc>
        <w:tc>
          <w:tcPr>
            <w:tcW w:type="dxa" w:w="1994"/>
          </w:tcPr>
          <w:p>
            <w:r/>
            <w:r>
              <w:rPr>
                <w:sz w:val="17"/>
              </w:rPr>
              <w:t>Political Activity Policy</w:t>
            </w:r>
          </w:p>
        </w:tc>
        <w:tc>
          <w:tcPr>
            <w:tcW w:type="dxa" w:w="1994"/>
          </w:tcPr>
          <w:p>
            <w:r/>
            <w:r>
              <w:rPr>
                <w:sz w:val="17"/>
              </w:rPr>
              <w:t>The site carries no party-political content</w:t>
            </w:r>
          </w:p>
        </w:tc>
        <w:tc>
          <w:tcPr>
            <w:tcW w:type="dxa" w:w="1994"/>
          </w:tcPr>
          <w:p>
            <w:r/>
            <w:r>
              <w:rPr>
                <w:sz w:val="17"/>
              </w:rPr>
              <w:t>Met</w:t>
            </w:r>
          </w:p>
        </w:tc>
      </w:tr>
      <w:tr>
        <w:tc>
          <w:tcPr>
            <w:tcW w:type="dxa" w:w="1994"/>
          </w:tcPr>
          <w:p>
            <w:r/>
            <w:r>
              <w:rPr>
                <w:sz w:val="17"/>
              </w:rPr>
              <w:t>16</w:t>
            </w:r>
          </w:p>
        </w:tc>
        <w:tc>
          <w:tcPr>
            <w:tcW w:type="dxa" w:w="1994"/>
          </w:tcPr>
          <w:p>
            <w:r/>
            <w:r>
              <w:rPr>
                <w:sz w:val="17"/>
              </w:rPr>
              <w:t xml:space="preserve">Committee </w:t>
            </w:r>
            <w:r>
              <w:rPr>
                <w:b/>
                <w:sz w:val="17"/>
              </w:rPr>
              <w:t>attend required induction and training</w:t>
            </w:r>
            <w:r>
              <w:rPr>
                <w:sz w:val="17"/>
              </w:rPr>
              <w:t>; confidentiality of information held through the role</w:t>
            </w:r>
          </w:p>
        </w:tc>
        <w:tc>
          <w:tcPr>
            <w:tcW w:type="dxa" w:w="1994"/>
          </w:tcPr>
          <w:p>
            <w:r/>
            <w:r>
              <w:rPr>
                <w:sz w:val="17"/>
              </w:rPr>
              <w:t>Code of Conduct</w:t>
            </w:r>
          </w:p>
        </w:tc>
        <w:tc>
          <w:tcPr>
            <w:tcW w:type="dxa" w:w="1994"/>
          </w:tcPr>
          <w:p>
            <w:r/>
            <w:r>
              <w:rPr>
                <w:sz w:val="17"/>
              </w:rPr>
              <w:t>Covered by item 1 and the annual handover checklist (8.4)</w:t>
            </w:r>
          </w:p>
        </w:tc>
        <w:tc>
          <w:tcPr>
            <w:tcW w:type="dxa" w:w="1994"/>
          </w:tcPr>
          <w:p>
            <w:r/>
            <w:r>
              <w:rPr>
                <w:sz w:val="17"/>
              </w:rPr>
              <w:t>Action needed (10.16)</w:t>
            </w:r>
          </w:p>
        </w:tc>
      </w:tr>
    </w:tbl>
    <w:p/>
    <w:p>
      <w:pPr>
        <w:pStyle w:val="Heading1"/>
      </w:pPr>
      <w:r>
        <w:t>3. Legal framework</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Law</w:t>
            </w:r>
          </w:p>
        </w:tc>
        <w:tc>
          <w:tcPr>
            <w:tcW w:type="dxa" w:w="2493"/>
            <w:shd w:val="clear" w:color="auto" w:fill="E8E1CC"/>
          </w:tcPr>
          <w:p>
            <w:r>
              <w:rPr>
                <w:b/>
              </w:rPr>
            </w:r>
            <w:r>
              <w:rPr>
                <w:b/>
                <w:sz w:val="18"/>
              </w:rPr>
              <w:t>What it requires of a society like LACMS</w:t>
            </w:r>
          </w:p>
        </w:tc>
        <w:tc>
          <w:tcPr>
            <w:tcW w:type="dxa" w:w="2493"/>
            <w:shd w:val="clear" w:color="auto" w:fill="E8E1CC"/>
          </w:tcPr>
          <w:p>
            <w:r>
              <w:rPr>
                <w:b/>
              </w:rPr>
            </w:r>
            <w:r>
              <w:rPr>
                <w:b/>
                <w:sz w:val="18"/>
              </w:rPr>
              <w:t>What was done</w:t>
            </w:r>
          </w:p>
        </w:tc>
        <w:tc>
          <w:tcPr>
            <w:tcW w:type="dxa" w:w="2493"/>
            <w:shd w:val="clear" w:color="auto" w:fill="E8E1CC"/>
          </w:tcPr>
          <w:p>
            <w:r>
              <w:rPr>
                <w:b/>
              </w:rPr>
            </w:r>
            <w:r>
              <w:rPr>
                <w:b/>
                <w:sz w:val="18"/>
              </w:rPr>
              <w:t>Status</w:t>
            </w:r>
          </w:p>
        </w:tc>
      </w:tr>
      <w:tr>
        <w:tc>
          <w:tcPr>
            <w:tcW w:type="dxa" w:w="2493"/>
          </w:tcPr>
          <w:p>
            <w:r/>
            <w:r>
              <w:rPr>
                <w:b/>
                <w:sz w:val="17"/>
              </w:rPr>
              <w:t>UK GDPR and Data Protection Act 2018</w:t>
            </w:r>
            <w:r>
              <w:rPr>
                <w:sz w:val="17"/>
              </w:rPr>
              <w:t>: lawful, fair and transparent processing</w:t>
            </w:r>
          </w:p>
        </w:tc>
        <w:tc>
          <w:tcPr>
            <w:tcW w:type="dxa" w:w="2493"/>
          </w:tcPr>
          <w:p>
            <w:r/>
            <w:r>
              <w:rPr>
                <w:sz w:val="17"/>
              </w:rPr>
              <w:t>A lawful basis for each use; plain-language notice at collection</w:t>
            </w:r>
          </w:p>
        </w:tc>
        <w:tc>
          <w:tcPr>
            <w:tcW w:type="dxa" w:w="2493"/>
          </w:tcPr>
          <w:p>
            <w:r/>
            <w:r>
              <w:rPr>
                <w:sz w:val="17"/>
              </w:rPr>
              <w:t>Lawful basis table in the notice; short notices added beside the forms that collect data (account request, professional request, Sankofa application, mentor application, event feedback, nominations, gallery uploads, check-ins)</w:t>
            </w:r>
          </w:p>
        </w:tc>
        <w:tc>
          <w:tcPr>
            <w:tcW w:type="dxa" w:w="2493"/>
          </w:tcPr>
          <w:p>
            <w:r/>
            <w:r>
              <w:rPr>
                <w:sz w:val="17"/>
              </w:rPr>
              <w:t>Done</w:t>
            </w:r>
          </w:p>
        </w:tc>
      </w:tr>
      <w:tr>
        <w:tc>
          <w:tcPr>
            <w:tcW w:type="dxa" w:w="2493"/>
          </w:tcPr>
          <w:p>
            <w:r/>
            <w:r>
              <w:rPr>
                <w:sz w:val="17"/>
              </w:rPr>
              <w:t>Purpose limitation, data minimisation</w:t>
            </w:r>
          </w:p>
        </w:tc>
        <w:tc>
          <w:tcPr>
            <w:tcW w:type="dxa" w:w="2493"/>
          </w:tcPr>
          <w:p>
            <w:r/>
            <w:r>
              <w:rPr>
                <w:sz w:val="17"/>
              </w:rPr>
              <w:t>Collect only what's needed, only use it for the stated purpose</w:t>
            </w:r>
          </w:p>
        </w:tc>
        <w:tc>
          <w:tcPr>
            <w:tcW w:type="dxa" w:w="2493"/>
          </w:tcPr>
          <w:p>
            <w:r/>
            <w:r>
              <w:rPr>
                <w:sz w:val="17"/>
              </w:rPr>
              <w:t>Student number justified and limited (matching ULSU's membership list, visible only to approvers); heritage optional; no analytics without consent; the Sankofa matching data is used for matching only</w:t>
            </w:r>
          </w:p>
        </w:tc>
        <w:tc>
          <w:tcPr>
            <w:tcW w:type="dxa" w:w="2493"/>
          </w:tcPr>
          <w:p>
            <w:r/>
            <w:r>
              <w:rPr>
                <w:sz w:val="17"/>
              </w:rPr>
              <w:t>Done</w:t>
            </w:r>
          </w:p>
        </w:tc>
      </w:tr>
      <w:tr>
        <w:tc>
          <w:tcPr>
            <w:tcW w:type="dxa" w:w="2493"/>
          </w:tcPr>
          <w:p>
            <w:r/>
            <w:r>
              <w:rPr>
                <w:sz w:val="17"/>
              </w:rPr>
              <w:t>Accuracy</w:t>
            </w:r>
          </w:p>
        </w:tc>
        <w:tc>
          <w:tcPr>
            <w:tcW w:type="dxa" w:w="2493"/>
          </w:tcPr>
          <w:p>
            <w:r/>
            <w:r>
              <w:rPr>
                <w:sz w:val="17"/>
              </w:rPr>
              <w:t>Keep data correct; let people correct it</w:t>
            </w:r>
          </w:p>
        </w:tc>
        <w:tc>
          <w:tcPr>
            <w:tcW w:type="dxa" w:w="2493"/>
          </w:tcPr>
          <w:p>
            <w:r/>
            <w:r>
              <w:rPr>
                <w:sz w:val="17"/>
              </w:rPr>
              <w:t>Members edit their own profile; correction requests via the form</w:t>
            </w:r>
          </w:p>
        </w:tc>
        <w:tc>
          <w:tcPr>
            <w:tcW w:type="dxa" w:w="2493"/>
          </w:tcPr>
          <w:p>
            <w:r/>
            <w:r>
              <w:rPr>
                <w:sz w:val="17"/>
              </w:rPr>
              <w:t>Done</w:t>
            </w:r>
          </w:p>
        </w:tc>
      </w:tr>
      <w:tr>
        <w:tc>
          <w:tcPr>
            <w:tcW w:type="dxa" w:w="2493"/>
          </w:tcPr>
          <w:p>
            <w:r/>
            <w:r>
              <w:rPr>
                <w:sz w:val="17"/>
              </w:rPr>
              <w:t>Storage limitation</w:t>
            </w:r>
          </w:p>
        </w:tc>
        <w:tc>
          <w:tcPr>
            <w:tcW w:type="dxa" w:w="2493"/>
          </w:tcPr>
          <w:p>
            <w:r/>
            <w:r>
              <w:rPr>
                <w:sz w:val="17"/>
              </w:rPr>
              <w:t>Do not keep data longer than needed</w:t>
            </w:r>
          </w:p>
        </w:tc>
        <w:tc>
          <w:tcPr>
            <w:tcW w:type="dxa" w:w="2493"/>
          </w:tcPr>
          <w:p>
            <w:r/>
            <w:r>
              <w:rPr>
                <w:sz w:val="17"/>
              </w:rPr>
              <w:t xml:space="preserve">Retention schedule (section 6), </w:t>
            </w:r>
            <w:r>
              <w:rPr>
                <w:rFonts w:ascii="Consolas" w:hAnsi="Consolas"/>
                <w:sz w:val="18"/>
              </w:rPr>
              <w:t>privacy_purge_expired()</w:t>
            </w:r>
            <w:r>
              <w:rPr>
                <w:sz w:val="17"/>
              </w:rPr>
              <w:t>, inactive-account tool</w:t>
            </w:r>
          </w:p>
        </w:tc>
        <w:tc>
          <w:tcPr>
            <w:tcW w:type="dxa" w:w="2493"/>
          </w:tcPr>
          <w:p>
            <w:r/>
            <w:r>
              <w:rPr>
                <w:sz w:val="17"/>
              </w:rPr>
              <w:t>Done (run schedule: 10.5)</w:t>
            </w:r>
          </w:p>
        </w:tc>
      </w:tr>
      <w:tr>
        <w:tc>
          <w:tcPr>
            <w:tcW w:type="dxa" w:w="2493"/>
          </w:tcPr>
          <w:p>
            <w:r/>
            <w:r>
              <w:rPr>
                <w:sz w:val="17"/>
              </w:rPr>
              <w:t>Integrity and confidentiality (Art. 32)</w:t>
            </w:r>
          </w:p>
        </w:tc>
        <w:tc>
          <w:tcPr>
            <w:tcW w:type="dxa" w:w="2493"/>
          </w:tcPr>
          <w:p>
            <w:r/>
            <w:r>
              <w:rPr>
                <w:sz w:val="17"/>
              </w:rPr>
              <w:t>Appropriate security</w:t>
            </w:r>
          </w:p>
        </w:tc>
        <w:tc>
          <w:tcPr>
            <w:tcW w:type="dxa" w:w="2493"/>
          </w:tcPr>
          <w:p>
            <w:r/>
            <w:r>
              <w:rPr>
                <w:sz w:val="17"/>
              </w:rPr>
              <w:t>Section 7</w:t>
            </w:r>
          </w:p>
        </w:tc>
        <w:tc>
          <w:tcPr>
            <w:tcW w:type="dxa" w:w="2493"/>
          </w:tcPr>
          <w:p>
            <w:r/>
            <w:r>
              <w:rPr>
                <w:sz w:val="17"/>
              </w:rPr>
              <w:t xml:space="preserve">Done / </w:t>
            </w:r>
            <w:r>
              <w:rPr>
                <w:b/>
                <w:sz w:val="17"/>
              </w:rPr>
              <w:t>Action needed</w:t>
            </w:r>
            <w:r>
              <w:rPr>
                <w:sz w:val="17"/>
              </w:rPr>
              <w:t xml:space="preserve"> for account security</w:t>
            </w:r>
          </w:p>
        </w:tc>
      </w:tr>
      <w:tr>
        <w:tc>
          <w:tcPr>
            <w:tcW w:type="dxa" w:w="2493"/>
          </w:tcPr>
          <w:p>
            <w:r/>
            <w:r>
              <w:rPr>
                <w:sz w:val="17"/>
              </w:rPr>
              <w:t>Accountability and records (Art. 5(2), Art. 30)</w:t>
            </w:r>
          </w:p>
        </w:tc>
        <w:tc>
          <w:tcPr>
            <w:tcW w:type="dxa" w:w="2493"/>
          </w:tcPr>
          <w:p>
            <w:r/>
            <w:r>
              <w:rPr>
                <w:sz w:val="17"/>
              </w:rPr>
              <w:t>Show compliance; keep a record of processing</w:t>
            </w:r>
          </w:p>
        </w:tc>
        <w:tc>
          <w:tcPr>
            <w:tcW w:type="dxa" w:w="2493"/>
          </w:tcPr>
          <w:p>
            <w:r/>
            <w:r>
              <w:rPr>
                <w:sz w:val="17"/>
              </w:rPr>
              <w:t>This report; section 4 is the record of processing; request log with outcomes</w:t>
            </w:r>
          </w:p>
        </w:tc>
        <w:tc>
          <w:tcPr>
            <w:tcW w:type="dxa" w:w="2493"/>
          </w:tcPr>
          <w:p>
            <w:r/>
            <w:r>
              <w:rPr>
                <w:sz w:val="17"/>
              </w:rPr>
              <w:t>Done</w:t>
            </w:r>
          </w:p>
        </w:tc>
      </w:tr>
      <w:tr>
        <w:tc>
          <w:tcPr>
            <w:tcW w:type="dxa" w:w="2493"/>
          </w:tcPr>
          <w:p>
            <w:r/>
            <w:r>
              <w:rPr>
                <w:sz w:val="17"/>
              </w:rPr>
              <w:t>Special category data (Art. 9)</w:t>
            </w:r>
          </w:p>
        </w:tc>
        <w:tc>
          <w:tcPr>
            <w:tcW w:type="dxa" w:w="2493"/>
          </w:tcPr>
          <w:p>
            <w:r/>
            <w:r>
              <w:rPr>
                <w:sz w:val="17"/>
              </w:rPr>
              <w:t>Extra condition needed (e.g. explicit consent)</w:t>
            </w:r>
          </w:p>
        </w:tc>
        <w:tc>
          <w:tcPr>
            <w:tcW w:type="dxa" w:w="2493"/>
          </w:tcPr>
          <w:p>
            <w:r/>
            <w:r>
              <w:rPr>
                <w:sz w:val="17"/>
              </w:rPr>
              <w:t>Heritage (ethnic origin) optional with explicit consent wording; wellbeing mood data optional with notice</w:t>
            </w:r>
          </w:p>
        </w:tc>
        <w:tc>
          <w:tcPr>
            <w:tcW w:type="dxa" w:w="2493"/>
          </w:tcPr>
          <w:p>
            <w:r/>
            <w:r>
              <w:rPr>
                <w:sz w:val="17"/>
              </w:rPr>
              <w:t>Done</w:t>
            </w:r>
          </w:p>
        </w:tc>
      </w:tr>
      <w:tr>
        <w:tc>
          <w:tcPr>
            <w:tcW w:type="dxa" w:w="2493"/>
          </w:tcPr>
          <w:p>
            <w:r/>
            <w:r>
              <w:rPr>
                <w:sz w:val="17"/>
              </w:rPr>
              <w:t>Data subject rights (Art. 15 to 22)</w:t>
            </w:r>
          </w:p>
        </w:tc>
        <w:tc>
          <w:tcPr>
            <w:tcW w:type="dxa" w:w="2493"/>
          </w:tcPr>
          <w:p>
            <w:r/>
            <w:r>
              <w:rPr>
                <w:sz w:val="17"/>
              </w:rPr>
              <w:t>Respond within one month, free</w:t>
            </w:r>
          </w:p>
        </w:tc>
        <w:tc>
          <w:tcPr>
            <w:tcW w:type="dxa" w:w="2493"/>
          </w:tcPr>
          <w:p>
            <w:r/>
            <w:r>
              <w:rPr>
                <w:sz w:val="17"/>
              </w:rPr>
              <w:t>Self-service export and request form; dashboard queue with deadlines (section 8 is the procedure)</w:t>
            </w:r>
          </w:p>
        </w:tc>
        <w:tc>
          <w:tcPr>
            <w:tcW w:type="dxa" w:w="2493"/>
          </w:tcPr>
          <w:p>
            <w:r/>
            <w:r>
              <w:rPr>
                <w:sz w:val="17"/>
              </w:rPr>
              <w:t>Done</w:t>
            </w:r>
          </w:p>
        </w:tc>
      </w:tr>
      <w:tr>
        <w:tc>
          <w:tcPr>
            <w:tcW w:type="dxa" w:w="2493"/>
          </w:tcPr>
          <w:p>
            <w:r/>
            <w:r>
              <w:rPr>
                <w:sz w:val="17"/>
              </w:rPr>
              <w:t>Processors (Art. 28) and transfers (Ch. V)</w:t>
            </w:r>
          </w:p>
        </w:tc>
        <w:tc>
          <w:tcPr>
            <w:tcW w:type="dxa" w:w="2493"/>
          </w:tcPr>
          <w:p>
            <w:r/>
            <w:r>
              <w:rPr>
                <w:sz w:val="17"/>
              </w:rPr>
              <w:t>Written contracts; safeguards for non-UK transfers</w:t>
            </w:r>
          </w:p>
        </w:tc>
        <w:tc>
          <w:tcPr>
            <w:tcW w:type="dxa" w:w="2493"/>
          </w:tcPr>
          <w:p>
            <w:r/>
            <w:r>
              <w:rPr>
                <w:sz w:val="17"/>
              </w:rPr>
              <w:t>Processors listed (section 5); notice discloses them</w:t>
            </w:r>
          </w:p>
        </w:tc>
        <w:tc>
          <w:tcPr>
            <w:tcW w:type="dxa" w:w="2493"/>
          </w:tcPr>
          <w:p>
            <w:r/>
            <w:r>
              <w:rPr>
                <w:b/>
                <w:sz w:val="17"/>
              </w:rPr>
              <w:t>Action needed</w:t>
            </w:r>
            <w:r>
              <w:rPr>
                <w:sz w:val="17"/>
              </w:rPr>
              <w:t xml:space="preserve"> (10.3)</w:t>
            </w:r>
          </w:p>
        </w:tc>
      </w:tr>
      <w:tr>
        <w:tc>
          <w:tcPr>
            <w:tcW w:type="dxa" w:w="2493"/>
          </w:tcPr>
          <w:p>
            <w:r/>
            <w:r>
              <w:rPr>
                <w:sz w:val="17"/>
              </w:rPr>
              <w:t>Breach reporting (Art. 33 and 34)</w:t>
            </w:r>
          </w:p>
        </w:tc>
        <w:tc>
          <w:tcPr>
            <w:tcW w:type="dxa" w:w="2493"/>
          </w:tcPr>
          <w:p>
            <w:r/>
            <w:r>
              <w:rPr>
                <w:sz w:val="17"/>
              </w:rPr>
              <w:t>ICO within 72 hours if risk; tell individuals if high risk</w:t>
            </w:r>
          </w:p>
        </w:tc>
        <w:tc>
          <w:tcPr>
            <w:tcW w:type="dxa" w:w="2493"/>
          </w:tcPr>
          <w:p>
            <w:r/>
            <w:r>
              <w:rPr>
                <w:sz w:val="17"/>
              </w:rPr>
              <w:t>Procedure in section 8.3; telling ULSU's DPO is recommended but not yet agreed</w:t>
            </w:r>
          </w:p>
        </w:tc>
        <w:tc>
          <w:tcPr>
            <w:tcW w:type="dxa" w:w="2493"/>
          </w:tcPr>
          <w:p>
            <w:r/>
            <w:r>
              <w:rPr>
                <w:b/>
                <w:sz w:val="17"/>
              </w:rPr>
              <w:t>Action needed</w:t>
            </w:r>
            <w:r>
              <w:rPr>
                <w:sz w:val="17"/>
              </w:rPr>
              <w:t xml:space="preserve"> to rehearse (10.9); telling ULSU's DPO is recommended but not yet agreed</w:t>
            </w:r>
          </w:p>
        </w:tc>
      </w:tr>
      <w:tr>
        <w:tc>
          <w:tcPr>
            <w:tcW w:type="dxa" w:w="2493"/>
          </w:tcPr>
          <w:p>
            <w:r/>
            <w:r>
              <w:rPr>
                <w:sz w:val="17"/>
              </w:rPr>
              <w:t>DPIA (Art. 35)</w:t>
            </w:r>
          </w:p>
        </w:tc>
        <w:tc>
          <w:tcPr>
            <w:tcW w:type="dxa" w:w="2493"/>
          </w:tcPr>
          <w:p>
            <w:r/>
            <w:r>
              <w:rPr>
                <w:sz w:val="17"/>
              </w:rPr>
              <w:t>Assess high-risk processing</w:t>
            </w:r>
          </w:p>
        </w:tc>
        <w:tc>
          <w:tcPr>
            <w:tcW w:type="dxa" w:w="2493"/>
          </w:tcPr>
          <w:p>
            <w:r/>
            <w:r>
              <w:rPr>
                <w:sz w:val="17"/>
              </w:rPr>
              <w:t>Summary DPIA in Appendix A (wellbeing, heritage, messaging)</w:t>
            </w:r>
          </w:p>
        </w:tc>
        <w:tc>
          <w:tcPr>
            <w:tcW w:type="dxa" w:w="2493"/>
          </w:tcPr>
          <w:p>
            <w:r/>
            <w:r>
              <w:rPr>
                <w:sz w:val="17"/>
              </w:rPr>
              <w:t xml:space="preserve">Done / </w:t>
            </w:r>
            <w:r>
              <w:rPr>
                <w:b/>
                <w:sz w:val="17"/>
              </w:rPr>
              <w:t>ULSU to confirm</w:t>
            </w:r>
          </w:p>
        </w:tc>
      </w:tr>
      <w:tr>
        <w:tc>
          <w:tcPr>
            <w:tcW w:type="dxa" w:w="2493"/>
          </w:tcPr>
          <w:p>
            <w:r/>
            <w:r>
              <w:rPr>
                <w:sz w:val="17"/>
              </w:rPr>
              <w:t>Children (Art. 8, ICO Children's code)</w:t>
            </w:r>
          </w:p>
        </w:tc>
        <w:tc>
          <w:tcPr>
            <w:tcW w:type="dxa" w:w="2493"/>
          </w:tcPr>
          <w:p>
            <w:r/>
            <w:r>
              <w:rPr>
                <w:sz w:val="17"/>
              </w:rPr>
              <w:t>Care with any child's data</w:t>
            </w:r>
          </w:p>
        </w:tc>
        <w:tc>
          <w:tcPr>
            <w:tcW w:type="dxa" w:w="2493"/>
          </w:tcPr>
          <w:p>
            <w:r/>
            <w:r>
              <w:rPr>
                <w:sz w:val="17"/>
              </w:rPr>
              <w:t>The site is for adults and does not set out to collect children's data; the privacy notice has no separate children's section (at the committee's request), so this is a small residual gap</w:t>
            </w:r>
          </w:p>
        </w:tc>
        <w:tc>
          <w:tcPr>
            <w:tcW w:type="dxa" w:w="2493"/>
          </w:tcPr>
          <w:p>
            <w:r/>
            <w:r>
              <w:rPr>
                <w:sz w:val="17"/>
              </w:rPr>
              <w:t>Done / review</w:t>
            </w:r>
          </w:p>
        </w:tc>
      </w:tr>
      <w:tr>
        <w:tc>
          <w:tcPr>
            <w:tcW w:type="dxa" w:w="2493"/>
          </w:tcPr>
          <w:p>
            <w:r/>
            <w:r>
              <w:rPr>
                <w:sz w:val="17"/>
              </w:rPr>
              <w:t>DPO (Art. 37)</w:t>
            </w:r>
          </w:p>
        </w:tc>
        <w:tc>
          <w:tcPr>
            <w:tcW w:type="dxa" w:w="2493"/>
          </w:tcPr>
          <w:p>
            <w:r/>
            <w:r>
              <w:rPr>
                <w:sz w:val="17"/>
              </w:rPr>
              <w:t>Required only for public authorities / large-scale special category</w:t>
            </w:r>
          </w:p>
        </w:tc>
        <w:tc>
          <w:tcPr>
            <w:tcW w:type="dxa" w:w="2493"/>
          </w:tcPr>
          <w:p>
            <w:r/>
            <w:r>
              <w:rPr>
                <w:sz w:val="17"/>
              </w:rPr>
              <w:t>Not required for a society; ULSU's DPO oversees</w:t>
            </w:r>
          </w:p>
        </w:tc>
        <w:tc>
          <w:tcPr>
            <w:tcW w:type="dxa" w:w="2493"/>
          </w:tcPr>
          <w:p>
            <w:r/>
            <w:r>
              <w:rPr>
                <w:sz w:val="17"/>
              </w:rPr>
              <w:t>n/a</w:t>
            </w:r>
          </w:p>
        </w:tc>
      </w:tr>
      <w:tr>
        <w:tc>
          <w:tcPr>
            <w:tcW w:type="dxa" w:w="2493"/>
          </w:tcPr>
          <w:p>
            <w:r/>
            <w:r>
              <w:rPr>
                <w:b/>
                <w:sz w:val="17"/>
              </w:rPr>
              <w:t>Data (Use and Access) Act 2025</w:t>
            </w:r>
          </w:p>
        </w:tc>
        <w:tc>
          <w:tcPr>
            <w:tcW w:type="dxa" w:w="2493"/>
          </w:tcPr>
          <w:p>
            <w:r/>
            <w:r>
              <w:rPr>
                <w:sz w:val="17"/>
              </w:rPr>
              <w:t>Controller complaints procedure; SAR "reasonable and proportionate" search and stop-the-clock; new cookie exceptions (statistical, appearance)</w:t>
            </w:r>
          </w:p>
        </w:tc>
        <w:tc>
          <w:tcPr>
            <w:tcW w:type="dxa" w:w="2493"/>
          </w:tcPr>
          <w:p>
            <w:r/>
            <w:r>
              <w:rPr>
                <w:sz w:val="17"/>
              </w:rPr>
              <w:t xml:space="preserve">Complaints route and 30-day acknowledgement in the notice; SAR procedure reflects it; </w:t>
            </w:r>
            <w:r>
              <w:rPr>
                <w:b/>
                <w:sz w:val="17"/>
              </w:rPr>
              <w:t>cookies stay opt-in</w:t>
            </w:r>
            <w:r>
              <w:rPr>
                <w:sz w:val="17"/>
              </w:rPr>
              <w:t xml:space="preserve"> so nothing depends on the new exceptions. Commencement dates of some provisions should be checked on legislation.gov.uk</w:t>
            </w:r>
          </w:p>
        </w:tc>
        <w:tc>
          <w:tcPr>
            <w:tcW w:type="dxa" w:w="2493"/>
          </w:tcPr>
          <w:p>
            <w:r/>
            <w:r>
              <w:rPr>
                <w:sz w:val="17"/>
              </w:rPr>
              <w:t>Done / verify dates</w:t>
            </w:r>
          </w:p>
        </w:tc>
      </w:tr>
      <w:tr>
        <w:tc>
          <w:tcPr>
            <w:tcW w:type="dxa" w:w="2493"/>
          </w:tcPr>
          <w:p>
            <w:r/>
            <w:r>
              <w:rPr>
                <w:b/>
                <w:sz w:val="17"/>
              </w:rPr>
              <w:t>PECR 2003</w:t>
            </w:r>
            <w:r>
              <w:rPr>
                <w:sz w:val="17"/>
              </w:rPr>
              <w:t xml:space="preserve"> (cookies, storage and electronic marketing)</w:t>
            </w:r>
          </w:p>
        </w:tc>
        <w:tc>
          <w:tcPr>
            <w:tcW w:type="dxa" w:w="2493"/>
          </w:tcPr>
          <w:p>
            <w:r/>
            <w:r>
              <w:rPr>
                <w:sz w:val="17"/>
              </w:rPr>
              <w:t>Consent for non-essential storage; identify sender; opt-out for marketing</w:t>
            </w:r>
          </w:p>
        </w:tc>
        <w:tc>
          <w:tcPr>
            <w:tcW w:type="dxa" w:w="2493"/>
          </w:tcPr>
          <w:p>
            <w:r/>
            <w:r>
              <w:rPr>
                <w:sz w:val="17"/>
              </w:rPr>
              <w:t>Banner and settings, opt-in analytics; email sender identification and opt-out</w:t>
            </w:r>
          </w:p>
        </w:tc>
        <w:tc>
          <w:tcPr>
            <w:tcW w:type="dxa" w:w="2493"/>
          </w:tcPr>
          <w:p>
            <w:r/>
            <w:r>
              <w:rPr>
                <w:sz w:val="17"/>
              </w:rPr>
              <w:t>Done</w:t>
            </w:r>
          </w:p>
        </w:tc>
      </w:tr>
      <w:tr>
        <w:tc>
          <w:tcPr>
            <w:tcW w:type="dxa" w:w="2493"/>
          </w:tcPr>
          <w:p>
            <w:r/>
            <w:r>
              <w:rPr>
                <w:b/>
                <w:sz w:val="17"/>
              </w:rPr>
              <w:t>Equality Act 2010</w:t>
            </w:r>
          </w:p>
        </w:tc>
        <w:tc>
          <w:tcPr>
            <w:tcW w:type="dxa" w:w="2493"/>
          </w:tcPr>
          <w:p>
            <w:r/>
            <w:r>
              <w:rPr>
                <w:sz w:val="17"/>
              </w:rPr>
              <w:t>No discrimination; reasonable adjustments</w:t>
            </w:r>
          </w:p>
        </w:tc>
        <w:tc>
          <w:tcPr>
            <w:tcW w:type="dxa" w:w="2493"/>
          </w:tcPr>
          <w:p>
            <w:r/>
            <w:r>
              <w:rPr>
                <w:sz w:val="17"/>
              </w:rPr>
              <w:t>Accessibility statement and request route; terms prohibit discrimination</w:t>
            </w:r>
          </w:p>
        </w:tc>
        <w:tc>
          <w:tcPr>
            <w:tcW w:type="dxa" w:w="2493"/>
          </w:tcPr>
          <w:p>
            <w:r/>
            <w:r>
              <w:rPr>
                <w:sz w:val="17"/>
              </w:rPr>
              <w:t>Done; audit recommended (10.10)</w:t>
            </w:r>
          </w:p>
        </w:tc>
      </w:tr>
      <w:tr>
        <w:tc>
          <w:tcPr>
            <w:tcW w:type="dxa" w:w="2493"/>
          </w:tcPr>
          <w:p>
            <w:r/>
            <w:r>
              <w:rPr>
                <w:b/>
                <w:sz w:val="17"/>
              </w:rPr>
              <w:t>Online Safety Act 2023</w:t>
            </w:r>
          </w:p>
        </w:tc>
        <w:tc>
          <w:tcPr>
            <w:tcW w:type="dxa" w:w="2493"/>
          </w:tcPr>
          <w:p>
            <w:r/>
            <w:r>
              <w:rPr>
                <w:sz w:val="17"/>
              </w:rPr>
              <w:t>Services with user-to-user features (chat, comments, uploads) must assess illegal-content risk, offer reporting and complaints, and have clear terms</w:t>
            </w:r>
          </w:p>
        </w:tc>
        <w:tc>
          <w:tcPr>
            <w:tcW w:type="dxa" w:w="2493"/>
          </w:tcPr>
          <w:p>
            <w:r/>
            <w:r>
              <w:rPr>
                <w:sz w:val="17"/>
              </w:rPr>
              <w:t>Reporting in chat, a "report a concern" form and email; terms explain moderation; short risk assessment in Appendix B</w:t>
            </w:r>
          </w:p>
        </w:tc>
        <w:tc>
          <w:tcPr>
            <w:tcW w:type="dxa" w:w="2493"/>
          </w:tcPr>
          <w:p>
            <w:r/>
            <w:r>
              <w:rPr>
                <w:sz w:val="17"/>
              </w:rPr>
              <w:t>Done; review yearly</w:t>
            </w:r>
          </w:p>
        </w:tc>
      </w:tr>
      <w:tr>
        <w:tc>
          <w:tcPr>
            <w:tcW w:type="dxa" w:w="2493"/>
          </w:tcPr>
          <w:p>
            <w:r/>
            <w:r>
              <w:rPr>
                <w:b/>
                <w:sz w:val="17"/>
              </w:rPr>
              <w:t>Safeguarding law and duties</w:t>
            </w:r>
            <w:r>
              <w:rPr>
                <w:sz w:val="17"/>
              </w:rPr>
              <w:t xml:space="preserve"> (Children Acts 1989 and 2004, Care Act 2014, Safeguarding Vulnerable Groups Act 2006, Counter-Terrorism and Security Act 2015)</w:t>
            </w:r>
          </w:p>
        </w:tc>
        <w:tc>
          <w:tcPr>
            <w:tcW w:type="dxa" w:w="2493"/>
          </w:tcPr>
          <w:p>
            <w:r/>
            <w:r>
              <w:rPr>
                <w:sz w:val="17"/>
              </w:rPr>
              <w:t>Report concerns; safe recruitment; Prevent</w:t>
            </w:r>
          </w:p>
        </w:tc>
        <w:tc>
          <w:tcPr>
            <w:tcW w:type="dxa" w:w="2493"/>
          </w:tcPr>
          <w:p>
            <w:r/>
            <w:r>
              <w:rPr>
                <w:sz w:val="17"/>
              </w:rPr>
              <w:t>Via ULSU's policy, as above</w:t>
            </w:r>
          </w:p>
        </w:tc>
        <w:tc>
          <w:tcPr>
            <w:tcW w:type="dxa" w:w="2493"/>
          </w:tcPr>
          <w:p>
            <w:r/>
            <w:r>
              <w:rPr>
                <w:sz w:val="17"/>
              </w:rPr>
              <w:t xml:space="preserve">Done; </w:t>
            </w:r>
            <w:r>
              <w:rPr>
                <w:b/>
                <w:sz w:val="17"/>
              </w:rPr>
              <w:t>Action needed</w:t>
            </w:r>
            <w:r>
              <w:rPr>
                <w:sz w:val="17"/>
              </w:rPr>
              <w:t xml:space="preserve"> (10.8)</w:t>
            </w:r>
          </w:p>
        </w:tc>
      </w:tr>
      <w:tr>
        <w:tc>
          <w:tcPr>
            <w:tcW w:type="dxa" w:w="2493"/>
          </w:tcPr>
          <w:p>
            <w:r/>
            <w:r>
              <w:rPr>
                <w:b/>
                <w:sz w:val="17"/>
              </w:rPr>
              <w:t>Copyright, Designs and Patents Act 1988</w:t>
            </w:r>
          </w:p>
        </w:tc>
        <w:tc>
          <w:tcPr>
            <w:tcW w:type="dxa" w:w="2493"/>
          </w:tcPr>
          <w:p>
            <w:r/>
            <w:r>
              <w:rPr>
                <w:sz w:val="17"/>
              </w:rPr>
              <w:t>Remove infringing content promptly</w:t>
            </w:r>
          </w:p>
        </w:tc>
        <w:tc>
          <w:tcPr>
            <w:tcW w:type="dxa" w:w="2493"/>
          </w:tcPr>
          <w:p>
            <w:r/>
            <w:r>
              <w:rPr>
                <w:sz w:val="17"/>
              </w:rPr>
              <w:t>Terms contain a takedown route; uploaders warrant their rights</w:t>
            </w:r>
          </w:p>
        </w:tc>
        <w:tc>
          <w:tcPr>
            <w:tcW w:type="dxa" w:w="2493"/>
          </w:tcPr>
          <w:p>
            <w:r/>
            <w:r>
              <w:rPr>
                <w:sz w:val="17"/>
              </w:rPr>
              <w:t>Done</w:t>
            </w:r>
          </w:p>
        </w:tc>
      </w:tr>
      <w:tr>
        <w:tc>
          <w:tcPr>
            <w:tcW w:type="dxa" w:w="2493"/>
          </w:tcPr>
          <w:p>
            <w:r/>
            <w:r>
              <w:rPr>
                <w:sz w:val="17"/>
              </w:rPr>
              <w:t>Defamation, harassment and communications offences</w:t>
            </w:r>
          </w:p>
        </w:tc>
        <w:tc>
          <w:tcPr>
            <w:tcW w:type="dxa" w:w="2493"/>
          </w:tcPr>
          <w:p>
            <w:r/>
            <w:r>
              <w:rPr>
                <w:sz w:val="17"/>
              </w:rPr>
              <w:t>Don't host unlawful content</w:t>
            </w:r>
          </w:p>
        </w:tc>
        <w:tc>
          <w:tcPr>
            <w:tcW w:type="dxa" w:w="2493"/>
          </w:tcPr>
          <w:p>
            <w:r/>
            <w:r>
              <w:rPr>
                <w:sz w:val="17"/>
              </w:rPr>
              <w:t>Terms and moderation</w:t>
            </w:r>
          </w:p>
        </w:tc>
        <w:tc>
          <w:tcPr>
            <w:tcW w:type="dxa" w:w="2493"/>
          </w:tcPr>
          <w:p>
            <w:r/>
            <w:r>
              <w:rPr>
                <w:sz w:val="17"/>
              </w:rPr>
              <w:t>Done</w:t>
            </w:r>
          </w:p>
        </w:tc>
      </w:tr>
      <w:tr>
        <w:tc>
          <w:tcPr>
            <w:tcW w:type="dxa" w:w="2493"/>
          </w:tcPr>
          <w:p>
            <w:r/>
            <w:r>
              <w:rPr>
                <w:b/>
                <w:sz w:val="17"/>
              </w:rPr>
              <w:t>Higher Education (Freedom of Speech) Act 2023</w:t>
            </w:r>
          </w:p>
        </w:tc>
        <w:tc>
          <w:tcPr>
            <w:tcW w:type="dxa" w:w="2493"/>
          </w:tcPr>
          <w:p>
            <w:r/>
            <w:r>
              <w:rPr>
                <w:sz w:val="17"/>
              </w:rPr>
              <w:t>Duties fall on universities and students' unions</w:t>
            </w:r>
          </w:p>
        </w:tc>
        <w:tc>
          <w:tcPr>
            <w:tcW w:type="dxa" w:w="2493"/>
          </w:tcPr>
          <w:p>
            <w:r/>
            <w:r>
              <w:rPr>
                <w:sz w:val="17"/>
              </w:rPr>
              <w:t>Terms welcome lawful debate and ban harassment; no further action in code</w:t>
            </w:r>
          </w:p>
        </w:tc>
        <w:tc>
          <w:tcPr>
            <w:tcW w:type="dxa" w:w="2493"/>
          </w:tcPr>
          <w:p>
            <w:r/>
            <w:r>
              <w:rPr>
                <w:sz w:val="17"/>
              </w:rPr>
              <w:t>ULSU to confirm if it needs anything from societies</w:t>
            </w:r>
          </w:p>
        </w:tc>
      </w:tr>
      <w:tr>
        <w:tc>
          <w:tcPr>
            <w:tcW w:type="dxa" w:w="2493"/>
          </w:tcPr>
          <w:p>
            <w:r/>
            <w:r>
              <w:rPr>
                <w:sz w:val="17"/>
              </w:rPr>
              <w:t>Professional confidentiality (GMC guidance)</w:t>
            </w:r>
          </w:p>
        </w:tc>
        <w:tc>
          <w:tcPr>
            <w:tcW w:type="dxa" w:w="2493"/>
          </w:tcPr>
          <w:p>
            <w:r/>
            <w:r>
              <w:rPr>
                <w:sz w:val="17"/>
              </w:rPr>
              <w:t>Never disclose identifiable patient information</w:t>
            </w:r>
          </w:p>
        </w:tc>
        <w:tc>
          <w:tcPr>
            <w:tcW w:type="dxa" w:w="2493"/>
          </w:tcPr>
          <w:p>
            <w:r/>
            <w:r>
              <w:rPr>
                <w:sz w:val="17"/>
              </w:rPr>
              <w:t>Terms prohibit patient information anywhere on the site</w:t>
            </w:r>
          </w:p>
        </w:tc>
        <w:tc>
          <w:tcPr>
            <w:tcW w:type="dxa" w:w="2493"/>
          </w:tcPr>
          <w:p>
            <w:r/>
            <w:r>
              <w:rPr>
                <w:sz w:val="17"/>
              </w:rPr>
              <w:t>Done</w:t>
            </w:r>
          </w:p>
        </w:tc>
      </w:tr>
      <w:tr>
        <w:tc>
          <w:tcPr>
            <w:tcW w:type="dxa" w:w="2493"/>
          </w:tcPr>
          <w:p>
            <w:r/>
            <w:r>
              <w:rPr>
                <w:sz w:val="17"/>
              </w:rPr>
              <w:t>Payments</w:t>
            </w:r>
          </w:p>
        </w:tc>
        <w:tc>
          <w:tcPr>
            <w:tcW w:type="dxa" w:w="2493"/>
          </w:tcPr>
          <w:p>
            <w:r/>
            <w:r>
              <w:rPr>
                <w:sz w:val="17"/>
              </w:rPr>
              <w:t>Cards and money</w:t>
            </w:r>
          </w:p>
        </w:tc>
        <w:tc>
          <w:tcPr>
            <w:tcW w:type="dxa" w:w="2493"/>
          </w:tcPr>
          <w:p>
            <w:r/>
            <w:r>
              <w:rPr>
                <w:sz w:val="17"/>
              </w:rPr>
              <w:t>Not applicable: membership is bought on ULSU's site; the website never handles payments</w:t>
            </w:r>
          </w:p>
        </w:tc>
        <w:tc>
          <w:tcPr>
            <w:tcW w:type="dxa" w:w="2493"/>
          </w:tcPr>
          <w:p>
            <w:r/>
            <w:r>
              <w:rPr>
                <w:sz w:val="17"/>
              </w:rPr>
              <w:t>n/a</w:t>
            </w:r>
          </w:p>
        </w:tc>
      </w:tr>
    </w:tbl>
    <w:p/>
    <w:p>
      <w:pPr>
        <w:pStyle w:val="Heading1"/>
      </w:pPr>
      <w:r>
        <w:t>4. Record of processing (what personal data the website holds)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E8E1CC"/>
          </w:tcPr>
          <w:p>
            <w:r>
              <w:rPr>
                <w:b/>
              </w:rPr>
            </w:r>
            <w:r>
              <w:rPr>
                <w:b/>
                <w:sz w:val="18"/>
              </w:rPr>
              <w:t>Data (tables)</w:t>
            </w:r>
          </w:p>
        </w:tc>
        <w:tc>
          <w:tcPr>
            <w:tcW w:type="dxa" w:w="1662"/>
            <w:shd w:val="clear" w:color="auto" w:fill="E8E1CC"/>
          </w:tcPr>
          <w:p>
            <w:r>
              <w:rPr>
                <w:b/>
              </w:rPr>
            </w:r>
            <w:r>
              <w:rPr>
                <w:b/>
                <w:sz w:val="18"/>
              </w:rPr>
              <w:t>People</w:t>
            </w:r>
          </w:p>
        </w:tc>
        <w:tc>
          <w:tcPr>
            <w:tcW w:type="dxa" w:w="1662"/>
            <w:shd w:val="clear" w:color="auto" w:fill="E8E1CC"/>
          </w:tcPr>
          <w:p>
            <w:r>
              <w:rPr>
                <w:b/>
              </w:rPr>
            </w:r>
            <w:r>
              <w:rPr>
                <w:b/>
                <w:sz w:val="18"/>
              </w:rPr>
              <w:t>Purpose</w:t>
            </w:r>
          </w:p>
        </w:tc>
        <w:tc>
          <w:tcPr>
            <w:tcW w:type="dxa" w:w="1662"/>
            <w:shd w:val="clear" w:color="auto" w:fill="E8E1CC"/>
          </w:tcPr>
          <w:p>
            <w:r>
              <w:rPr>
                <w:b/>
              </w:rPr>
            </w:r>
            <w:r>
              <w:rPr>
                <w:b/>
                <w:sz w:val="18"/>
              </w:rPr>
              <w:t>Lawful basis</w:t>
            </w:r>
          </w:p>
        </w:tc>
        <w:tc>
          <w:tcPr>
            <w:tcW w:type="dxa" w:w="1662"/>
            <w:shd w:val="clear" w:color="auto" w:fill="E8E1CC"/>
          </w:tcPr>
          <w:p>
            <w:r>
              <w:rPr>
                <w:b/>
              </w:rPr>
            </w:r>
            <w:r>
              <w:rPr>
                <w:b/>
                <w:sz w:val="18"/>
              </w:rPr>
              <w:t>Who can see it</w:t>
            </w:r>
          </w:p>
        </w:tc>
        <w:tc>
          <w:tcPr>
            <w:tcW w:type="dxa" w:w="1662"/>
            <w:shd w:val="clear" w:color="auto" w:fill="E8E1CC"/>
          </w:tcPr>
          <w:p>
            <w:r>
              <w:rPr>
                <w:b/>
              </w:rPr>
            </w:r>
            <w:r>
              <w:rPr>
                <w:b/>
                <w:sz w:val="18"/>
              </w:rPr>
              <w:t>Retention</w:t>
            </w:r>
          </w:p>
        </w:tc>
      </w:tr>
      <w:tr>
        <w:tc>
          <w:tcPr>
            <w:tcW w:type="dxa" w:w="1662"/>
          </w:tcPr>
          <w:p>
            <w:r/>
            <w:r>
              <w:rPr>
                <w:sz w:val="17"/>
              </w:rPr>
              <w:t>Account requests: name, university email, student number, course, year, note (</w:t>
            </w:r>
            <w:r>
              <w:rPr>
                <w:rFonts w:ascii="Consolas" w:hAnsi="Consolas"/>
                <w:sz w:val="18"/>
              </w:rPr>
              <w:t>account_requests</w:t>
            </w:r>
            <w:r>
              <w:rPr>
                <w:sz w:val="17"/>
              </w:rPr>
              <w:t xml:space="preserve">, </w:t>
            </w:r>
            <w:r>
              <w:rPr>
                <w:rFonts w:ascii="Consolas" w:hAnsi="Consolas"/>
                <w:sz w:val="18"/>
              </w:rPr>
              <w:t>pending_members</w:t>
            </w:r>
            <w:r>
              <w:rPr>
                <w:sz w:val="17"/>
              </w:rPr>
              <w:t>)</w:t>
            </w:r>
          </w:p>
        </w:tc>
        <w:tc>
          <w:tcPr>
            <w:tcW w:type="dxa" w:w="1662"/>
          </w:tcPr>
          <w:p>
            <w:r/>
            <w:r>
              <w:rPr>
                <w:sz w:val="17"/>
              </w:rPr>
              <w:t>Students</w:t>
            </w:r>
          </w:p>
        </w:tc>
        <w:tc>
          <w:tcPr>
            <w:tcW w:type="dxa" w:w="1662"/>
          </w:tcPr>
          <w:p>
            <w:r/>
            <w:r>
              <w:rPr>
                <w:sz w:val="17"/>
              </w:rPr>
              <w:t>Check membership, create account</w:t>
            </w:r>
          </w:p>
        </w:tc>
        <w:tc>
          <w:tcPr>
            <w:tcW w:type="dxa" w:w="1662"/>
          </w:tcPr>
          <w:p>
            <w:r/>
            <w:r>
              <w:rPr>
                <w:sz w:val="17"/>
              </w:rPr>
              <w:t>Legitimate interests / pre-contract steps</w:t>
            </w:r>
          </w:p>
        </w:tc>
        <w:tc>
          <w:tcPr>
            <w:tcW w:type="dxa" w:w="1662"/>
          </w:tcPr>
          <w:p>
            <w:r/>
            <w:r>
              <w:rPr>
                <w:sz w:val="17"/>
              </w:rPr>
              <w:t>Committee (approvers)</w:t>
            </w:r>
          </w:p>
        </w:tc>
        <w:tc>
          <w:tcPr>
            <w:tcW w:type="dxa" w:w="1662"/>
          </w:tcPr>
          <w:p>
            <w:r/>
            <w:r>
              <w:rPr>
                <w:sz w:val="17"/>
              </w:rPr>
              <w:t>Deleted 12 months after decision</w:t>
            </w:r>
          </w:p>
        </w:tc>
      </w:tr>
      <w:tr>
        <w:tc>
          <w:tcPr>
            <w:tcW w:type="dxa" w:w="1662"/>
          </w:tcPr>
          <w:p>
            <w:r/>
            <w:r>
              <w:rPr>
                <w:sz w:val="17"/>
              </w:rPr>
              <w:t>Member record: name, course, year, membership number, type, committee role (</w:t>
            </w:r>
            <w:r>
              <w:rPr>
                <w:rFonts w:ascii="Consolas" w:hAnsi="Consolas"/>
                <w:sz w:val="18"/>
              </w:rPr>
              <w:t>members</w:t>
            </w:r>
            <w:r>
              <w:rPr>
                <w:sz w:val="17"/>
              </w:rPr>
              <w:t>)</w:t>
            </w:r>
          </w:p>
        </w:tc>
        <w:tc>
          <w:tcPr>
            <w:tcW w:type="dxa" w:w="1662"/>
          </w:tcPr>
          <w:p>
            <w:r/>
            <w:r>
              <w:rPr>
                <w:sz w:val="17"/>
              </w:rPr>
              <w:t>Members</w:t>
            </w:r>
          </w:p>
        </w:tc>
        <w:tc>
          <w:tcPr>
            <w:tcW w:type="dxa" w:w="1662"/>
          </w:tcPr>
          <w:p>
            <w:r/>
            <w:r>
              <w:rPr>
                <w:sz w:val="17"/>
              </w:rPr>
              <w:t>Run membership, hub, perks</w:t>
            </w:r>
          </w:p>
        </w:tc>
        <w:tc>
          <w:tcPr>
            <w:tcW w:type="dxa" w:w="1662"/>
          </w:tcPr>
          <w:p>
            <w:r/>
            <w:r>
              <w:rPr>
                <w:sz w:val="17"/>
              </w:rPr>
              <w:t>Legitimate interests</w:t>
            </w:r>
          </w:p>
        </w:tc>
        <w:tc>
          <w:tcPr>
            <w:tcW w:type="dxa" w:w="1662"/>
          </w:tcPr>
          <w:p>
            <w:r/>
            <w:r>
              <w:rPr>
                <w:sz w:val="17"/>
              </w:rPr>
              <w:t>The person; committee per access rules</w:t>
            </w:r>
          </w:p>
        </w:tc>
        <w:tc>
          <w:tcPr>
            <w:tcW w:type="dxa" w:w="1662"/>
          </w:tcPr>
          <w:p>
            <w:r/>
            <w:r>
              <w:rPr>
                <w:sz w:val="17"/>
              </w:rPr>
              <w:t>While a member; inactive 12 months reviewed</w:t>
            </w:r>
          </w:p>
        </w:tc>
      </w:tr>
      <w:tr>
        <w:tc>
          <w:tcPr>
            <w:tcW w:type="dxa" w:w="1662"/>
          </w:tcPr>
          <w:p>
            <w:r/>
            <w:r>
              <w:rPr>
                <w:sz w:val="17"/>
              </w:rPr>
              <w:t>Profile: LinkedIn, bio (</w:t>
            </w:r>
            <w:r>
              <w:rPr>
                <w:rFonts w:ascii="Consolas" w:hAnsi="Consolas"/>
                <w:sz w:val="18"/>
              </w:rPr>
              <w:t>member_profiles</w:t>
            </w:r>
            <w:r>
              <w:rPr>
                <w:sz w:val="17"/>
              </w:rPr>
              <w:t>), Network choice (</w:t>
            </w:r>
            <w:r>
              <w:rPr>
                <w:rFonts w:ascii="Consolas" w:hAnsi="Consolas"/>
                <w:sz w:val="18"/>
              </w:rPr>
              <w:t>network_visibility</w:t>
            </w:r>
            <w:r>
              <w:rPr>
                <w:sz w:val="17"/>
              </w:rPr>
              <w:t>)</w:t>
            </w:r>
          </w:p>
        </w:tc>
        <w:tc>
          <w:tcPr>
            <w:tcW w:type="dxa" w:w="1662"/>
          </w:tcPr>
          <w:p>
            <w:r/>
            <w:r>
              <w:rPr>
                <w:sz w:val="17"/>
              </w:rPr>
              <w:t>Members</w:t>
            </w:r>
          </w:p>
        </w:tc>
        <w:tc>
          <w:tcPr>
            <w:tcW w:type="dxa" w:w="1662"/>
          </w:tcPr>
          <w:p>
            <w:r/>
            <w:r>
              <w:rPr>
                <w:sz w:val="17"/>
              </w:rPr>
              <w:t>Network (listed by default; members can opt out)</w:t>
            </w:r>
          </w:p>
        </w:tc>
        <w:tc>
          <w:tcPr>
            <w:tcW w:type="dxa" w:w="1662"/>
          </w:tcPr>
          <w:p>
            <w:r/>
            <w:r>
              <w:rPr>
                <w:b/>
                <w:sz w:val="17"/>
              </w:rPr>
              <w:t>Legitimate interests, with an easy opt-out</w:t>
            </w:r>
          </w:p>
        </w:tc>
        <w:tc>
          <w:tcPr>
            <w:tcW w:type="dxa" w:w="1662"/>
          </w:tcPr>
          <w:p>
            <w:r/>
            <w:r>
              <w:rPr>
                <w:sz w:val="17"/>
              </w:rPr>
              <w:t>People with Network access</w:t>
            </w:r>
          </w:p>
        </w:tc>
        <w:tc>
          <w:tcPr>
            <w:tcW w:type="dxa" w:w="1662"/>
          </w:tcPr>
          <w:p>
            <w:r/>
            <w:r>
              <w:rPr>
                <w:sz w:val="17"/>
              </w:rPr>
              <w:t>As above</w:t>
            </w:r>
          </w:p>
        </w:tc>
      </w:tr>
      <w:tr>
        <w:tc>
          <w:tcPr>
            <w:tcW w:type="dxa" w:w="1662"/>
          </w:tcPr>
          <w:p>
            <w:r/>
            <w:r>
              <w:rPr>
                <w:sz w:val="17"/>
              </w:rPr>
              <w:t>Student number (</w:t>
            </w:r>
            <w:r>
              <w:rPr>
                <w:rFonts w:ascii="Consolas" w:hAnsi="Consolas"/>
                <w:sz w:val="18"/>
              </w:rPr>
              <w:t>members</w:t>
            </w:r>
            <w:r>
              <w:rPr>
                <w:sz w:val="17"/>
              </w:rPr>
              <w:t xml:space="preserve">, </w:t>
            </w:r>
            <w:r>
              <w:rPr>
                <w:rFonts w:ascii="Consolas" w:hAnsi="Consolas"/>
                <w:sz w:val="18"/>
              </w:rPr>
              <w:t>account_requests</w:t>
            </w:r>
            <w:r>
              <w:rPr>
                <w:sz w:val="17"/>
              </w:rPr>
              <w:t>)</w:t>
            </w:r>
          </w:p>
        </w:tc>
        <w:tc>
          <w:tcPr>
            <w:tcW w:type="dxa" w:w="1662"/>
          </w:tcPr>
          <w:p>
            <w:r/>
            <w:r>
              <w:rPr>
                <w:sz w:val="17"/>
              </w:rPr>
              <w:t>Members</w:t>
            </w:r>
          </w:p>
        </w:tc>
        <w:tc>
          <w:tcPr>
            <w:tcW w:type="dxa" w:w="1662"/>
          </w:tcPr>
          <w:p>
            <w:r/>
            <w:r>
              <w:rPr>
                <w:sz w:val="17"/>
              </w:rPr>
              <w:t>Match to ULSU list</w:t>
            </w:r>
          </w:p>
        </w:tc>
        <w:tc>
          <w:tcPr>
            <w:tcW w:type="dxa" w:w="1662"/>
          </w:tcPr>
          <w:p>
            <w:r/>
            <w:r>
              <w:rPr>
                <w:sz w:val="17"/>
              </w:rPr>
              <w:t>Legitimate interests</w:t>
            </w:r>
          </w:p>
        </w:tc>
        <w:tc>
          <w:tcPr>
            <w:tcW w:type="dxa" w:w="1662"/>
          </w:tcPr>
          <w:p>
            <w:r/>
            <w:r>
              <w:rPr>
                <w:sz w:val="17"/>
              </w:rPr>
              <w:t>The person; approvers</w:t>
            </w:r>
          </w:p>
        </w:tc>
        <w:tc>
          <w:tcPr>
            <w:tcW w:type="dxa" w:w="1662"/>
          </w:tcPr>
          <w:p>
            <w:r/>
            <w:r>
              <w:rPr>
                <w:sz w:val="17"/>
              </w:rPr>
              <w:t>As above</w:t>
            </w:r>
          </w:p>
        </w:tc>
      </w:tr>
      <w:tr>
        <w:tc>
          <w:tcPr>
            <w:tcW w:type="dxa" w:w="1662"/>
          </w:tcPr>
          <w:p>
            <w:r/>
            <w:r>
              <w:rPr>
                <w:sz w:val="17"/>
              </w:rPr>
              <w:t>Professionals: name, email, title, organisation, category, specialty, bio, photo, LinkedIn (</w:t>
            </w:r>
            <w:r>
              <w:rPr>
                <w:rFonts w:ascii="Consolas" w:hAnsi="Consolas"/>
                <w:sz w:val="18"/>
              </w:rPr>
              <w:t>network_professionals</w:t>
            </w:r>
            <w:r>
              <w:rPr>
                <w:sz w:val="17"/>
              </w:rPr>
              <w:t xml:space="preserve">, </w:t>
            </w:r>
            <w:r>
              <w:rPr>
                <w:rFonts w:ascii="Consolas" w:hAnsi="Consolas"/>
                <w:sz w:val="18"/>
              </w:rPr>
              <w:t>professional_requests</w:t>
            </w:r>
            <w:r>
              <w:rPr>
                <w:sz w:val="17"/>
              </w:rPr>
              <w:t>)</w:t>
            </w:r>
          </w:p>
        </w:tc>
        <w:tc>
          <w:tcPr>
            <w:tcW w:type="dxa" w:w="1662"/>
          </w:tcPr>
          <w:p>
            <w:r/>
            <w:r>
              <w:rPr>
                <w:sz w:val="17"/>
              </w:rPr>
              <w:t>Professionals</w:t>
            </w:r>
          </w:p>
        </w:tc>
        <w:tc>
          <w:tcPr>
            <w:tcW w:type="dxa" w:w="1662"/>
          </w:tcPr>
          <w:p>
            <w:r/>
            <w:r>
              <w:rPr>
                <w:sz w:val="17"/>
              </w:rPr>
              <w:t>Approve and show in Network</w:t>
            </w:r>
          </w:p>
        </w:tc>
        <w:tc>
          <w:tcPr>
            <w:tcW w:type="dxa" w:w="1662"/>
          </w:tcPr>
          <w:p>
            <w:r/>
            <w:r>
              <w:rPr>
                <w:sz w:val="17"/>
              </w:rPr>
              <w:t>Consent (Network); legitimate interests</w:t>
            </w:r>
          </w:p>
        </w:tc>
        <w:tc>
          <w:tcPr>
            <w:tcW w:type="dxa" w:w="1662"/>
          </w:tcPr>
          <w:p>
            <w:r/>
            <w:r>
              <w:rPr>
                <w:sz w:val="17"/>
              </w:rPr>
              <w:t>Signed-in members (Network)</w:t>
            </w:r>
          </w:p>
        </w:tc>
        <w:tc>
          <w:tcPr>
            <w:tcW w:type="dxa" w:w="1662"/>
          </w:tcPr>
          <w:p>
            <w:r/>
            <w:r>
              <w:rPr>
                <w:sz w:val="17"/>
              </w:rPr>
              <w:t>Request 12 months after decision; profile while active</w:t>
            </w:r>
          </w:p>
        </w:tc>
      </w:tr>
      <w:tr>
        <w:tc>
          <w:tcPr>
            <w:tcW w:type="dxa" w:w="1662"/>
          </w:tcPr>
          <w:p>
            <w:r/>
            <w:r>
              <w:rPr>
                <w:sz w:val="17"/>
              </w:rPr>
              <w:t>Mentor applications (</w:t>
            </w:r>
            <w:r>
              <w:rPr>
                <w:rFonts w:ascii="Consolas" w:hAnsi="Consolas"/>
                <w:sz w:val="18"/>
              </w:rPr>
              <w:t>sankofa_mentor_applications</w:t>
            </w:r>
            <w:r>
              <w:rPr>
                <w:sz w:val="17"/>
              </w:rPr>
              <w:t>) and guest mentors (</w:t>
            </w:r>
            <w:r>
              <w:rPr>
                <w:rFonts w:ascii="Consolas" w:hAnsi="Consolas"/>
                <w:sz w:val="18"/>
              </w:rPr>
              <w:t>sankofa_guest_mentors</w:t>
            </w:r>
            <w:r>
              <w:rPr>
                <w:sz w:val="17"/>
              </w:rPr>
              <w:t>)</w:t>
            </w:r>
          </w:p>
        </w:tc>
        <w:tc>
          <w:tcPr>
            <w:tcW w:type="dxa" w:w="1662"/>
          </w:tcPr>
          <w:p>
            <w:r/>
            <w:r>
              <w:rPr>
                <w:sz w:val="17"/>
              </w:rPr>
              <w:t>Doctors</w:t>
            </w:r>
          </w:p>
        </w:tc>
        <w:tc>
          <w:tcPr>
            <w:tcW w:type="dxa" w:w="1662"/>
          </w:tcPr>
          <w:p>
            <w:r/>
            <w:r>
              <w:rPr>
                <w:sz w:val="17"/>
              </w:rPr>
              <w:t>Review; place in Circles</w:t>
            </w:r>
          </w:p>
        </w:tc>
        <w:tc>
          <w:tcPr>
            <w:tcW w:type="dxa" w:w="1662"/>
          </w:tcPr>
          <w:p>
            <w:r/>
            <w:r>
              <w:rPr>
                <w:sz w:val="17"/>
              </w:rPr>
              <w:t>Legitimate interests</w:t>
            </w:r>
          </w:p>
        </w:tc>
        <w:tc>
          <w:tcPr>
            <w:tcW w:type="dxa" w:w="1662"/>
          </w:tcPr>
          <w:p>
            <w:r/>
            <w:r>
              <w:rPr>
                <w:sz w:val="17"/>
              </w:rPr>
              <w:t>Committee; Circle members see name/role</w:t>
            </w:r>
          </w:p>
        </w:tc>
        <w:tc>
          <w:tcPr>
            <w:tcW w:type="dxa" w:w="1662"/>
          </w:tcPr>
          <w:p>
            <w:r/>
            <w:r>
              <w:rPr>
                <w:sz w:val="17"/>
              </w:rPr>
              <w:t>24 months</w:t>
            </w:r>
          </w:p>
        </w:tc>
      </w:tr>
      <w:tr>
        <w:tc>
          <w:tcPr>
            <w:tcW w:type="dxa" w:w="1662"/>
          </w:tcPr>
          <w:p>
            <w:r/>
            <w:r>
              <w:rPr>
                <w:sz w:val="17"/>
              </w:rPr>
              <w:t>Sankofa applications and Hub: interests, heritage (optional), goals, check-ins (mood), posts, RSVPs, XP (</w:t>
            </w:r>
            <w:r>
              <w:rPr>
                <w:rFonts w:ascii="Consolas" w:hAnsi="Consolas"/>
                <w:sz w:val="18"/>
              </w:rPr>
              <w:t>sankofa_*</w:t>
            </w:r>
            <w:r>
              <w:rPr>
                <w:sz w:val="17"/>
              </w:rPr>
              <w:t>)</w:t>
            </w:r>
          </w:p>
        </w:tc>
        <w:tc>
          <w:tcPr>
            <w:tcW w:type="dxa" w:w="1662"/>
          </w:tcPr>
          <w:p>
            <w:r/>
            <w:r>
              <w:rPr>
                <w:sz w:val="17"/>
              </w:rPr>
              <w:t>Participants</w:t>
            </w:r>
          </w:p>
        </w:tc>
        <w:tc>
          <w:tcPr>
            <w:tcW w:type="dxa" w:w="1662"/>
          </w:tcPr>
          <w:p>
            <w:r/>
            <w:r>
              <w:rPr>
                <w:sz w:val="17"/>
              </w:rPr>
              <w:t>Matching and Circles</w:t>
            </w:r>
          </w:p>
        </w:tc>
        <w:tc>
          <w:tcPr>
            <w:tcW w:type="dxa" w:w="1662"/>
          </w:tcPr>
          <w:p>
            <w:r/>
            <w:r>
              <w:rPr>
                <w:sz w:val="17"/>
              </w:rPr>
              <w:t xml:space="preserve">Legitimate interests; </w:t>
            </w:r>
            <w:r>
              <w:rPr>
                <w:b/>
                <w:sz w:val="17"/>
              </w:rPr>
              <w:t>explicit consent</w:t>
            </w:r>
            <w:r>
              <w:rPr>
                <w:sz w:val="17"/>
              </w:rPr>
              <w:t xml:space="preserve"> for heritage and mood</w:t>
            </w:r>
          </w:p>
        </w:tc>
        <w:tc>
          <w:tcPr>
            <w:tcW w:type="dxa" w:w="1662"/>
          </w:tcPr>
          <w:p>
            <w:r/>
            <w:r>
              <w:rPr>
                <w:sz w:val="17"/>
              </w:rPr>
              <w:t>Sankofa managers; Circle mentors (check-ins and shared goals)</w:t>
            </w:r>
          </w:p>
        </w:tc>
        <w:tc>
          <w:tcPr>
            <w:tcW w:type="dxa" w:w="1662"/>
          </w:tcPr>
          <w:p>
            <w:r/>
            <w:r>
              <w:rPr>
                <w:sz w:val="17"/>
              </w:rPr>
              <w:t>While participating; erased on request</w:t>
            </w:r>
          </w:p>
        </w:tc>
      </w:tr>
      <w:tr>
        <w:tc>
          <w:tcPr>
            <w:tcW w:type="dxa" w:w="1662"/>
          </w:tcPr>
          <w:p>
            <w:r/>
            <w:r>
              <w:rPr>
                <w:sz w:val="17"/>
              </w:rPr>
              <w:t>Messages, blocks, reports (</w:t>
            </w:r>
            <w:r>
              <w:rPr>
                <w:rFonts w:ascii="Consolas" w:hAnsi="Consolas"/>
                <w:sz w:val="18"/>
              </w:rPr>
              <w:t>chat_*</w:t>
            </w:r>
            <w:r>
              <w:rPr>
                <w:sz w:val="17"/>
              </w:rPr>
              <w:t>)</w:t>
            </w:r>
          </w:p>
        </w:tc>
        <w:tc>
          <w:tcPr>
            <w:tcW w:type="dxa" w:w="1662"/>
          </w:tcPr>
          <w:p>
            <w:r/>
            <w:r>
              <w:rPr>
                <w:sz w:val="17"/>
              </w:rPr>
              <w:t>Members</w:t>
            </w:r>
          </w:p>
        </w:tc>
        <w:tc>
          <w:tcPr>
            <w:tcW w:type="dxa" w:w="1662"/>
          </w:tcPr>
          <w:p>
            <w:r/>
            <w:r>
              <w:rPr>
                <w:sz w:val="17"/>
              </w:rPr>
              <w:t>Messaging; moderation</w:t>
            </w:r>
          </w:p>
        </w:tc>
        <w:tc>
          <w:tcPr>
            <w:tcW w:type="dxa" w:w="1662"/>
          </w:tcPr>
          <w:p>
            <w:r/>
            <w:r>
              <w:rPr>
                <w:sz w:val="17"/>
              </w:rPr>
              <w:t>Legitimate interests; legal obligation / vital interests</w:t>
            </w:r>
          </w:p>
        </w:tc>
        <w:tc>
          <w:tcPr>
            <w:tcW w:type="dxa" w:w="1662"/>
          </w:tcPr>
          <w:p>
            <w:r/>
            <w:r>
              <w:rPr>
                <w:sz w:val="17"/>
              </w:rPr>
              <w:t>Participants; committee for reported messages only</w:t>
            </w:r>
          </w:p>
        </w:tc>
        <w:tc>
          <w:tcPr>
            <w:tcW w:type="dxa" w:w="1662"/>
          </w:tcPr>
          <w:p>
            <w:r/>
            <w:r>
              <w:rPr>
                <w:sz w:val="17"/>
              </w:rPr>
              <w:t>Deleted messages 30 days; reports 24 months after resolution</w:t>
            </w:r>
          </w:p>
        </w:tc>
      </w:tr>
      <w:tr>
        <w:tc>
          <w:tcPr>
            <w:tcW w:type="dxa" w:w="1662"/>
          </w:tcPr>
          <w:p>
            <w:r/>
            <w:r>
              <w:rPr>
                <w:sz w:val="17"/>
              </w:rPr>
              <w:t>Events, nominations, comments, likes, resources, perk use, XP and badges (</w:t>
            </w:r>
            <w:r>
              <w:rPr>
                <w:rFonts w:ascii="Consolas" w:hAnsi="Consolas"/>
                <w:sz w:val="18"/>
              </w:rPr>
              <w:t>event_registrations</w:t>
            </w:r>
            <w:r>
              <w:rPr>
                <w:sz w:val="17"/>
              </w:rPr>
              <w:t xml:space="preserve">, </w:t>
            </w:r>
            <w:r>
              <w:rPr>
                <w:rFonts w:ascii="Consolas" w:hAnsi="Consolas"/>
                <w:sz w:val="18"/>
              </w:rPr>
              <w:t>motm_*</w:t>
            </w:r>
            <w:r>
              <w:rPr>
                <w:sz w:val="17"/>
              </w:rPr>
              <w:t xml:space="preserve">, </w:t>
            </w:r>
            <w:r>
              <w:rPr>
                <w:rFonts w:ascii="Consolas" w:hAnsi="Consolas"/>
                <w:sz w:val="18"/>
              </w:rPr>
              <w:t>news_*</w:t>
            </w:r>
            <w:r>
              <w:rPr>
                <w:sz w:val="17"/>
              </w:rPr>
              <w:t xml:space="preserve">, </w:t>
            </w:r>
            <w:r>
              <w:rPr>
                <w:rFonts w:ascii="Consolas" w:hAnsi="Consolas"/>
                <w:sz w:val="18"/>
              </w:rPr>
              <w:t>resource_*</w:t>
            </w:r>
            <w:r>
              <w:rPr>
                <w:sz w:val="17"/>
              </w:rPr>
              <w:t xml:space="preserve">, </w:t>
            </w:r>
            <w:r>
              <w:rPr>
                <w:rFonts w:ascii="Consolas" w:hAnsi="Consolas"/>
                <w:sz w:val="18"/>
              </w:rPr>
              <w:t>discount_usage</w:t>
            </w:r>
            <w:r>
              <w:rPr>
                <w:sz w:val="17"/>
              </w:rPr>
              <w:t xml:space="preserve">, </w:t>
            </w:r>
            <w:r>
              <w:rPr>
                <w:rFonts w:ascii="Consolas" w:hAnsi="Consolas"/>
                <w:sz w:val="18"/>
              </w:rPr>
              <w:t>member_*</w:t>
            </w:r>
            <w:r>
              <w:rPr>
                <w:sz w:val="17"/>
              </w:rPr>
              <w:t>)</w:t>
            </w:r>
          </w:p>
        </w:tc>
        <w:tc>
          <w:tcPr>
            <w:tcW w:type="dxa" w:w="1662"/>
          </w:tcPr>
          <w:p>
            <w:r/>
            <w:r>
              <w:rPr>
                <w:sz w:val="17"/>
              </w:rPr>
              <w:t>Members</w:t>
            </w:r>
          </w:p>
        </w:tc>
        <w:tc>
          <w:tcPr>
            <w:tcW w:type="dxa" w:w="1662"/>
          </w:tcPr>
          <w:p>
            <w:r/>
            <w:r>
              <w:rPr>
                <w:sz w:val="17"/>
              </w:rPr>
              <w:t>Run activities</w:t>
            </w:r>
          </w:p>
        </w:tc>
        <w:tc>
          <w:tcPr>
            <w:tcW w:type="dxa" w:w="1662"/>
          </w:tcPr>
          <w:p>
            <w:r/>
            <w:r>
              <w:rPr>
                <w:sz w:val="17"/>
              </w:rPr>
              <w:t>Legitimate interests</w:t>
            </w:r>
          </w:p>
        </w:tc>
        <w:tc>
          <w:tcPr>
            <w:tcW w:type="dxa" w:w="1662"/>
          </w:tcPr>
          <w:p>
            <w:r/>
            <w:r>
              <w:rPr>
                <w:sz w:val="17"/>
              </w:rPr>
              <w:t>Committee; public where published</w:t>
            </w:r>
          </w:p>
        </w:tc>
        <w:tc>
          <w:tcPr>
            <w:tcW w:type="dxa" w:w="1662"/>
          </w:tcPr>
          <w:p>
            <w:r/>
            <w:r>
              <w:rPr>
                <w:sz w:val="17"/>
              </w:rPr>
              <w:t>While member</w:t>
            </w:r>
          </w:p>
        </w:tc>
      </w:tr>
      <w:tr>
        <w:tc>
          <w:tcPr>
            <w:tcW w:type="dxa" w:w="1662"/>
          </w:tcPr>
          <w:p>
            <w:r/>
            <w:r>
              <w:rPr>
                <w:sz w:val="17"/>
              </w:rPr>
              <w:t>Event feedback (</w:t>
            </w:r>
            <w:r>
              <w:rPr>
                <w:rFonts w:ascii="Consolas" w:hAnsi="Consolas"/>
                <w:sz w:val="18"/>
              </w:rPr>
              <w:t>event_feedback</w:t>
            </w:r>
            <w:r>
              <w:rPr>
                <w:sz w:val="17"/>
              </w:rPr>
              <w:t>)</w:t>
            </w:r>
          </w:p>
        </w:tc>
        <w:tc>
          <w:tcPr>
            <w:tcW w:type="dxa" w:w="1662"/>
          </w:tcPr>
          <w:p>
            <w:r/>
            <w:r>
              <w:rPr>
                <w:sz w:val="17"/>
              </w:rPr>
              <w:t>Members and guests</w:t>
            </w:r>
          </w:p>
        </w:tc>
        <w:tc>
          <w:tcPr>
            <w:tcW w:type="dxa" w:w="1662"/>
          </w:tcPr>
          <w:p>
            <w:r/>
            <w:r>
              <w:rPr>
                <w:sz w:val="17"/>
              </w:rPr>
              <w:t>Improve events</w:t>
            </w:r>
          </w:p>
        </w:tc>
        <w:tc>
          <w:tcPr>
            <w:tcW w:type="dxa" w:w="1662"/>
          </w:tcPr>
          <w:p>
            <w:r/>
            <w:r>
              <w:rPr>
                <w:sz w:val="17"/>
              </w:rPr>
              <w:t>Legitimate interests (anonymous option)</w:t>
            </w:r>
          </w:p>
        </w:tc>
        <w:tc>
          <w:tcPr>
            <w:tcW w:type="dxa" w:w="1662"/>
          </w:tcPr>
          <w:p>
            <w:r/>
            <w:r>
              <w:rPr>
                <w:sz w:val="17"/>
              </w:rPr>
              <w:t>Committee; partners see anonymised results</w:t>
            </w:r>
          </w:p>
        </w:tc>
        <w:tc>
          <w:tcPr>
            <w:tcW w:type="dxa" w:w="1662"/>
          </w:tcPr>
          <w:p>
            <w:r/>
            <w:r>
              <w:rPr>
                <w:sz w:val="17"/>
              </w:rPr>
              <w:t>Anonymised on erasure</w:t>
            </w:r>
          </w:p>
        </w:tc>
      </w:tr>
      <w:tr>
        <w:tc>
          <w:tcPr>
            <w:tcW w:type="dxa" w:w="1662"/>
          </w:tcPr>
          <w:p>
            <w:r/>
            <w:r>
              <w:rPr>
                <w:sz w:val="17"/>
              </w:rPr>
              <w:t>Visit counts (</w:t>
            </w:r>
            <w:r>
              <w:rPr>
                <w:rFonts w:ascii="Consolas" w:hAnsi="Consolas"/>
                <w:sz w:val="18"/>
              </w:rPr>
              <w:t>page_views</w:t>
            </w:r>
            <w:r>
              <w:rPr>
                <w:sz w:val="17"/>
              </w:rPr>
              <w:t xml:space="preserve">, </w:t>
            </w:r>
            <w:r>
              <w:rPr>
                <w:rFonts w:ascii="Consolas" w:hAnsi="Consolas"/>
                <w:sz w:val="18"/>
              </w:rPr>
              <w:t>qr_scans</w:t>
            </w:r>
            <w:r>
              <w:rPr>
                <w:sz w:val="17"/>
              </w:rPr>
              <w:t>)</w:t>
            </w:r>
          </w:p>
        </w:tc>
        <w:tc>
          <w:tcPr>
            <w:tcW w:type="dxa" w:w="1662"/>
          </w:tcPr>
          <w:p>
            <w:r/>
            <w:r>
              <w:rPr>
                <w:sz w:val="17"/>
              </w:rPr>
              <w:t>Visitors</w:t>
            </w:r>
          </w:p>
        </w:tc>
        <w:tc>
          <w:tcPr>
            <w:tcW w:type="dxa" w:w="1662"/>
          </w:tcPr>
          <w:p>
            <w:r/>
            <w:r>
              <w:rPr>
                <w:sz w:val="17"/>
              </w:rPr>
              <w:t>Understand site use</w:t>
            </w:r>
          </w:p>
        </w:tc>
        <w:tc>
          <w:tcPr>
            <w:tcW w:type="dxa" w:w="1662"/>
          </w:tcPr>
          <w:p>
            <w:r/>
            <w:r>
              <w:rPr>
                <w:b/>
                <w:sz w:val="17"/>
              </w:rPr>
              <w:t>Consent</w:t>
            </w:r>
            <w:r>
              <w:rPr>
                <w:sz w:val="17"/>
              </w:rPr>
              <w:t xml:space="preserve"> (page views); none identifying (QR scans)</w:t>
            </w:r>
          </w:p>
        </w:tc>
        <w:tc>
          <w:tcPr>
            <w:tcW w:type="dxa" w:w="1662"/>
          </w:tcPr>
          <w:p>
            <w:r/>
            <w:r>
              <w:rPr>
                <w:sz w:val="17"/>
              </w:rPr>
              <w:t>Committee</w:t>
            </w:r>
          </w:p>
        </w:tc>
        <w:tc>
          <w:tcPr>
            <w:tcW w:type="dxa" w:w="1662"/>
          </w:tcPr>
          <w:p>
            <w:r/>
            <w:r>
              <w:rPr>
                <w:sz w:val="17"/>
              </w:rPr>
              <w:t>14 months</w:t>
            </w:r>
          </w:p>
        </w:tc>
      </w:tr>
      <w:tr>
        <w:tc>
          <w:tcPr>
            <w:tcW w:type="dxa" w:w="1662"/>
          </w:tcPr>
          <w:p>
            <w:r/>
            <w:r>
              <w:rPr>
                <w:sz w:val="17"/>
              </w:rPr>
              <w:t>Email records (</w:t>
            </w:r>
            <w:r>
              <w:rPr>
                <w:rFonts w:ascii="Consolas" w:hAnsi="Consolas"/>
                <w:sz w:val="18"/>
              </w:rPr>
              <w:t>email_log</w:t>
            </w:r>
            <w:r>
              <w:rPr>
                <w:sz w:val="17"/>
              </w:rPr>
              <w:t xml:space="preserve">, </w:t>
            </w:r>
            <w:r>
              <w:rPr>
                <w:rFonts w:ascii="Consolas" w:hAnsi="Consolas"/>
                <w:sz w:val="18"/>
              </w:rPr>
              <w:t>*_emails</w:t>
            </w:r>
            <w:r>
              <w:rPr>
                <w:sz w:val="17"/>
              </w:rPr>
              <w:t>)</w:t>
            </w:r>
          </w:p>
        </w:tc>
        <w:tc>
          <w:tcPr>
            <w:tcW w:type="dxa" w:w="1662"/>
          </w:tcPr>
          <w:p>
            <w:r/>
            <w:r>
              <w:rPr>
                <w:sz w:val="17"/>
              </w:rPr>
              <w:t>Recipients</w:t>
            </w:r>
          </w:p>
        </w:tc>
        <w:tc>
          <w:tcPr>
            <w:tcW w:type="dxa" w:w="1662"/>
          </w:tcPr>
          <w:p>
            <w:r/>
            <w:r>
              <w:rPr>
                <w:sz w:val="17"/>
              </w:rPr>
              <w:t>Prove what was sent</w:t>
            </w:r>
          </w:p>
        </w:tc>
        <w:tc>
          <w:tcPr>
            <w:tcW w:type="dxa" w:w="1662"/>
          </w:tcPr>
          <w:p>
            <w:r/>
            <w:r>
              <w:rPr>
                <w:sz w:val="17"/>
              </w:rPr>
              <w:t>Legitimate interests</w:t>
            </w:r>
          </w:p>
        </w:tc>
        <w:tc>
          <w:tcPr>
            <w:tcW w:type="dxa" w:w="1662"/>
          </w:tcPr>
          <w:p>
            <w:r/>
            <w:r>
              <w:rPr>
                <w:sz w:val="17"/>
              </w:rPr>
              <w:t>Committee</w:t>
            </w:r>
          </w:p>
        </w:tc>
        <w:tc>
          <w:tcPr>
            <w:tcW w:type="dxa" w:w="1662"/>
          </w:tcPr>
          <w:p>
            <w:r/>
            <w:r>
              <w:rPr>
                <w:sz w:val="17"/>
              </w:rPr>
              <w:t>24 months</w:t>
            </w:r>
          </w:p>
        </w:tc>
      </w:tr>
      <w:tr>
        <w:tc>
          <w:tcPr>
            <w:tcW w:type="dxa" w:w="1662"/>
          </w:tcPr>
          <w:p>
            <w:r/>
            <w:r>
              <w:rPr>
                <w:sz w:val="17"/>
              </w:rPr>
              <w:t>Admin previews (</w:t>
            </w:r>
            <w:r>
              <w:rPr>
                <w:rFonts w:ascii="Consolas" w:hAnsi="Consolas"/>
                <w:sz w:val="18"/>
              </w:rPr>
              <w:t>view_as_log</w:t>
            </w:r>
            <w:r>
              <w:rPr>
                <w:sz w:val="17"/>
              </w:rPr>
              <w:t>)</w:t>
            </w:r>
          </w:p>
        </w:tc>
        <w:tc>
          <w:tcPr>
            <w:tcW w:type="dxa" w:w="1662"/>
          </w:tcPr>
          <w:p>
            <w:r/>
            <w:r>
              <w:rPr>
                <w:sz w:val="17"/>
              </w:rPr>
              <w:t>Members</w:t>
            </w:r>
          </w:p>
        </w:tc>
        <w:tc>
          <w:tcPr>
            <w:tcW w:type="dxa" w:w="1662"/>
          </w:tcPr>
          <w:p>
            <w:r/>
            <w:r>
              <w:rPr>
                <w:sz w:val="17"/>
              </w:rPr>
              <w:t>Accountability</w:t>
            </w:r>
          </w:p>
        </w:tc>
        <w:tc>
          <w:tcPr>
            <w:tcW w:type="dxa" w:w="1662"/>
          </w:tcPr>
          <w:p>
            <w:r/>
            <w:r>
              <w:rPr>
                <w:sz w:val="17"/>
              </w:rPr>
              <w:t>Legitimate interests</w:t>
            </w:r>
          </w:p>
        </w:tc>
        <w:tc>
          <w:tcPr>
            <w:tcW w:type="dxa" w:w="1662"/>
          </w:tcPr>
          <w:p>
            <w:r/>
            <w:r>
              <w:rPr>
                <w:sz w:val="17"/>
              </w:rPr>
              <w:t>Committee</w:t>
            </w:r>
          </w:p>
        </w:tc>
        <w:tc>
          <w:tcPr>
            <w:tcW w:type="dxa" w:w="1662"/>
          </w:tcPr>
          <w:p>
            <w:r/>
            <w:r>
              <w:rPr>
                <w:sz w:val="17"/>
              </w:rPr>
              <w:t>12 months</w:t>
            </w:r>
          </w:p>
        </w:tc>
      </w:tr>
      <w:tr>
        <w:tc>
          <w:tcPr>
            <w:tcW w:type="dxa" w:w="1662"/>
          </w:tcPr>
          <w:p>
            <w:r/>
            <w:r>
              <w:rPr>
                <w:sz w:val="17"/>
              </w:rPr>
              <w:t>Data requests (</w:t>
            </w:r>
            <w:r>
              <w:rPr>
                <w:rFonts w:ascii="Consolas" w:hAnsi="Consolas"/>
                <w:sz w:val="18"/>
              </w:rPr>
              <w:t>compliance_requests</w:t>
            </w:r>
            <w:r>
              <w:rPr>
                <w:sz w:val="17"/>
              </w:rPr>
              <w:t>)</w:t>
            </w:r>
          </w:p>
        </w:tc>
        <w:tc>
          <w:tcPr>
            <w:tcW w:type="dxa" w:w="1662"/>
          </w:tcPr>
          <w:p>
            <w:r/>
            <w:r>
              <w:rPr>
                <w:sz w:val="17"/>
              </w:rPr>
              <w:t>Requesters</w:t>
            </w:r>
          </w:p>
        </w:tc>
        <w:tc>
          <w:tcPr>
            <w:tcW w:type="dxa" w:w="1662"/>
          </w:tcPr>
          <w:p>
            <w:r/>
            <w:r>
              <w:rPr>
                <w:sz w:val="17"/>
              </w:rPr>
              <w:t>Meet legal duties</w:t>
            </w:r>
          </w:p>
        </w:tc>
        <w:tc>
          <w:tcPr>
            <w:tcW w:type="dxa" w:w="1662"/>
          </w:tcPr>
          <w:p>
            <w:r/>
            <w:r>
              <w:rPr>
                <w:sz w:val="17"/>
              </w:rPr>
              <w:t>Legal obligation</w:t>
            </w:r>
          </w:p>
        </w:tc>
        <w:tc>
          <w:tcPr>
            <w:tcW w:type="dxa" w:w="1662"/>
          </w:tcPr>
          <w:p>
            <w:r/>
            <w:r>
              <w:rPr>
                <w:sz w:val="17"/>
              </w:rPr>
              <w:t>Committee</w:t>
            </w:r>
          </w:p>
        </w:tc>
        <w:tc>
          <w:tcPr>
            <w:tcW w:type="dxa" w:w="1662"/>
          </w:tcPr>
          <w:p>
            <w:r/>
            <w:r>
              <w:rPr>
                <w:sz w:val="17"/>
              </w:rPr>
              <w:t>3 years after closing</w:t>
            </w:r>
          </w:p>
        </w:tc>
      </w:tr>
      <w:tr>
        <w:tc>
          <w:tcPr>
            <w:tcW w:type="dxa" w:w="1662"/>
          </w:tcPr>
          <w:p>
            <w:r/>
            <w:r>
              <w:rPr>
                <w:sz w:val="17"/>
              </w:rPr>
              <w:t>Preferences and acknowledgements (</w:t>
            </w:r>
            <w:r>
              <w:rPr>
                <w:rFonts w:ascii="Consolas" w:hAnsi="Consolas"/>
                <w:sz w:val="18"/>
              </w:rPr>
              <w:t>email_preferences</w:t>
            </w:r>
            <w:r>
              <w:rPr>
                <w:sz w:val="17"/>
              </w:rPr>
              <w:t xml:space="preserve">, </w:t>
            </w:r>
            <w:r>
              <w:rPr>
                <w:rFonts w:ascii="Consolas" w:hAnsi="Consolas"/>
                <w:sz w:val="18"/>
              </w:rPr>
              <w:t>privacy_acknowledgements</w:t>
            </w:r>
            <w:r>
              <w:rPr>
                <w:sz w:val="17"/>
              </w:rPr>
              <w:t>)</w:t>
            </w:r>
          </w:p>
        </w:tc>
        <w:tc>
          <w:tcPr>
            <w:tcW w:type="dxa" w:w="1662"/>
          </w:tcPr>
          <w:p>
            <w:r/>
            <w:r>
              <w:rPr>
                <w:sz w:val="17"/>
              </w:rPr>
              <w:t>Members</w:t>
            </w:r>
          </w:p>
        </w:tc>
        <w:tc>
          <w:tcPr>
            <w:tcW w:type="dxa" w:w="1662"/>
          </w:tcPr>
          <w:p>
            <w:r/>
            <w:r>
              <w:rPr>
                <w:sz w:val="17"/>
              </w:rPr>
              <w:t>Respect choices; show notice changes</w:t>
            </w:r>
          </w:p>
        </w:tc>
        <w:tc>
          <w:tcPr>
            <w:tcW w:type="dxa" w:w="1662"/>
          </w:tcPr>
          <w:p>
            <w:r/>
            <w:r>
              <w:rPr>
                <w:sz w:val="17"/>
              </w:rPr>
              <w:t>Legal obligation / consent</w:t>
            </w:r>
          </w:p>
        </w:tc>
        <w:tc>
          <w:tcPr>
            <w:tcW w:type="dxa" w:w="1662"/>
          </w:tcPr>
          <w:p>
            <w:r/>
            <w:r>
              <w:rPr>
                <w:sz w:val="17"/>
              </w:rPr>
              <w:t>The person; committee (opt-out list)</w:t>
            </w:r>
          </w:p>
        </w:tc>
        <w:tc>
          <w:tcPr>
            <w:tcW w:type="dxa" w:w="1662"/>
          </w:tcPr>
          <w:p>
            <w:r/>
            <w:r>
              <w:rPr>
                <w:sz w:val="17"/>
              </w:rPr>
              <w:t>While member</w:t>
            </w:r>
          </w:p>
        </w:tc>
      </w:tr>
      <w:tr>
        <w:tc>
          <w:tcPr>
            <w:tcW w:type="dxa" w:w="1662"/>
          </w:tcPr>
          <w:p>
            <w:r/>
            <w:r>
              <w:rPr>
                <w:sz w:val="17"/>
              </w:rPr>
              <w:t>Gallery and committee content (</w:t>
            </w:r>
            <w:r>
              <w:rPr>
                <w:rFonts w:ascii="Consolas" w:hAnsi="Consolas"/>
                <w:sz w:val="18"/>
              </w:rPr>
              <w:t>gallery_photos</w:t>
            </w:r>
            <w:r>
              <w:rPr>
                <w:sz w:val="17"/>
              </w:rPr>
              <w:t xml:space="preserve">, </w:t>
            </w:r>
            <w:r>
              <w:rPr>
                <w:rFonts w:ascii="Consolas" w:hAnsi="Consolas"/>
                <w:sz w:val="18"/>
              </w:rPr>
              <w:t>committee_members</w:t>
            </w:r>
            <w:r>
              <w:rPr>
                <w:sz w:val="17"/>
              </w:rPr>
              <w:t xml:space="preserve">, </w:t>
            </w:r>
            <w:r>
              <w:rPr>
                <w:rFonts w:ascii="Consolas" w:hAnsi="Consolas"/>
                <w:sz w:val="18"/>
              </w:rPr>
              <w:t>motm_winners</w:t>
            </w:r>
            <w:r>
              <w:rPr>
                <w:sz w:val="17"/>
              </w:rPr>
              <w:t>)</w:t>
            </w:r>
          </w:p>
        </w:tc>
        <w:tc>
          <w:tcPr>
            <w:tcW w:type="dxa" w:w="1662"/>
          </w:tcPr>
          <w:p>
            <w:r/>
            <w:r>
              <w:rPr>
                <w:sz w:val="17"/>
              </w:rPr>
              <w:t>Members, committee</w:t>
            </w:r>
          </w:p>
        </w:tc>
        <w:tc>
          <w:tcPr>
            <w:tcW w:type="dxa" w:w="1662"/>
          </w:tcPr>
          <w:p>
            <w:r/>
            <w:r>
              <w:rPr>
                <w:sz w:val="17"/>
              </w:rPr>
              <w:t>Publicise society</w:t>
            </w:r>
          </w:p>
        </w:tc>
        <w:tc>
          <w:tcPr>
            <w:tcW w:type="dxa" w:w="1662"/>
          </w:tcPr>
          <w:p>
            <w:r/>
            <w:r>
              <w:rPr>
                <w:sz w:val="17"/>
              </w:rPr>
              <w:t>Consent / legitimate interests</w:t>
            </w:r>
          </w:p>
        </w:tc>
        <w:tc>
          <w:tcPr>
            <w:tcW w:type="dxa" w:w="1662"/>
          </w:tcPr>
          <w:p>
            <w:r/>
            <w:r>
              <w:rPr>
                <w:sz w:val="17"/>
              </w:rPr>
              <w:t>Public</w:t>
            </w:r>
          </w:p>
        </w:tc>
        <w:tc>
          <w:tcPr>
            <w:tcW w:type="dxa" w:w="1662"/>
          </w:tcPr>
          <w:p>
            <w:r/>
            <w:r>
              <w:rPr>
                <w:sz w:val="17"/>
              </w:rPr>
              <w:t>Until removed on request</w:t>
            </w:r>
          </w:p>
        </w:tc>
      </w:tr>
    </w:tbl>
    <w:p/>
    <w:p>
      <w:pPr>
        <w:pStyle w:val="Heading1"/>
      </w:pPr>
      <w:r>
        <w:t>5. Processors and transfers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Provider</w:t>
            </w:r>
          </w:p>
        </w:tc>
        <w:tc>
          <w:tcPr>
            <w:tcW w:type="dxa" w:w="2493"/>
            <w:shd w:val="clear" w:color="auto" w:fill="E8E1CC"/>
          </w:tcPr>
          <w:p>
            <w:r>
              <w:rPr>
                <w:b/>
              </w:rPr>
            </w:r>
            <w:r>
              <w:rPr>
                <w:b/>
                <w:sz w:val="18"/>
              </w:rPr>
              <w:t>Role</w:t>
            </w:r>
          </w:p>
        </w:tc>
        <w:tc>
          <w:tcPr>
            <w:tcW w:type="dxa" w:w="2493"/>
            <w:shd w:val="clear" w:color="auto" w:fill="E8E1CC"/>
          </w:tcPr>
          <w:p>
            <w:r>
              <w:rPr>
                <w:b/>
              </w:rPr>
            </w:r>
            <w:r>
              <w:rPr>
                <w:b/>
                <w:sz w:val="18"/>
              </w:rPr>
              <w:t>Data</w:t>
            </w:r>
          </w:p>
        </w:tc>
        <w:tc>
          <w:tcPr>
            <w:tcW w:type="dxa" w:w="2493"/>
            <w:shd w:val="clear" w:color="auto" w:fill="E8E1CC"/>
          </w:tcPr>
          <w:p>
            <w:r>
              <w:rPr>
                <w:b/>
              </w:rPr>
            </w:r>
            <w:r>
              <w:rPr>
                <w:b/>
                <w:sz w:val="18"/>
              </w:rPr>
              <w:t>Needed</w:t>
            </w:r>
          </w:p>
        </w:tc>
      </w:tr>
      <w:tr>
        <w:tc>
          <w:tcPr>
            <w:tcW w:type="dxa" w:w="2493"/>
          </w:tcPr>
          <w:p>
            <w:r/>
            <w:r>
              <w:rPr>
                <w:b/>
                <w:sz w:val="17"/>
              </w:rPr>
              <w:t>Supabase</w:t>
            </w:r>
          </w:p>
        </w:tc>
        <w:tc>
          <w:tcPr>
            <w:tcW w:type="dxa" w:w="2493"/>
          </w:tcPr>
          <w:p>
            <w:r/>
            <w:r>
              <w:rPr>
                <w:sz w:val="17"/>
              </w:rPr>
              <w:t>Database, login, file storage, edge functions</w:t>
            </w:r>
          </w:p>
        </w:tc>
        <w:tc>
          <w:tcPr>
            <w:tcW w:type="dxa" w:w="2493"/>
          </w:tcPr>
          <w:p>
            <w:r/>
            <w:r>
              <w:rPr>
                <w:sz w:val="17"/>
              </w:rPr>
              <w:t>All account and activity data</w:t>
            </w:r>
          </w:p>
        </w:tc>
        <w:tc>
          <w:tcPr>
            <w:tcW w:type="dxa" w:w="2493"/>
          </w:tcPr>
          <w:p>
            <w:r/>
            <w:r>
              <w:rPr>
                <w:sz w:val="17"/>
              </w:rPr>
              <w:t xml:space="preserve">Sign/accept its Data Processing Addendum; confirm project </w:t>
            </w:r>
            <w:r>
              <w:rPr>
                <w:b/>
                <w:sz w:val="17"/>
              </w:rPr>
              <w:t>region</w:t>
            </w:r>
            <w:r>
              <w:rPr>
                <w:sz w:val="17"/>
              </w:rPr>
              <w:t>; note UK transfer mechanism</w:t>
            </w:r>
          </w:p>
        </w:tc>
      </w:tr>
      <w:tr>
        <w:tc>
          <w:tcPr>
            <w:tcW w:type="dxa" w:w="2493"/>
          </w:tcPr>
          <w:p>
            <w:r/>
            <w:r>
              <w:rPr>
                <w:b/>
                <w:sz w:val="17"/>
              </w:rPr>
              <w:t>GitHub Pages</w:t>
            </w:r>
          </w:p>
        </w:tc>
        <w:tc>
          <w:tcPr>
            <w:tcW w:type="dxa" w:w="2493"/>
          </w:tcPr>
          <w:p>
            <w:r/>
            <w:r>
              <w:rPr>
                <w:sz w:val="17"/>
              </w:rPr>
              <w:t>Hosts the static pages</w:t>
            </w:r>
          </w:p>
        </w:tc>
        <w:tc>
          <w:tcPr>
            <w:tcW w:type="dxa" w:w="2493"/>
          </w:tcPr>
          <w:p>
            <w:r/>
            <w:r>
              <w:rPr>
                <w:sz w:val="17"/>
              </w:rPr>
              <w:t>Visitor IP address in server logs</w:t>
            </w:r>
          </w:p>
        </w:tc>
        <w:tc>
          <w:tcPr>
            <w:tcW w:type="dxa" w:w="2493"/>
          </w:tcPr>
          <w:p>
            <w:r/>
            <w:r>
              <w:rPr>
                <w:sz w:val="17"/>
              </w:rPr>
              <w:t>Accept GitHub's data protection terms; enforce HTTPS</w:t>
            </w:r>
          </w:p>
        </w:tc>
      </w:tr>
      <w:tr>
        <w:tc>
          <w:tcPr>
            <w:tcW w:type="dxa" w:w="2493"/>
          </w:tcPr>
          <w:p>
            <w:r/>
            <w:r>
              <w:rPr>
                <w:b/>
                <w:sz w:val="17"/>
              </w:rPr>
              <w:t>Resend</w:t>
            </w:r>
          </w:p>
        </w:tc>
        <w:tc>
          <w:tcPr>
            <w:tcW w:type="dxa" w:w="2493"/>
          </w:tcPr>
          <w:p>
            <w:r/>
            <w:r>
              <w:rPr>
                <w:sz w:val="17"/>
              </w:rPr>
              <w:t>Sends email</w:t>
            </w:r>
          </w:p>
        </w:tc>
        <w:tc>
          <w:tcPr>
            <w:tcW w:type="dxa" w:w="2493"/>
          </w:tcPr>
          <w:p>
            <w:r/>
            <w:r>
              <w:rPr>
                <w:sz w:val="17"/>
              </w:rPr>
              <w:t>Recipient address, email content</w:t>
            </w:r>
          </w:p>
        </w:tc>
        <w:tc>
          <w:tcPr>
            <w:tcW w:type="dxa" w:w="2493"/>
          </w:tcPr>
          <w:p>
            <w:r/>
            <w:r>
              <w:rPr>
                <w:sz w:val="17"/>
              </w:rPr>
              <w:t>Sign/accept DPA; confirm transfer mechanism (US)</w:t>
            </w:r>
          </w:p>
        </w:tc>
      </w:tr>
      <w:tr>
        <w:tc>
          <w:tcPr>
            <w:tcW w:type="dxa" w:w="2493"/>
          </w:tcPr>
          <w:p>
            <w:r/>
            <w:r>
              <w:rPr>
                <w:sz w:val="17"/>
              </w:rPr>
              <w:t>Domain registrar and DNS for lincolnacms.uk</w:t>
            </w:r>
          </w:p>
        </w:tc>
        <w:tc>
          <w:tcPr>
            <w:tcW w:type="dxa" w:w="2493"/>
          </w:tcPr>
          <w:p>
            <w:r/>
            <w:r>
              <w:rPr>
                <w:sz w:val="17"/>
              </w:rPr>
              <w:t>Domain</w:t>
            </w:r>
          </w:p>
        </w:tc>
        <w:tc>
          <w:tcPr>
            <w:tcW w:type="dxa" w:w="2493"/>
          </w:tcPr>
          <w:p>
            <w:r/>
            <w:r>
              <w:rPr>
                <w:sz w:val="17"/>
              </w:rPr>
              <w:t>Domain contacts</w:t>
            </w:r>
          </w:p>
        </w:tc>
        <w:tc>
          <w:tcPr>
            <w:tcW w:type="dxa" w:w="2493"/>
          </w:tcPr>
          <w:p>
            <w:r/>
            <w:r>
              <w:rPr>
                <w:sz w:val="17"/>
              </w:rPr>
              <w:t>Use the official society address (10.7)</w:t>
            </w:r>
          </w:p>
        </w:tc>
      </w:tr>
      <w:tr>
        <w:tc>
          <w:tcPr>
            <w:tcW w:type="dxa" w:w="2493"/>
          </w:tcPr>
          <w:p>
            <w:r/>
            <w:r>
              <w:rPr>
                <w:sz w:val="17"/>
              </w:rPr>
              <w:t>ULSU</w:t>
            </w:r>
          </w:p>
        </w:tc>
        <w:tc>
          <w:tcPr>
            <w:tcW w:type="dxa" w:w="2493"/>
          </w:tcPr>
          <w:p>
            <w:r/>
            <w:r>
              <w:rPr>
                <w:sz w:val="17"/>
              </w:rPr>
              <w:t>Related controller (membership, DPO oversight)</w:t>
            </w:r>
          </w:p>
        </w:tc>
        <w:tc>
          <w:tcPr>
            <w:tcW w:type="dxa" w:w="2493"/>
          </w:tcPr>
          <w:p>
            <w:r/>
            <w:r>
              <w:rPr>
                <w:sz w:val="17"/>
              </w:rPr>
              <w:t>Membership list</w:t>
            </w:r>
          </w:p>
        </w:tc>
        <w:tc>
          <w:tcPr>
            <w:tcW w:type="dxa" w:w="2493"/>
          </w:tcPr>
          <w:p>
            <w:r/>
            <w:r>
              <w:rPr>
                <w:sz w:val="17"/>
              </w:rPr>
              <w:t>Confirm arrangement (10.1)</w:t>
            </w:r>
          </w:p>
        </w:tc>
      </w:tr>
    </w:tbl>
    <w:p/>
    <w:p>
      <w:r>
        <w:rPr>
          <w:b/>
        </w:rPr>
        <w:t>Note:</w:t>
      </w:r>
      <w:r>
        <w:t xml:space="preserve"> at the committee's request the privacy notice no longer has a section naming these providers or describing transfers outside the UK. UK GDPR Article 13 normally expects a notice to say who receives personal data and about any overseas transfers, so this is an open risk (10.3).  </w:t>
      </w:r>
      <w:r>
        <w:rPr>
          <w:b/>
        </w:rPr>
        <w:t>No other third-party scripts, fonts, analytics, advertising or social widgets load on the site</w:t>
      </w:r>
      <w:r>
        <w:t xml:space="preserve"> (verified by scanning every page).</w:t>
      </w:r>
    </w:p>
    <w:p>
      <w:pPr>
        <w:pStyle w:val="Heading1"/>
      </w:pPr>
      <w:r>
        <w:t>6. Retention schedule</w:t>
      </w:r>
    </w:p>
    <w:p>
      <w:r>
        <w:t xml:space="preserve">Implemented in </w:t>
      </w:r>
      <w:r>
        <w:rPr>
          <w:rFonts w:ascii="Consolas" w:hAnsi="Consolas"/>
          <w:sz w:val="18"/>
        </w:rPr>
        <w:t>privacy_purge_expired()</w:t>
      </w:r>
      <w:r>
        <w:t xml:space="preserve"> (migration 110) and published in the notice.</w:t>
      </w:r>
    </w:p>
    <w:tbl>
      <w:tblPr>
        <w:tblStyle w:val="TableGrid"/>
        <w:tblW w:type="auto" w:w="0"/>
        <w:tblLook w:firstColumn="1" w:firstRow="1" w:lastColumn="0" w:lastRow="0" w:noHBand="0" w:noVBand="1" w:val="04A0"/>
      </w:tblPr>
      <w:tblGrid>
        <w:gridCol w:w="4986"/>
        <w:gridCol w:w="4986"/>
      </w:tblGrid>
      <w:tr>
        <w:tc>
          <w:tcPr>
            <w:tcW w:type="dxa" w:w="4986"/>
            <w:shd w:val="clear" w:color="auto" w:fill="E8E1CC"/>
          </w:tcPr>
          <w:p>
            <w:r>
              <w:rPr>
                <w:b/>
              </w:rPr>
            </w:r>
            <w:r>
              <w:rPr>
                <w:b/>
                <w:sz w:val="18"/>
              </w:rPr>
              <w:t>Data</w:t>
            </w:r>
          </w:p>
        </w:tc>
        <w:tc>
          <w:tcPr>
            <w:tcW w:type="dxa" w:w="4986"/>
            <w:shd w:val="clear" w:color="auto" w:fill="E8E1CC"/>
          </w:tcPr>
          <w:p>
            <w:r>
              <w:rPr>
                <w:b/>
              </w:rPr>
            </w:r>
            <w:r>
              <w:rPr>
                <w:b/>
                <w:sz w:val="18"/>
              </w:rPr>
              <w:t>Kept for</w:t>
            </w:r>
          </w:p>
        </w:tc>
      </w:tr>
      <w:tr>
        <w:tc>
          <w:tcPr>
            <w:tcW w:type="dxa" w:w="4986"/>
          </w:tcPr>
          <w:p>
            <w:r/>
            <w:r>
              <w:rPr>
                <w:sz w:val="17"/>
              </w:rPr>
              <w:t>Accounts, profiles, activity, Sankofa records</w:t>
            </w:r>
          </w:p>
        </w:tc>
        <w:tc>
          <w:tcPr>
            <w:tcW w:type="dxa" w:w="4986"/>
          </w:tcPr>
          <w:p>
            <w:r/>
            <w:r>
              <w:rPr>
                <w:sz w:val="17"/>
              </w:rPr>
              <w:t>While a member; inactive 12 months reviewed</w:t>
            </w:r>
          </w:p>
        </w:tc>
      </w:tr>
      <w:tr>
        <w:tc>
          <w:tcPr>
            <w:tcW w:type="dxa" w:w="4986"/>
          </w:tcPr>
          <w:p>
            <w:r/>
            <w:r>
              <w:rPr>
                <w:sz w:val="17"/>
              </w:rPr>
              <w:t>Approved/declined account and professional requests</w:t>
            </w:r>
          </w:p>
        </w:tc>
        <w:tc>
          <w:tcPr>
            <w:tcW w:type="dxa" w:w="4986"/>
          </w:tcPr>
          <w:p>
            <w:r/>
            <w:r>
              <w:rPr>
                <w:sz w:val="17"/>
              </w:rPr>
              <w:t>12 months after decision</w:t>
            </w:r>
          </w:p>
        </w:tc>
      </w:tr>
      <w:tr>
        <w:tc>
          <w:tcPr>
            <w:tcW w:type="dxa" w:w="4986"/>
          </w:tcPr>
          <w:p>
            <w:r/>
            <w:r>
              <w:rPr>
                <w:sz w:val="17"/>
              </w:rPr>
              <w:t>Mentor applications</w:t>
            </w:r>
          </w:p>
        </w:tc>
        <w:tc>
          <w:tcPr>
            <w:tcW w:type="dxa" w:w="4986"/>
          </w:tcPr>
          <w:p>
            <w:r/>
            <w:r>
              <w:rPr>
                <w:sz w:val="17"/>
              </w:rPr>
              <w:t>24 months</w:t>
            </w:r>
          </w:p>
        </w:tc>
      </w:tr>
      <w:tr>
        <w:tc>
          <w:tcPr>
            <w:tcW w:type="dxa" w:w="4986"/>
          </w:tcPr>
          <w:p>
            <w:r/>
            <w:r>
              <w:rPr>
                <w:sz w:val="17"/>
              </w:rPr>
              <w:t>Email logs</w:t>
            </w:r>
          </w:p>
        </w:tc>
        <w:tc>
          <w:tcPr>
            <w:tcW w:type="dxa" w:w="4986"/>
          </w:tcPr>
          <w:p>
            <w:r/>
            <w:r>
              <w:rPr>
                <w:sz w:val="17"/>
              </w:rPr>
              <w:t>24 months</w:t>
            </w:r>
          </w:p>
        </w:tc>
      </w:tr>
      <w:tr>
        <w:tc>
          <w:tcPr>
            <w:tcW w:type="dxa" w:w="4986"/>
          </w:tcPr>
          <w:p>
            <w:r/>
            <w:r>
              <w:rPr>
                <w:sz w:val="17"/>
              </w:rPr>
              <w:t>Anonymous analytics</w:t>
            </w:r>
          </w:p>
        </w:tc>
        <w:tc>
          <w:tcPr>
            <w:tcW w:type="dxa" w:w="4986"/>
          </w:tcPr>
          <w:p>
            <w:r/>
            <w:r>
              <w:rPr>
                <w:sz w:val="17"/>
              </w:rPr>
              <w:t>14 months</w:t>
            </w:r>
          </w:p>
        </w:tc>
      </w:tr>
      <w:tr>
        <w:tc>
          <w:tcPr>
            <w:tcW w:type="dxa" w:w="4986"/>
          </w:tcPr>
          <w:p>
            <w:r/>
            <w:r>
              <w:rPr>
                <w:sz w:val="17"/>
              </w:rPr>
              <w:t>Deleted chat messages</w:t>
            </w:r>
          </w:p>
        </w:tc>
        <w:tc>
          <w:tcPr>
            <w:tcW w:type="dxa" w:w="4986"/>
          </w:tcPr>
          <w:p>
            <w:r/>
            <w:r>
              <w:rPr>
                <w:sz w:val="17"/>
              </w:rPr>
              <w:t>30 days</w:t>
            </w:r>
          </w:p>
        </w:tc>
      </w:tr>
      <w:tr>
        <w:tc>
          <w:tcPr>
            <w:tcW w:type="dxa" w:w="4986"/>
          </w:tcPr>
          <w:p>
            <w:r/>
            <w:r>
              <w:rPr>
                <w:sz w:val="17"/>
              </w:rPr>
              <w:t>Closed chat/safeguarding reports</w:t>
            </w:r>
          </w:p>
        </w:tc>
        <w:tc>
          <w:tcPr>
            <w:tcW w:type="dxa" w:w="4986"/>
          </w:tcPr>
          <w:p>
            <w:r/>
            <w:r>
              <w:rPr>
                <w:sz w:val="17"/>
              </w:rPr>
              <w:t>24 months after resolution (longer if a safeguarding or legal reason)</w:t>
            </w:r>
          </w:p>
        </w:tc>
      </w:tr>
      <w:tr>
        <w:tc>
          <w:tcPr>
            <w:tcW w:type="dxa" w:w="4986"/>
          </w:tcPr>
          <w:p>
            <w:r/>
            <w:r>
              <w:rPr>
                <w:sz w:val="17"/>
              </w:rPr>
              <w:t>Admin preview records</w:t>
            </w:r>
          </w:p>
        </w:tc>
        <w:tc>
          <w:tcPr>
            <w:tcW w:type="dxa" w:w="4986"/>
          </w:tcPr>
          <w:p>
            <w:r/>
            <w:r>
              <w:rPr>
                <w:sz w:val="17"/>
              </w:rPr>
              <w:t>12 months</w:t>
            </w:r>
          </w:p>
        </w:tc>
      </w:tr>
      <w:tr>
        <w:tc>
          <w:tcPr>
            <w:tcW w:type="dxa" w:w="4986"/>
          </w:tcPr>
          <w:p>
            <w:r/>
            <w:r>
              <w:rPr>
                <w:sz w:val="17"/>
              </w:rPr>
              <w:t>Resource PIN attempts</w:t>
            </w:r>
          </w:p>
        </w:tc>
        <w:tc>
          <w:tcPr>
            <w:tcW w:type="dxa" w:w="4986"/>
          </w:tcPr>
          <w:p>
            <w:r/>
            <w:r>
              <w:rPr>
                <w:sz w:val="17"/>
              </w:rPr>
              <w:t>30 days</w:t>
            </w:r>
          </w:p>
        </w:tc>
      </w:tr>
      <w:tr>
        <w:tc>
          <w:tcPr>
            <w:tcW w:type="dxa" w:w="4986"/>
          </w:tcPr>
          <w:p>
            <w:r/>
            <w:r>
              <w:rPr>
                <w:sz w:val="17"/>
              </w:rPr>
              <w:t>Data requests and complaints</w:t>
            </w:r>
          </w:p>
        </w:tc>
        <w:tc>
          <w:tcPr>
            <w:tcW w:type="dxa" w:w="4986"/>
          </w:tcPr>
          <w:p>
            <w:r/>
            <w:r>
              <w:rPr>
                <w:sz w:val="17"/>
              </w:rPr>
              <w:t>3 years after closing</w:t>
            </w:r>
          </w:p>
        </w:tc>
      </w:tr>
    </w:tbl>
    <w:p/>
    <w:p>
      <w:r>
        <w:t xml:space="preserve">ULSU's own notice keeps membership records for the period of involvement plus up to 6 years. The periods above are for data </w:t>
      </w:r>
      <w:r>
        <w:rPr>
          <w:b/>
        </w:rPr>
        <w:t>this website</w:t>
      </w:r>
      <w:r>
        <w:t xml:space="preserve"> holds; the committee should confirm with ULSU that they are acceptable.</w:t>
      </w:r>
    </w:p>
    <w:p>
      <w:pPr>
        <w:pStyle w:val="Heading1"/>
      </w:pPr>
      <w:r>
        <w:t>7. Security</w:t>
      </w:r>
    </w:p>
    <w:p>
      <w:r>
        <w:rPr>
          <w:b/>
        </w:rPr>
        <w:t>Verified in this review</w:t>
      </w:r>
    </w:p>
    <w:p>
      <w:pPr>
        <w:pStyle w:val="ListBullet"/>
      </w:pPr>
      <w:r>
        <w:t>All 84 database tables have row-level security enabled (checked across every migration). Only a short list of public forms and public content can be written or read without signing in (page views, account request, professional request, mentor application, and public read of published content).</w:t>
      </w:r>
    </w:p>
    <w:p>
      <w:pPr>
        <w:pStyle w:val="ListBullet"/>
      </w:pPr>
      <w:r>
        <w:t>Passwords are handled and hashed by Supabase Auth; the website never sees them.</w:t>
      </w:r>
    </w:p>
    <w:p>
      <w:pPr>
        <w:pStyle w:val="ListBullet"/>
      </w:pPr>
      <w:r>
        <w:t>Private chat messages are never shown in the committee's "view as" preview; previews are read-only and logged.</w:t>
      </w:r>
    </w:p>
    <w:p>
      <w:pPr>
        <w:pStyle w:val="ListBullet"/>
      </w:pPr>
      <w:r>
        <w:t>Third-party code removed: Google Fonts and the jsDelivr login library are now served from the site and the library is pinned (</w:t>
      </w:r>
      <w:r>
        <w:rPr>
          <w:rFonts w:ascii="Consolas" w:hAnsi="Consolas"/>
          <w:sz w:val="18"/>
        </w:rPr>
        <w:t>js/vendor/supabase-js-2.118.0.min.js</w:t>
      </w:r>
      <w:r>
        <w:t>).</w:t>
      </w:r>
    </w:p>
    <w:p>
      <w:pPr>
        <w:pStyle w:val="ListBullet"/>
      </w:pPr>
      <w:r>
        <w:t>Every erasure, export, request and clean-up action runs through administrator-only database functions (migration 110); none of the new tables is directly readable.</w:t>
      </w:r>
    </w:p>
    <w:p>
      <w:pPr>
        <w:pStyle w:val="ListBullet"/>
      </w:pPr>
      <w:r>
        <w:t>Rate limits on the public request form (5 per email per day, 100 per hour overall).</w:t>
      </w:r>
    </w:p>
    <w:p>
      <w:r>
        <w:rPr>
          <w:b/>
        </w:rPr>
        <w:t>Known limits (be honest with ULSU about these)</w:t>
      </w:r>
    </w:p>
    <w:p>
      <w:pPr>
        <w:pStyle w:val="ListBullet"/>
      </w:pPr>
      <w:r>
        <w:t>Sessions stay signed in until the person logs out (a deliberate convenience choice). On shared computers people should log out; the committee may prefer a shorter session.</w:t>
      </w:r>
    </w:p>
    <w:p>
      <w:pPr>
        <w:pStyle w:val="ListBullet"/>
      </w:pPr>
      <w:r>
        <w:t>GitHub Pages cannot send security headers (Content-Security-Policy, HSTS). The pages are static and use pinned local scripts, but a header-setting layer (for example Cloudflare in front) would harden it further.</w:t>
      </w:r>
    </w:p>
    <w:p>
      <w:pPr>
        <w:pStyle w:val="ListBullet"/>
      </w:pPr>
      <w:r>
        <w:t>Passwords require 8 characters; Supabase can also block known-leaked passwords (a dashboard setting, 10.4).</w:t>
      </w:r>
    </w:p>
    <w:p>
      <w:pPr>
        <w:pStyle w:val="ListBullet"/>
      </w:pPr>
      <w:r>
        <w:t xml:space="preserve">The website's public Supabase key is in the page source. That is normal and safe only because row-level security is on; do not ever put the </w:t>
      </w:r>
      <w:r>
        <w:rPr>
          <w:rFonts w:ascii="Consolas" w:hAnsi="Consolas"/>
          <w:sz w:val="18"/>
        </w:rPr>
        <w:t>service_role</w:t>
      </w:r>
      <w:r>
        <w:t xml:space="preserve"> key anywhere in the code.</w:t>
      </w:r>
    </w:p>
    <w:p>
      <w:pPr>
        <w:pStyle w:val="Heading1"/>
      </w:pPr>
      <w:r>
        <w:t>8. Procedures (people, not code)</w:t>
      </w:r>
    </w:p>
    <w:p>
      <w:pPr>
        <w:pStyle w:val="Heading2"/>
      </w:pPr>
      <w:r>
        <w:t>8.1 Handling a data request (one month)</w:t>
      </w:r>
    </w:p>
    <w:p>
      <w:pPr>
        <w:pStyle w:val="ListNumber"/>
      </w:pPr>
      <w:r>
        <w:t xml:space="preserve">Requests arrive in </w:t>
      </w:r>
      <w:r>
        <w:rPr>
          <w:b/>
        </w:rPr>
        <w:t>Dashboard, Data &amp; Privacy</w:t>
      </w:r>
      <w:r>
        <w:t xml:space="preserve"> (or by email to </w:t>
      </w:r>
      <w:r>
        <w:rPr>
          <w:rFonts w:ascii="Consolas" w:hAnsi="Consolas"/>
          <w:sz w:val="18"/>
        </w:rPr>
        <w:t>acms@lincolnsu.com</w:t>
      </w:r>
      <w:r>
        <w:t>; add emailed ones to the dashboard through the form yourself).</w:t>
      </w:r>
    </w:p>
    <w:p>
      <w:pPr>
        <w:pStyle w:val="ListNumber"/>
      </w:pPr>
      <w:r>
        <w:t xml:space="preserve">Set status to </w:t>
      </w:r>
      <w:r>
        <w:rPr>
          <w:b/>
        </w:rPr>
        <w:t>Checking identity</w:t>
      </w:r>
      <w:r>
        <w:t xml:space="preserve"> and confirm it is the person: reply to the address on their account. Never release data to an unverified address.</w:t>
      </w:r>
    </w:p>
    <w:p>
      <w:pPr>
        <w:pStyle w:val="ListNumber"/>
      </w:pPr>
      <w:r>
        <w:rPr>
          <w:b/>
        </w:rPr>
        <w:t>Copy of data:</w:t>
      </w:r>
      <w:r>
        <w:t xml:space="preserve"> press </w:t>
      </w:r>
      <w:r>
        <w:rPr>
          <w:i/>
        </w:rPr>
        <w:t>Download their data</w:t>
      </w:r>
      <w:r>
        <w:t>, send the file securely to the verified address, delete your copy, mark Completed.</w:t>
      </w:r>
    </w:p>
    <w:p>
      <w:pPr>
        <w:pStyle w:val="ListNumber"/>
      </w:pPr>
      <w:r>
        <w:rPr>
          <w:b/>
        </w:rPr>
        <w:t>Correction:</w:t>
      </w:r>
      <w:r>
        <w:t xml:space="preserve"> fix it in Dashboard, reply, mark Completed.</w:t>
      </w:r>
    </w:p>
    <w:p>
      <w:pPr>
        <w:pStyle w:val="ListNumber"/>
      </w:pPr>
      <w:r>
        <w:rPr>
          <w:b/>
        </w:rPr>
        <w:t>Deletion:</w:t>
      </w:r>
      <w:r>
        <w:t xml:space="preserve"> press </w:t>
      </w:r>
      <w:r>
        <w:rPr>
          <w:i/>
        </w:rPr>
        <w:t>Erase their data</w:t>
      </w:r>
      <w:r>
        <w:t xml:space="preserve"> (type ERASE). Read the "still to check" list (public winners wall, uploaded files, retained chat reports) and deal with each. Mark Completed. Explain anything kept and why.</w:t>
      </w:r>
    </w:p>
    <w:p>
      <w:pPr>
        <w:pStyle w:val="ListNumber"/>
      </w:pPr>
      <w:r>
        <w:rPr>
          <w:b/>
        </w:rPr>
        <w:t>Objection / restriction / withdraw consent:</w:t>
      </w:r>
      <w:r>
        <w:t xml:space="preserve"> act, reply, record in the note.</w:t>
      </w:r>
    </w:p>
    <w:p>
      <w:pPr>
        <w:pStyle w:val="ListNumber"/>
      </w:pPr>
      <w:r>
        <w:t>If you need more time (complex or many requests) tell them within the month; the law allows up to two more months.</w:t>
      </w:r>
    </w:p>
    <w:p>
      <w:pPr>
        <w:pStyle w:val="ListNumber"/>
      </w:pPr>
      <w:r>
        <w:rPr>
          <w:b/>
        </w:rPr>
        <w:t>Complaints:</w:t>
      </w:r>
      <w:r>
        <w:t xml:space="preserve"> acknowledge within 30 days; copy the complaint to </w:t>
      </w:r>
      <w:r>
        <w:rPr>
          <w:rFonts w:ascii="Consolas" w:hAnsi="Consolas"/>
          <w:sz w:val="18"/>
        </w:rPr>
        <w:t>complaints@lincolnsu.com</w:t>
      </w:r>
      <w:r>
        <w:t xml:space="preserve"> and </w:t>
      </w:r>
      <w:r>
        <w:rPr>
          <w:rFonts w:ascii="Consolas" w:hAnsi="Consolas"/>
          <w:sz w:val="18"/>
        </w:rPr>
        <w:t>compliance@lincolnsu.com</w:t>
      </w:r>
      <w:r>
        <w:t xml:space="preserve"> if it concerns ULSU.</w:t>
      </w:r>
    </w:p>
    <w:p>
      <w:pPr>
        <w:pStyle w:val="ListNumber"/>
      </w:pPr>
      <w:r>
        <w:t>Never put personal data in the Note field.</w:t>
      </w:r>
    </w:p>
    <w:p>
      <w:pPr>
        <w:pStyle w:val="Heading2"/>
      </w:pPr>
      <w:r>
        <w:t>8.2 Safeguarding</w:t>
      </w:r>
    </w:p>
    <w:p>
      <w:r>
        <w:rPr>
          <w:i/>
        </w:rPr>
        <w:t>Recommended procedure, based on ULSU's published policy. It has not yet been discussed or agreed with ULSU.</w:t>
      </w:r>
    </w:p>
    <w:p>
      <w:r>
        <w:t xml:space="preserve">Do not investigate. Listen, do not promise confidentiality, record date/time/what was said, and </w:t>
      </w:r>
      <w:r>
        <w:rPr>
          <w:b/>
        </w:rPr>
        <w:t>report immediately</w:t>
      </w:r>
      <w:r>
        <w:t xml:space="preserve"> to ULSU's Safeguarding Officers (Group Chief Executive or Deputy Chief Executive); in an emergency call 999.</w:t>
      </w:r>
    </w:p>
    <w:p>
      <w:pPr>
        <w:pStyle w:val="Heading2"/>
      </w:pPr>
      <w:r>
        <w:t>8.3 Personal data breach</w:t>
      </w:r>
    </w:p>
    <w:p>
      <w:pPr>
        <w:pStyle w:val="ListNumber"/>
      </w:pPr>
      <w:r>
        <w:t>Contain it (change passwords/keys, remove access, pause the feature).</w:t>
      </w:r>
    </w:p>
    <w:p>
      <w:pPr>
        <w:pStyle w:val="ListNumber"/>
      </w:pPr>
      <w:r>
        <w:t>Consider telling ULSU's DPO (</w:t>
      </w:r>
      <w:r>
        <w:rPr>
          <w:rFonts w:ascii="Consolas" w:hAnsi="Consolas"/>
          <w:sz w:val="18"/>
        </w:rPr>
        <w:t>compliance@lincolnsu.com</w:t>
      </w:r>
      <w:r>
        <w:t>) straight away. This is recommended, not yet agreed with ULSU.</w:t>
      </w:r>
    </w:p>
    <w:p>
      <w:pPr>
        <w:pStyle w:val="ListNumber"/>
      </w:pPr>
      <w:r>
        <w:t>Record what happened, what data, how many people, and what you did.</w:t>
      </w:r>
    </w:p>
    <w:p>
      <w:pPr>
        <w:pStyle w:val="ListNumber"/>
      </w:pPr>
      <w:r>
        <w:t xml:space="preserve">If there is a risk to people, the ICO must be told </w:t>
      </w:r>
      <w:r>
        <w:rPr>
          <w:b/>
        </w:rPr>
        <w:t>within 72 hours</w:t>
      </w:r>
      <w:r>
        <w:t xml:space="preserve"> of becoming aware (ico.org.uk/make-a-complaint, "report a breach", 0303 123 1113). If the risk is high, tell the people affected without undue delay.</w:t>
      </w:r>
    </w:p>
    <w:p>
      <w:pPr>
        <w:pStyle w:val="ListNumber"/>
      </w:pPr>
      <w:r>
        <w:t>Keep the record whether or not you report it.</w:t>
      </w:r>
    </w:p>
    <w:p>
      <w:pPr>
        <w:pStyle w:val="Heading2"/>
      </w:pPr>
      <w:r>
        <w:t>8.4 Annual handover (every June to September)</w:t>
      </w:r>
    </w:p>
    <w:p>
      <w:pPr>
        <w:pStyle w:val="ListBullet"/>
      </w:pPr>
      <w:r>
        <w:t>Move all service logins (Supabase, GitHub, Resend, domain) to the official society address and hand details to ULSU as its policies require; re-enrol MFA.</w:t>
      </w:r>
    </w:p>
    <w:p>
      <w:pPr>
        <w:pStyle w:val="ListBullet"/>
      </w:pPr>
      <w:r>
        <w:t xml:space="preserve">Run </w:t>
      </w:r>
      <w:r>
        <w:rPr>
          <w:b/>
        </w:rPr>
        <w:t>Data &amp; Privacy, Run clean-up now</w:t>
      </w:r>
      <w:r>
        <w:t xml:space="preserve">, and review </w:t>
      </w:r>
      <w:r>
        <w:rPr>
          <w:b/>
        </w:rPr>
        <w:t>Inactive accounts</w:t>
      </w:r>
      <w:r>
        <w:t>.</w:t>
      </w:r>
    </w:p>
    <w:p>
      <w:pPr>
        <w:pStyle w:val="ListBullet"/>
      </w:pPr>
      <w:r>
        <w:t>Check that every committee member has confirmed their data protection training (Data &amp; Privacy, bottom of the page).</w:t>
      </w:r>
    </w:p>
    <w:p>
      <w:pPr>
        <w:pStyle w:val="ListBullet"/>
      </w:pPr>
      <w:r>
        <w:t xml:space="preserve">Review the privacy notice, bump the version in </w:t>
      </w:r>
      <w:r>
        <w:rPr>
          <w:rFonts w:ascii="Consolas" w:hAnsi="Consolas"/>
          <w:sz w:val="18"/>
        </w:rPr>
        <w:t>js/privacy.js</w:t>
      </w:r>
      <w:r>
        <w:t xml:space="preserve"> and </w:t>
      </w:r>
      <w:r>
        <w:rPr>
          <w:rFonts w:ascii="Consolas" w:hAnsi="Consolas"/>
          <w:sz w:val="18"/>
        </w:rPr>
        <w:t>privacy.html</w:t>
      </w:r>
      <w:r>
        <w:t xml:space="preserve"> if anything changed.</w:t>
      </w:r>
    </w:p>
    <w:p>
      <w:pPr>
        <w:pStyle w:val="ListBullet"/>
      </w:pPr>
      <w:r>
        <w:t>Committee members complete ULSU's data protection and safeguarding training.</w:t>
      </w:r>
    </w:p>
    <w:p>
      <w:pPr>
        <w:pStyle w:val="Heading1"/>
      </w:pPr>
      <w:r>
        <w:t>9. What changed in the code</w:t>
      </w:r>
    </w:p>
    <w:p>
      <w:r>
        <w:rPr>
          <w:b/>
        </w:rPr>
        <w:t>New pages:</w:t>
      </w:r>
      <w:r>
        <w:t xml:space="preserve"> </w:t>
      </w:r>
      <w:r>
        <w:rPr>
          <w:rFonts w:ascii="Consolas" w:hAnsi="Consolas"/>
          <w:sz w:val="18"/>
        </w:rPr>
        <w:t>privacy.html</w:t>
      </w:r>
      <w:r>
        <w:t xml:space="preserve">, </w:t>
      </w:r>
      <w:r>
        <w:rPr>
          <w:rFonts w:ascii="Consolas" w:hAnsi="Consolas"/>
          <w:sz w:val="18"/>
        </w:rPr>
        <w:t>cookies.html</w:t>
      </w:r>
      <w:r>
        <w:t xml:space="preserve">, </w:t>
      </w:r>
      <w:r>
        <w:rPr>
          <w:rFonts w:ascii="Consolas" w:hAnsi="Consolas"/>
          <w:sz w:val="18"/>
        </w:rPr>
        <w:t>terms.html</w:t>
      </w:r>
      <w:r>
        <w:t xml:space="preserve">, </w:t>
      </w:r>
      <w:r>
        <w:rPr>
          <w:rFonts w:ascii="Consolas" w:hAnsi="Consolas"/>
          <w:sz w:val="18"/>
        </w:rPr>
        <w:t>accessibility.html</w:t>
      </w:r>
      <w:r>
        <w:t xml:space="preserve">, </w:t>
      </w:r>
      <w:r>
        <w:rPr>
          <w:rFonts w:ascii="Consolas" w:hAnsi="Consolas"/>
          <w:sz w:val="18"/>
        </w:rPr>
        <w:t>safeguarding.html</w:t>
      </w:r>
      <w:r>
        <w:t xml:space="preserve">, </w:t>
      </w:r>
      <w:r>
        <w:rPr>
          <w:rFonts w:ascii="Consolas" w:hAnsi="Consolas"/>
          <w:sz w:val="18"/>
        </w:rPr>
        <w:t>data-request.html</w:t>
      </w:r>
      <w:r>
        <w:t>.</w:t>
      </w:r>
    </w:p>
    <w:p>
      <w:r>
        <w:rPr>
          <w:b/>
        </w:rPr>
        <w:t>New scripts:</w:t>
      </w:r>
      <w:r>
        <w:t xml:space="preserve"> </w:t>
      </w:r>
      <w:r>
        <w:rPr>
          <w:rFonts w:ascii="Consolas" w:hAnsi="Consolas"/>
          <w:sz w:val="18"/>
        </w:rPr>
        <w:t>js/privacy.js</w:t>
      </w:r>
      <w:r>
        <w:t xml:space="preserve"> (consent, analytics, data-rights form, member panel), </w:t>
      </w:r>
      <w:r>
        <w:rPr>
          <w:rFonts w:ascii="Consolas" w:hAnsi="Consolas"/>
          <w:sz w:val="18"/>
        </w:rPr>
        <w:t>js/privacy-admin.js</w:t>
      </w:r>
      <w:r>
        <w:t xml:space="preserve"> (dashboard), </w:t>
      </w:r>
      <w:r>
        <w:rPr>
          <w:rFonts w:ascii="Consolas" w:hAnsi="Consolas"/>
          <w:sz w:val="18"/>
        </w:rPr>
        <w:t>js/committee-ack.js</w:t>
      </w:r>
      <w:r>
        <w:t xml:space="preserve"> (yearly committee training confirmation).</w:t>
      </w:r>
    </w:p>
    <w:p>
      <w:r>
        <w:rPr>
          <w:b/>
        </w:rPr>
        <w:t>Database:</w:t>
      </w:r>
      <w:r>
        <w:t xml:space="preserve"> </w:t>
      </w:r>
      <w:r>
        <w:rPr>
          <w:rFonts w:ascii="Consolas" w:hAnsi="Consolas"/>
          <w:sz w:val="18"/>
        </w:rPr>
        <w:t>db/migrations/110-data-protection-compliance.sql</w:t>
      </w:r>
      <w:r>
        <w:t xml:space="preserve">, </w:t>
      </w:r>
      <w:r>
        <w:rPr>
          <w:rFonts w:ascii="Consolas" w:hAnsi="Consolas"/>
          <w:sz w:val="18"/>
        </w:rPr>
        <w:t>111-committee-data-protection-acknowledgement.sql</w:t>
      </w:r>
      <w:r>
        <w:t xml:space="preserve"> and </w:t>
      </w:r>
      <w:r>
        <w:rPr>
          <w:rFonts w:ascii="Consolas" w:hAnsi="Consolas"/>
          <w:sz w:val="18"/>
        </w:rPr>
        <w:t>112-network-opt-in-and-event-interest.sql and 113-network-listed-by-default.sql</w:t>
      </w:r>
      <w:r>
        <w:t>.</w:t>
      </w:r>
    </w:p>
    <w:p>
      <w:r>
        <w:rPr>
          <w:b/>
        </w:rPr>
        <w:t>Changed:</w:t>
      </w:r>
      <w:r>
        <w:t xml:space="preserve"> every page (footer legal links, privacy script, version string); </w:t>
      </w:r>
      <w:r>
        <w:rPr>
          <w:rFonts w:ascii="Consolas" w:hAnsi="Consolas"/>
          <w:sz w:val="18"/>
        </w:rPr>
        <w:t>member-hub.html</w:t>
      </w:r>
      <w:r>
        <w:t xml:space="preserve"> (My data and privacy); </w:t>
      </w:r>
      <w:r>
        <w:rPr>
          <w:rFonts w:ascii="Consolas" w:hAnsi="Consolas"/>
          <w:sz w:val="18"/>
        </w:rPr>
        <w:t>president-dashboard.html</w:t>
      </w:r>
      <w:r>
        <w:t xml:space="preserve"> (the committee dashboard; Data &amp; Privacy section); </w:t>
      </w:r>
      <w:r>
        <w:rPr>
          <w:rFonts w:ascii="Consolas" w:hAnsi="Consolas"/>
          <w:sz w:val="18"/>
        </w:rPr>
        <w:t>js/main.js</w:t>
      </w:r>
      <w:r>
        <w:t xml:space="preserve"> (visit counter moved behind consent); </w:t>
      </w:r>
      <w:r>
        <w:rPr>
          <w:rFonts w:ascii="Consolas" w:hAnsi="Consolas"/>
          <w:sz w:val="18"/>
        </w:rPr>
        <w:t>js/members.js</w:t>
      </w:r>
      <w:r>
        <w:t xml:space="preserve"> (privacy notice gate with versioning, also for professionals); </w:t>
      </w:r>
      <w:r>
        <w:rPr>
          <w:rFonts w:ascii="Consolas" w:hAnsi="Consolas"/>
          <w:sz w:val="18"/>
        </w:rPr>
        <w:t>js/email-centre.js</w:t>
      </w:r>
      <w:r>
        <w:t xml:space="preserve"> and the two email edge functions (opt-out, sender identification); </w:t>
      </w:r>
      <w:r>
        <w:rPr>
          <w:rFonts w:ascii="Consolas" w:hAnsi="Consolas"/>
          <w:sz w:val="18"/>
        </w:rPr>
        <w:t>js/sankofa-hub.js</w:t>
      </w:r>
      <w:r>
        <w:t xml:space="preserve">, </w:t>
      </w:r>
      <w:r>
        <w:rPr>
          <w:rFonts w:ascii="Consolas" w:hAnsi="Consolas"/>
          <w:sz w:val="18"/>
        </w:rPr>
        <w:t>js/members.js</w:t>
      </w:r>
      <w:r>
        <w:t xml:space="preserve">, </w:t>
      </w:r>
      <w:r>
        <w:rPr>
          <w:rFonts w:ascii="Consolas" w:hAnsi="Consolas"/>
          <w:sz w:val="18"/>
        </w:rPr>
        <w:t>js/feedback.js</w:t>
      </w:r>
      <w:r>
        <w:t xml:space="preserve">, </w:t>
      </w:r>
      <w:r>
        <w:rPr>
          <w:rFonts w:ascii="Consolas" w:hAnsi="Consolas"/>
          <w:sz w:val="18"/>
        </w:rPr>
        <w:t>request-account.html</w:t>
      </w:r>
      <w:r>
        <w:t xml:space="preserve">, </w:t>
      </w:r>
      <w:r>
        <w:rPr>
          <w:rFonts w:ascii="Consolas" w:hAnsi="Consolas"/>
          <w:sz w:val="18"/>
        </w:rPr>
        <w:t>request-professional-account.html</w:t>
      </w:r>
      <w:r>
        <w:t xml:space="preserve">, </w:t>
      </w:r>
      <w:r>
        <w:rPr>
          <w:rFonts w:ascii="Consolas" w:hAnsi="Consolas"/>
          <w:sz w:val="18"/>
        </w:rPr>
        <w:t>member-sankofa.html</w:t>
      </w:r>
      <w:r>
        <w:t xml:space="preserve">, </w:t>
      </w:r>
      <w:r>
        <w:rPr>
          <w:rFonts w:ascii="Consolas" w:hAnsi="Consolas"/>
          <w:sz w:val="18"/>
        </w:rPr>
        <w:t>motm.html</w:t>
      </w:r>
      <w:r>
        <w:t xml:space="preserve">, </w:t>
      </w:r>
      <w:r>
        <w:rPr>
          <w:rFonts w:ascii="Consolas" w:hAnsi="Consolas"/>
          <w:sz w:val="18"/>
        </w:rPr>
        <w:t>gallery.html</w:t>
      </w:r>
      <w:r>
        <w:t xml:space="preserve">, </w:t>
      </w:r>
      <w:r>
        <w:rPr>
          <w:rFonts w:ascii="Consolas" w:hAnsi="Consolas"/>
          <w:sz w:val="18"/>
        </w:rPr>
        <w:t>mmg.html</w:t>
      </w:r>
      <w:r>
        <w:t xml:space="preserve"> (notices at the point of collection); </w:t>
      </w:r>
      <w:r>
        <w:rPr>
          <w:rFonts w:ascii="Consolas" w:hAnsi="Consolas"/>
          <w:sz w:val="18"/>
        </w:rPr>
        <w:t>css/styles.css</w:t>
      </w:r>
      <w:r>
        <w:t xml:space="preserve"> (self-hosted fonts and new styles); all pages (login library self-hosted, unlabelled inputs fixed).</w:t>
      </w:r>
    </w:p>
    <w:p>
      <w:r>
        <w:rPr>
          <w:b/>
        </w:rPr>
        <w:t>New static assets:</w:t>
      </w:r>
      <w:r>
        <w:t xml:space="preserve"> </w:t>
      </w:r>
      <w:r>
        <w:rPr>
          <w:rFonts w:ascii="Consolas" w:hAnsi="Consolas"/>
          <w:sz w:val="18"/>
        </w:rPr>
        <w:t>css/fonts/*</w:t>
      </w:r>
      <w:r>
        <w:t xml:space="preserve"> (Inter and Fraunces, SIL Open Font License) and </w:t>
      </w:r>
      <w:r>
        <w:rPr>
          <w:rFonts w:ascii="Consolas" w:hAnsi="Consolas"/>
          <w:sz w:val="18"/>
        </w:rPr>
        <w:t>js/vendor/supabase-js-2.118.0.min.js</w:t>
      </w:r>
      <w:r>
        <w:t>.</w:t>
      </w:r>
    </w:p>
    <w:p>
      <w:pPr>
        <w:pStyle w:val="Heading1"/>
      </w:pPr>
      <w:r>
        <w:t>10. Open actions (nothing here can be done in code)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w:t>
            </w:r>
          </w:p>
        </w:tc>
        <w:tc>
          <w:tcPr>
            <w:tcW w:type="dxa" w:w="2493"/>
            <w:shd w:val="clear" w:color="auto" w:fill="E8E1CC"/>
          </w:tcPr>
          <w:p>
            <w:r>
              <w:rPr>
                <w:b/>
              </w:rPr>
            </w:r>
            <w:r>
              <w:rPr>
                <w:b/>
                <w:sz w:val="18"/>
              </w:rPr>
              <w:t>Priority</w:t>
            </w:r>
          </w:p>
        </w:tc>
        <w:tc>
          <w:tcPr>
            <w:tcW w:type="dxa" w:w="2493"/>
            <w:shd w:val="clear" w:color="auto" w:fill="E8E1CC"/>
          </w:tcPr>
          <w:p>
            <w:r>
              <w:rPr>
                <w:b/>
              </w:rPr>
            </w:r>
            <w:r>
              <w:rPr>
                <w:b/>
                <w:sz w:val="18"/>
              </w:rPr>
              <w:t>Action</w:t>
            </w:r>
          </w:p>
        </w:tc>
        <w:tc>
          <w:tcPr>
            <w:tcW w:type="dxa" w:w="2493"/>
            <w:shd w:val="clear" w:color="auto" w:fill="E8E1CC"/>
          </w:tcPr>
          <w:p>
            <w:r>
              <w:rPr>
                <w:b/>
              </w:rPr>
            </w:r>
            <w:r>
              <w:rPr>
                <w:b/>
                <w:sz w:val="18"/>
              </w:rPr>
              <w:t>Owner</w:t>
            </w:r>
          </w:p>
        </w:tc>
      </w:tr>
      <w:tr>
        <w:tc>
          <w:tcPr>
            <w:tcW w:type="dxa" w:w="2493"/>
          </w:tcPr>
          <w:p>
            <w:r/>
            <w:r>
              <w:rPr>
                <w:sz w:val="17"/>
              </w:rPr>
              <w:t>10.1</w:t>
            </w:r>
          </w:p>
        </w:tc>
        <w:tc>
          <w:tcPr>
            <w:tcW w:type="dxa" w:w="2493"/>
          </w:tcPr>
          <w:p>
            <w:r/>
            <w:r>
              <w:rPr>
                <w:b/>
                <w:sz w:val="17"/>
              </w:rPr>
              <w:t>High</w:t>
            </w:r>
          </w:p>
        </w:tc>
        <w:tc>
          <w:tcPr>
            <w:tcW w:type="dxa" w:w="2493"/>
          </w:tcPr>
          <w:p>
            <w:r/>
            <w:r>
              <w:rPr>
                <w:b/>
                <w:sz w:val="17"/>
              </w:rPr>
              <w:t>Make first contact with ULSU</w:t>
            </w:r>
            <w:r>
              <w:rPr>
                <w:sz w:val="17"/>
              </w:rPr>
              <w:t xml:space="preserve"> (none has happened yet) and get </w:t>
            </w:r>
            <w:r>
              <w:rPr>
                <w:b/>
                <w:sz w:val="17"/>
              </w:rPr>
              <w:t>written confirmation</w:t>
            </w:r>
            <w:r>
              <w:rPr>
                <w:sz w:val="17"/>
              </w:rPr>
              <w:t xml:space="preserve"> of who is the data controller for the society's website (LACMS alone, ULSU, or joint) and that the wording in section 1 of the privacy notice is right. Ask whether ULSU wants a data-sharing or processing agreement with LACMS.</w:t>
            </w:r>
          </w:p>
        </w:tc>
        <w:tc>
          <w:tcPr>
            <w:tcW w:type="dxa" w:w="2493"/>
          </w:tcPr>
          <w:p>
            <w:r/>
            <w:r>
              <w:rPr>
                <w:sz w:val="17"/>
              </w:rPr>
              <w:t>Committee, with ULSU Student Communities and DPO (</w:t>
            </w:r>
            <w:r>
              <w:rPr>
                <w:rFonts w:ascii="Consolas" w:hAnsi="Consolas"/>
                <w:sz w:val="18"/>
              </w:rPr>
              <w:t>compliance@lincolnsu.com</w:t>
            </w:r>
            <w:r>
              <w:rPr>
                <w:sz w:val="17"/>
              </w:rPr>
              <w:t>)</w:t>
            </w:r>
          </w:p>
        </w:tc>
      </w:tr>
      <w:tr>
        <w:tc>
          <w:tcPr>
            <w:tcW w:type="dxa" w:w="2493"/>
          </w:tcPr>
          <w:p>
            <w:r/>
            <w:r>
              <w:rPr>
                <w:sz w:val="17"/>
              </w:rPr>
              <w:t>10.2</w:t>
            </w:r>
          </w:p>
        </w:tc>
        <w:tc>
          <w:tcPr>
            <w:tcW w:type="dxa" w:w="2493"/>
          </w:tcPr>
          <w:p>
            <w:r/>
            <w:r>
              <w:rPr>
                <w:b/>
                <w:sz w:val="17"/>
              </w:rPr>
              <w:t>High</w:t>
            </w:r>
          </w:p>
        </w:tc>
        <w:tc>
          <w:tcPr>
            <w:tcW w:type="dxa" w:w="2493"/>
          </w:tcPr>
          <w:p>
            <w:r/>
            <w:r>
              <w:rPr>
                <w:b/>
                <w:sz w:val="17"/>
              </w:rPr>
              <w:t>Deploy:</w:t>
            </w:r>
            <w:r>
              <w:rPr>
                <w:sz w:val="17"/>
              </w:rPr>
              <w:t xml:space="preserve"> run migration 110 in Supabase; redeploy the two email edge functions (</w:t>
            </w:r>
            <w:r>
              <w:rPr>
                <w:rFonts w:ascii="Consolas" w:hAnsi="Consolas"/>
                <w:sz w:val="18"/>
              </w:rPr>
              <w:t>send-account-email</w:t>
            </w:r>
            <w:r>
              <w:rPr>
                <w:sz w:val="17"/>
              </w:rPr>
              <w:t xml:space="preserve">, </w:t>
            </w:r>
            <w:r>
              <w:rPr>
                <w:rFonts w:ascii="Consolas" w:hAnsi="Consolas"/>
                <w:sz w:val="18"/>
              </w:rPr>
              <w:t>send-member-email</w:t>
            </w:r>
            <w:r>
              <w:rPr>
                <w:sz w:val="17"/>
              </w:rPr>
              <w:t>); publish the site. Until 110 runs, the request form and "My data" tools tell people to email instead.</w:t>
            </w:r>
          </w:p>
        </w:tc>
        <w:tc>
          <w:tcPr>
            <w:tcW w:type="dxa" w:w="2493"/>
          </w:tcPr>
          <w:p>
            <w:r/>
            <w:r>
              <w:rPr>
                <w:sz w:val="17"/>
              </w:rPr>
              <w:t>Site administrator</w:t>
            </w:r>
          </w:p>
        </w:tc>
      </w:tr>
      <w:tr>
        <w:tc>
          <w:tcPr>
            <w:tcW w:type="dxa" w:w="2493"/>
          </w:tcPr>
          <w:p>
            <w:r/>
            <w:r>
              <w:rPr>
                <w:sz w:val="17"/>
              </w:rPr>
              <w:t>10.3</w:t>
            </w:r>
          </w:p>
        </w:tc>
        <w:tc>
          <w:tcPr>
            <w:tcW w:type="dxa" w:w="2493"/>
          </w:tcPr>
          <w:p>
            <w:r/>
            <w:r>
              <w:rPr>
                <w:b/>
                <w:sz w:val="17"/>
              </w:rPr>
              <w:t>High</w:t>
            </w:r>
          </w:p>
        </w:tc>
        <w:tc>
          <w:tcPr>
            <w:tcW w:type="dxa" w:w="2493"/>
          </w:tcPr>
          <w:p>
            <w:r/>
            <w:r>
              <w:rPr>
                <w:sz w:val="17"/>
              </w:rPr>
              <w:t xml:space="preserve">Accept the data processing terms with </w:t>
            </w:r>
            <w:r>
              <w:rPr>
                <w:b/>
                <w:sz w:val="17"/>
              </w:rPr>
              <w:t>Supabase</w:t>
            </w:r>
            <w:r>
              <w:rPr>
                <w:sz w:val="17"/>
              </w:rPr>
              <w:t xml:space="preserve">, </w:t>
            </w:r>
            <w:r>
              <w:rPr>
                <w:b/>
                <w:sz w:val="17"/>
              </w:rPr>
              <w:t>Resend</w:t>
            </w:r>
            <w:r>
              <w:rPr>
                <w:sz w:val="17"/>
              </w:rPr>
              <w:t xml:space="preserve"> and </w:t>
            </w:r>
            <w:r>
              <w:rPr>
                <w:b/>
                <w:sz w:val="17"/>
              </w:rPr>
              <w:t>GitHub</w:t>
            </w:r>
            <w:r>
              <w:rPr>
                <w:sz w:val="17"/>
              </w:rPr>
              <w:t xml:space="preserve">; note each provider's transfer safeguard; confirm the Supabase project </w:t>
            </w:r>
            <w:r>
              <w:rPr>
                <w:b/>
                <w:sz w:val="17"/>
              </w:rPr>
              <w:t>region</w:t>
            </w:r>
            <w:r>
              <w:rPr>
                <w:sz w:val="17"/>
              </w:rPr>
              <w:t xml:space="preserve"> (ULSU's agreement with the University says student data isn't exported outside the EEA without adequate protection, so an EU/UK region and Resend's EU option are the safe choices). Decide with ULSU whether the privacy notice should describe recipients and overseas transfers (it currently doesn't).</w:t>
            </w:r>
          </w:p>
        </w:tc>
        <w:tc>
          <w:tcPr>
            <w:tcW w:type="dxa" w:w="2493"/>
          </w:tcPr>
          <w:p>
            <w:r/>
            <w:r>
              <w:rPr>
                <w:sz w:val="17"/>
              </w:rPr>
              <w:t>Site administrator</w:t>
            </w:r>
          </w:p>
        </w:tc>
      </w:tr>
      <w:tr>
        <w:tc>
          <w:tcPr>
            <w:tcW w:type="dxa" w:w="2493"/>
          </w:tcPr>
          <w:p>
            <w:r/>
            <w:r>
              <w:rPr>
                <w:sz w:val="17"/>
              </w:rPr>
              <w:t>10.4</w:t>
            </w:r>
          </w:p>
        </w:tc>
        <w:tc>
          <w:tcPr>
            <w:tcW w:type="dxa" w:w="2493"/>
          </w:tcPr>
          <w:p>
            <w:r/>
            <w:r>
              <w:rPr>
                <w:b/>
                <w:sz w:val="17"/>
              </w:rPr>
              <w:t>High</w:t>
            </w:r>
          </w:p>
        </w:tc>
        <w:tc>
          <w:tcPr>
            <w:tcW w:type="dxa" w:w="2493"/>
          </w:tcPr>
          <w:p>
            <w:r/>
            <w:r>
              <w:rPr>
                <w:sz w:val="17"/>
              </w:rPr>
              <w:t xml:space="preserve">Switch on </w:t>
            </w:r>
            <w:r>
              <w:rPr>
                <w:b/>
                <w:sz w:val="17"/>
              </w:rPr>
              <w:t>MFA</w:t>
            </w:r>
            <w:r>
              <w:rPr>
                <w:sz w:val="17"/>
              </w:rPr>
              <w:t xml:space="preserve"> for every account behind the site (Supabase, GitHub, Resend, domain registrar, and every committee member with dashboard access). In Supabase enable leaked-password protection. Confirm "Enforce HTTPS" is on in GitHub Pages.</w:t>
            </w:r>
          </w:p>
        </w:tc>
        <w:tc>
          <w:tcPr>
            <w:tcW w:type="dxa" w:w="2493"/>
          </w:tcPr>
          <w:p>
            <w:r/>
            <w:r>
              <w:rPr>
                <w:sz w:val="17"/>
              </w:rPr>
              <w:t>Site administrator</w:t>
            </w:r>
          </w:p>
        </w:tc>
      </w:tr>
      <w:tr>
        <w:tc>
          <w:tcPr>
            <w:tcW w:type="dxa" w:w="2493"/>
          </w:tcPr>
          <w:p>
            <w:r/>
            <w:r>
              <w:rPr>
                <w:sz w:val="17"/>
              </w:rPr>
              <w:t>10.5</w:t>
            </w:r>
          </w:p>
        </w:tc>
        <w:tc>
          <w:tcPr>
            <w:tcW w:type="dxa" w:w="2493"/>
          </w:tcPr>
          <w:p>
            <w:r/>
            <w:r>
              <w:rPr>
                <w:sz w:val="17"/>
              </w:rPr>
              <w:t>Medium</w:t>
            </w:r>
          </w:p>
        </w:tc>
        <w:tc>
          <w:tcPr>
            <w:tcW w:type="dxa" w:w="2493"/>
          </w:tcPr>
          <w:p>
            <w:r/>
            <w:r>
              <w:rPr>
                <w:sz w:val="17"/>
              </w:rPr>
              <w:t xml:space="preserve">Enable the </w:t>
            </w:r>
            <w:r>
              <w:rPr>
                <w:b/>
                <w:sz w:val="17"/>
              </w:rPr>
              <w:t>pg_cron</w:t>
            </w:r>
            <w:r>
              <w:rPr>
                <w:sz w:val="17"/>
              </w:rPr>
              <w:t xml:space="preserve"> extension in Supabase, then run migration 110 again (it then schedules the nightly clean-up), or press </w:t>
            </w:r>
            <w:r>
              <w:rPr>
                <w:i/>
                <w:sz w:val="17"/>
              </w:rPr>
              <w:t>Run clean-up now</w:t>
            </w:r>
            <w:r>
              <w:rPr>
                <w:sz w:val="17"/>
              </w:rPr>
              <w:t xml:space="preserve"> monthly. Review inactive accounts annually.</w:t>
            </w:r>
          </w:p>
        </w:tc>
        <w:tc>
          <w:tcPr>
            <w:tcW w:type="dxa" w:w="2493"/>
          </w:tcPr>
          <w:p>
            <w:r/>
            <w:r>
              <w:rPr>
                <w:sz w:val="17"/>
              </w:rPr>
              <w:t>Committee</w:t>
            </w:r>
          </w:p>
        </w:tc>
      </w:tr>
      <w:tr>
        <w:tc>
          <w:tcPr>
            <w:tcW w:type="dxa" w:w="2493"/>
          </w:tcPr>
          <w:p>
            <w:r/>
            <w:r>
              <w:rPr>
                <w:sz w:val="17"/>
              </w:rPr>
              <w:t>10.6</w:t>
            </w:r>
          </w:p>
        </w:tc>
        <w:tc>
          <w:tcPr>
            <w:tcW w:type="dxa" w:w="2493"/>
          </w:tcPr>
          <w:p>
            <w:r/>
            <w:r>
              <w:rPr>
                <w:sz w:val="17"/>
              </w:rPr>
              <w:t>Medium</w:t>
            </w:r>
          </w:p>
        </w:tc>
        <w:tc>
          <w:tcPr>
            <w:tcW w:type="dxa" w:w="2493"/>
          </w:tcPr>
          <w:p>
            <w:r/>
            <w:r>
              <w:rPr>
                <w:sz w:val="17"/>
              </w:rPr>
              <w:t xml:space="preserve">Confirm with ULSU the </w:t>
            </w:r>
            <w:r>
              <w:rPr>
                <w:b/>
                <w:sz w:val="17"/>
              </w:rPr>
              <w:t>ICO registration</w:t>
            </w:r>
            <w:r>
              <w:rPr>
                <w:sz w:val="17"/>
              </w:rPr>
              <w:t xml:space="preserve"> position: is LACMS covered by ULSU's data protection registration (ULSU is registered with the ICO under number 23259886 according to its published agreement with the University), or does it need its own?</w:t>
            </w:r>
          </w:p>
        </w:tc>
        <w:tc>
          <w:tcPr>
            <w:tcW w:type="dxa" w:w="2493"/>
          </w:tcPr>
          <w:p>
            <w:r/>
            <w:r>
              <w:rPr>
                <w:sz w:val="17"/>
              </w:rPr>
              <w:t>Committee, with ULSU</w:t>
            </w:r>
          </w:p>
        </w:tc>
      </w:tr>
      <w:tr>
        <w:tc>
          <w:tcPr>
            <w:tcW w:type="dxa" w:w="2493"/>
          </w:tcPr>
          <w:p>
            <w:r/>
            <w:r>
              <w:rPr>
                <w:sz w:val="17"/>
              </w:rPr>
              <w:t>10.7</w:t>
            </w:r>
          </w:p>
        </w:tc>
        <w:tc>
          <w:tcPr>
            <w:tcW w:type="dxa" w:w="2493"/>
          </w:tcPr>
          <w:p>
            <w:r/>
            <w:r>
              <w:rPr>
                <w:b/>
                <w:sz w:val="17"/>
              </w:rPr>
              <w:t>High</w:t>
            </w:r>
          </w:p>
        </w:tc>
        <w:tc>
          <w:tcPr>
            <w:tcW w:type="dxa" w:w="2493"/>
          </w:tcPr>
          <w:p>
            <w:r/>
            <w:r>
              <w:rPr>
                <w:b/>
                <w:sz w:val="17"/>
              </w:rPr>
              <w:t>Account continuity and ULSU policies:</w:t>
            </w:r>
            <w:r>
              <w:rPr>
                <w:sz w:val="17"/>
              </w:rPr>
              <w:t xml:space="preserve"> make sure every service login uses </w:t>
            </w:r>
            <w:r>
              <w:rPr>
                <w:rFonts w:ascii="Consolas" w:hAnsi="Consolas"/>
                <w:sz w:val="18"/>
              </w:rPr>
              <w:t>acms@lincolnsu.com</w:t>
            </w:r>
            <w:r>
              <w:rPr>
                <w:sz w:val="17"/>
              </w:rPr>
              <w:t xml:space="preserve"> (not a personal address) and is handed to ULSU at each annual handover; ask ULSU whether this independent website needs its approval under the social media policy; keep the ULSU logo off it unless approved (it currently isn't used). The site is currently run by a single volunteer, so the society needs a second trusted administrator so its data isn't stranded when committees change.</w:t>
            </w:r>
          </w:p>
        </w:tc>
        <w:tc>
          <w:tcPr>
            <w:tcW w:type="dxa" w:w="2493"/>
          </w:tcPr>
          <w:p>
            <w:r/>
            <w:r>
              <w:rPr>
                <w:sz w:val="17"/>
              </w:rPr>
              <w:t>Committee, with ULSU</w:t>
            </w:r>
          </w:p>
        </w:tc>
      </w:tr>
      <w:tr>
        <w:tc>
          <w:tcPr>
            <w:tcW w:type="dxa" w:w="2493"/>
          </w:tcPr>
          <w:p>
            <w:r/>
            <w:r>
              <w:rPr>
                <w:sz w:val="17"/>
              </w:rPr>
              <w:t>10.8</w:t>
            </w:r>
          </w:p>
        </w:tc>
        <w:tc>
          <w:tcPr>
            <w:tcW w:type="dxa" w:w="2493"/>
          </w:tcPr>
          <w:p>
            <w:r/>
            <w:r>
              <w:rPr>
                <w:b/>
                <w:sz w:val="17"/>
              </w:rPr>
              <w:t>High</w:t>
            </w:r>
          </w:p>
        </w:tc>
        <w:tc>
          <w:tcPr>
            <w:tcW w:type="dxa" w:w="2493"/>
          </w:tcPr>
          <w:p>
            <w:r/>
            <w:r>
              <w:rPr>
                <w:b/>
                <w:sz w:val="17"/>
              </w:rPr>
              <w:t>Safeguarding:</w:t>
            </w:r>
            <w:r>
              <w:rPr>
                <w:sz w:val="17"/>
              </w:rPr>
              <w:t xml:space="preserve"> agree who on the committee is the point of contact for passing safeguarding concerns to ULSU's Safeguarding Officers; committee members to complete ULSU's safeguarding and data protection training.</w:t>
            </w:r>
          </w:p>
        </w:tc>
        <w:tc>
          <w:tcPr>
            <w:tcW w:type="dxa" w:w="2493"/>
          </w:tcPr>
          <w:p>
            <w:r/>
            <w:r>
              <w:rPr>
                <w:sz w:val="17"/>
              </w:rPr>
              <w:t>Committee</w:t>
            </w:r>
          </w:p>
        </w:tc>
      </w:tr>
      <w:tr>
        <w:tc>
          <w:tcPr>
            <w:tcW w:type="dxa" w:w="2493"/>
          </w:tcPr>
          <w:p>
            <w:r/>
            <w:r>
              <w:rPr>
                <w:sz w:val="17"/>
              </w:rPr>
              <w:t>10.9</w:t>
            </w:r>
          </w:p>
        </w:tc>
        <w:tc>
          <w:tcPr>
            <w:tcW w:type="dxa" w:w="2493"/>
          </w:tcPr>
          <w:p>
            <w:r/>
            <w:r>
              <w:rPr>
                <w:sz w:val="17"/>
              </w:rPr>
              <w:t>Medium</w:t>
            </w:r>
          </w:p>
        </w:tc>
        <w:tc>
          <w:tcPr>
            <w:tcW w:type="dxa" w:w="2493"/>
          </w:tcPr>
          <w:p>
            <w:r/>
            <w:r>
              <w:rPr>
                <w:sz w:val="17"/>
              </w:rPr>
              <w:t>Rehearse the breach procedure once (who to call, where the log is).</w:t>
            </w:r>
          </w:p>
        </w:tc>
        <w:tc>
          <w:tcPr>
            <w:tcW w:type="dxa" w:w="2493"/>
          </w:tcPr>
          <w:p>
            <w:r/>
            <w:r>
              <w:rPr>
                <w:sz w:val="17"/>
              </w:rPr>
              <w:t>Committee</w:t>
            </w:r>
          </w:p>
        </w:tc>
      </w:tr>
      <w:tr>
        <w:tc>
          <w:tcPr>
            <w:tcW w:type="dxa" w:w="2493"/>
          </w:tcPr>
          <w:p>
            <w:r/>
            <w:r>
              <w:rPr>
                <w:sz w:val="17"/>
              </w:rPr>
              <w:t>10.10</w:t>
            </w:r>
          </w:p>
        </w:tc>
        <w:tc>
          <w:tcPr>
            <w:tcW w:type="dxa" w:w="2493"/>
          </w:tcPr>
          <w:p>
            <w:r/>
            <w:r>
              <w:rPr>
                <w:sz w:val="17"/>
              </w:rPr>
              <w:t>Medium</w:t>
            </w:r>
          </w:p>
        </w:tc>
        <w:tc>
          <w:tcPr>
            <w:tcW w:type="dxa" w:w="2493"/>
          </w:tcPr>
          <w:p>
            <w:r/>
            <w:r>
              <w:rPr>
                <w:sz w:val="17"/>
              </w:rPr>
              <w:t xml:space="preserve">Commission an </w:t>
            </w:r>
            <w:r>
              <w:rPr>
                <w:b/>
                <w:sz w:val="17"/>
              </w:rPr>
              <w:t>independent accessibility audit</w:t>
            </w:r>
            <w:r>
              <w:rPr>
                <w:sz w:val="17"/>
              </w:rPr>
              <w:t xml:space="preserve"> (WCAG 2.2 AA) and update the accessibility statement with the result.</w:t>
            </w:r>
          </w:p>
        </w:tc>
        <w:tc>
          <w:tcPr>
            <w:tcW w:type="dxa" w:w="2493"/>
          </w:tcPr>
          <w:p>
            <w:r/>
            <w:r>
              <w:rPr>
                <w:sz w:val="17"/>
              </w:rPr>
              <w:t>Committee</w:t>
            </w:r>
          </w:p>
        </w:tc>
      </w:tr>
      <w:tr>
        <w:tc>
          <w:tcPr>
            <w:tcW w:type="dxa" w:w="2493"/>
          </w:tcPr>
          <w:p>
            <w:r/>
            <w:r>
              <w:rPr>
                <w:sz w:val="17"/>
              </w:rPr>
              <w:t>10.11</w:t>
            </w:r>
          </w:p>
        </w:tc>
        <w:tc>
          <w:tcPr>
            <w:tcW w:type="dxa" w:w="2493"/>
          </w:tcPr>
          <w:p>
            <w:r/>
            <w:r>
              <w:rPr>
                <w:sz w:val="17"/>
              </w:rPr>
              <w:t>Medium</w:t>
            </w:r>
          </w:p>
        </w:tc>
        <w:tc>
          <w:tcPr>
            <w:tcW w:type="dxa" w:w="2493"/>
          </w:tcPr>
          <w:p>
            <w:r/>
            <w:r>
              <w:rPr>
                <w:sz w:val="17"/>
              </w:rPr>
              <w:t>Read the ULSU documents only skimmed in this review (section 2) and tell us if anything conflicts.</w:t>
            </w:r>
          </w:p>
        </w:tc>
        <w:tc>
          <w:tcPr>
            <w:tcW w:type="dxa" w:w="2493"/>
          </w:tcPr>
          <w:p>
            <w:r/>
            <w:r>
              <w:rPr>
                <w:sz w:val="17"/>
              </w:rPr>
              <w:t>Committee</w:t>
            </w:r>
          </w:p>
        </w:tc>
      </w:tr>
      <w:tr>
        <w:tc>
          <w:tcPr>
            <w:tcW w:type="dxa" w:w="2493"/>
          </w:tcPr>
          <w:p>
            <w:r/>
            <w:r>
              <w:rPr>
                <w:sz w:val="17"/>
              </w:rPr>
              <w:t>10.12</w:t>
            </w:r>
          </w:p>
        </w:tc>
        <w:tc>
          <w:tcPr>
            <w:tcW w:type="dxa" w:w="2493"/>
          </w:tcPr>
          <w:p>
            <w:r/>
            <w:r>
              <w:rPr>
                <w:sz w:val="17"/>
              </w:rPr>
              <w:t>Medium</w:t>
            </w:r>
          </w:p>
        </w:tc>
        <w:tc>
          <w:tcPr>
            <w:tcW w:type="dxa" w:w="2493"/>
          </w:tcPr>
          <w:p>
            <w:r/>
            <w:r>
              <w:rPr>
                <w:sz w:val="17"/>
              </w:rPr>
              <w:t xml:space="preserve">Confirm winners' </w:t>
            </w:r>
            <w:r>
              <w:rPr>
                <w:b/>
                <w:sz w:val="17"/>
              </w:rPr>
              <w:t>consent before publishing</w:t>
            </w:r>
            <w:r>
              <w:rPr>
                <w:sz w:val="17"/>
              </w:rPr>
              <w:t xml:space="preserve"> Member of the Month entries and committee photos; the notice says winners are shown but does not claim a recorded consent.</w:t>
            </w:r>
          </w:p>
        </w:tc>
        <w:tc>
          <w:tcPr>
            <w:tcW w:type="dxa" w:w="2493"/>
          </w:tcPr>
          <w:p>
            <w:r/>
            <w:r>
              <w:rPr>
                <w:sz w:val="17"/>
              </w:rPr>
              <w:t>Committee</w:t>
            </w:r>
          </w:p>
        </w:tc>
      </w:tr>
      <w:tr>
        <w:tc>
          <w:tcPr>
            <w:tcW w:type="dxa" w:w="2493"/>
          </w:tcPr>
          <w:p>
            <w:r/>
            <w:r>
              <w:rPr>
                <w:sz w:val="17"/>
              </w:rPr>
              <w:t>10.13</w:t>
            </w:r>
          </w:p>
        </w:tc>
        <w:tc>
          <w:tcPr>
            <w:tcW w:type="dxa" w:w="2493"/>
          </w:tcPr>
          <w:p>
            <w:r/>
            <w:r>
              <w:rPr>
                <w:sz w:val="17"/>
              </w:rPr>
              <w:t>Low</w:t>
            </w:r>
          </w:p>
        </w:tc>
        <w:tc>
          <w:tcPr>
            <w:tcW w:type="dxa" w:w="2493"/>
          </w:tcPr>
          <w:p>
            <w:r/>
            <w:r>
              <w:rPr>
                <w:sz w:val="17"/>
              </w:rPr>
              <w:t xml:space="preserve">Review the privacy notice, terms and this report every year, or whenever a new feature collects new data (for example update </w:t>
            </w:r>
            <w:r>
              <w:rPr>
                <w:rFonts w:ascii="Consolas" w:hAnsi="Consolas"/>
                <w:sz w:val="18"/>
              </w:rPr>
              <w:t>privacy.html</w:t>
            </w:r>
            <w:r>
              <w:rPr>
                <w:sz w:val="17"/>
              </w:rPr>
              <w:t xml:space="preserve"> and bump </w:t>
            </w:r>
            <w:r>
              <w:rPr>
                <w:rFonts w:ascii="Consolas" w:hAnsi="Consolas"/>
                <w:sz w:val="18"/>
              </w:rPr>
              <w:t>PRIVACY_VERSION</w:t>
            </w:r>
            <w:r>
              <w:rPr>
                <w:sz w:val="17"/>
              </w:rPr>
              <w:t xml:space="preserve"> in </w:t>
            </w:r>
            <w:r>
              <w:rPr>
                <w:rFonts w:ascii="Consolas" w:hAnsi="Consolas"/>
                <w:sz w:val="18"/>
              </w:rPr>
              <w:t>js/privacy.js</w:t>
            </w:r>
            <w:r>
              <w:rPr>
                <w:sz w:val="17"/>
              </w:rPr>
              <w:t>).</w:t>
            </w:r>
          </w:p>
        </w:tc>
        <w:tc>
          <w:tcPr>
            <w:tcW w:type="dxa" w:w="2493"/>
          </w:tcPr>
          <w:p>
            <w:r/>
            <w:r>
              <w:rPr>
                <w:sz w:val="17"/>
              </w:rPr>
              <w:t>Committee</w:t>
            </w:r>
          </w:p>
        </w:tc>
      </w:tr>
      <w:tr>
        <w:tc>
          <w:tcPr>
            <w:tcW w:type="dxa" w:w="2493"/>
          </w:tcPr>
          <w:p>
            <w:r/>
            <w:r>
              <w:rPr>
                <w:sz w:val="17"/>
              </w:rPr>
              <w:t>10.14</w:t>
            </w:r>
          </w:p>
        </w:tc>
        <w:tc>
          <w:tcPr>
            <w:tcW w:type="dxa" w:w="2493"/>
          </w:tcPr>
          <w:p>
            <w:r/>
            <w:r>
              <w:rPr>
                <w:sz w:val="17"/>
              </w:rPr>
              <w:t>Low</w:t>
            </w:r>
          </w:p>
        </w:tc>
        <w:tc>
          <w:tcPr>
            <w:tcW w:type="dxa" w:w="2493"/>
          </w:tcPr>
          <w:p>
            <w:r/>
            <w:r>
              <w:rPr>
                <w:sz w:val="17"/>
              </w:rPr>
              <w:t>Check the commencement dates of the Data (Use and Access) Act 2025 provisions on legislation.gov.uk before relying on any date mentioned in this report.</w:t>
            </w:r>
          </w:p>
        </w:tc>
        <w:tc>
          <w:tcPr>
            <w:tcW w:type="dxa" w:w="2493"/>
          </w:tcPr>
          <w:p>
            <w:r/>
            <w:r>
              <w:rPr>
                <w:sz w:val="17"/>
              </w:rPr>
              <w:t>Site administrator</w:t>
            </w:r>
          </w:p>
        </w:tc>
      </w:tr>
      <w:tr>
        <w:tc>
          <w:tcPr>
            <w:tcW w:type="dxa" w:w="2493"/>
          </w:tcPr>
          <w:p>
            <w:r/>
            <w:r>
              <w:rPr>
                <w:sz w:val="17"/>
              </w:rPr>
              <w:t>10.15</w:t>
            </w:r>
          </w:p>
        </w:tc>
        <w:tc>
          <w:tcPr>
            <w:tcW w:type="dxa" w:w="2493"/>
          </w:tcPr>
          <w:p>
            <w:r/>
            <w:r>
              <w:rPr>
                <w:b/>
                <w:sz w:val="17"/>
              </w:rPr>
              <w:t>High</w:t>
            </w:r>
          </w:p>
        </w:tc>
        <w:tc>
          <w:tcPr>
            <w:tcW w:type="dxa" w:w="2493"/>
          </w:tcPr>
          <w:p>
            <w:r/>
            <w:r>
              <w:rPr>
                <w:b/>
                <w:sz w:val="17"/>
              </w:rPr>
              <w:t>Non-student participation and the Network directory.</w:t>
            </w:r>
            <w:r>
              <w:rPr>
                <w:sz w:val="17"/>
              </w:rPr>
              <w:t xml:space="preserve"> (a) ULSU's Non-Student Membership Policy says non-students take part in society activity only through a non-student membership type and cannot hold committee roles. Ask ULSU how healthcare professionals (mentors, speakers, Network users) may take part. (b) </w:t>
            </w:r>
            <w:r>
              <w:rPr>
                <w:b/>
                <w:sz w:val="17"/>
              </w:rPr>
              <w:t>The Network directory</w:t>
            </w:r>
            <w:r>
              <w:rPr>
                <w:sz w:val="17"/>
              </w:rPr>
              <w:t xml:space="preserve"> is now </w:t>
            </w:r>
            <w:r>
              <w:rPr>
                <w:b/>
                <w:sz w:val="17"/>
              </w:rPr>
              <w:t>listed by default</w:t>
            </w:r>
            <w:r>
              <w:rPr>
                <w:sz w:val="17"/>
              </w:rPr>
              <w:t xml:space="preserve"> (migration 113, which replaced the opt-in of 112): the "Show me in the Network" box is ticked for everyone, anyone can untick it and is removed straight away, and email addresses are never shown. Because a pre-ticked box is not valid consent, the privacy notice treats this as legitimate interests with an easy opt-out; the committee should be comfortable with that, and may wish to tell members before it goes live. Healthcare professionals are listed on the consent they give on their request form. Still ask ULSU whether it is happy with this directory, and whether professionals should see it.</w:t>
            </w:r>
          </w:p>
        </w:tc>
        <w:tc>
          <w:tcPr>
            <w:tcW w:type="dxa" w:w="2493"/>
          </w:tcPr>
          <w:p>
            <w:r/>
            <w:r>
              <w:rPr>
                <w:sz w:val="17"/>
              </w:rPr>
              <w:t>Committee, with ULSU</w:t>
            </w:r>
          </w:p>
        </w:tc>
      </w:tr>
      <w:tr>
        <w:tc>
          <w:tcPr>
            <w:tcW w:type="dxa" w:w="2493"/>
          </w:tcPr>
          <w:p>
            <w:r/>
            <w:r>
              <w:rPr>
                <w:sz w:val="17"/>
              </w:rPr>
              <w:t>10.16</w:t>
            </w:r>
          </w:p>
        </w:tc>
        <w:tc>
          <w:tcPr>
            <w:tcW w:type="dxa" w:w="2493"/>
          </w:tcPr>
          <w:p>
            <w:r/>
            <w:r>
              <w:rPr>
                <w:b/>
                <w:sz w:val="17"/>
              </w:rPr>
              <w:t>High</w:t>
            </w:r>
          </w:p>
        </w:tc>
        <w:tc>
          <w:tcPr>
            <w:tcW w:type="dxa" w:w="2493"/>
          </w:tcPr>
          <w:p>
            <w:r/>
            <w:r>
              <w:rPr>
                <w:b/>
                <w:sz w:val="17"/>
              </w:rPr>
              <w:t>Committee data protection training.</w:t>
            </w:r>
            <w:r>
              <w:rPr>
                <w:sz w:val="17"/>
              </w:rPr>
              <w:t xml:space="preserve"> ULSU's Code of Conduct requires it before committee members access personal data. Ask ULSU for the training and have every committee member complete it; the dashboard records each person's yearly confirmation and reminds anyone who says "not yet". Decide whether you would rather block dashboard access until it is confirmed (the site records and reminds, it doesn't block).</w:t>
            </w:r>
          </w:p>
        </w:tc>
        <w:tc>
          <w:tcPr>
            <w:tcW w:type="dxa" w:w="2493"/>
          </w:tcPr>
          <w:p>
            <w:r/>
            <w:r>
              <w:rPr>
                <w:sz w:val="17"/>
              </w:rPr>
              <w:t>Committee, with ULSU</w:t>
            </w:r>
          </w:p>
        </w:tc>
      </w:tr>
      <w:tr>
        <w:tc>
          <w:tcPr>
            <w:tcW w:type="dxa" w:w="2493"/>
          </w:tcPr>
          <w:p>
            <w:r/>
            <w:r>
              <w:rPr>
                <w:sz w:val="17"/>
              </w:rPr>
              <w:t>10.17</w:t>
            </w:r>
          </w:p>
        </w:tc>
        <w:tc>
          <w:tcPr>
            <w:tcW w:type="dxa" w:w="2493"/>
          </w:tcPr>
          <w:p>
            <w:r/>
            <w:r>
              <w:rPr>
                <w:b/>
                <w:sz w:val="17"/>
              </w:rPr>
              <w:t>High</w:t>
            </w:r>
          </w:p>
        </w:tc>
        <w:tc>
          <w:tcPr>
            <w:tcW w:type="dxa" w:w="2493"/>
          </w:tcPr>
          <w:p>
            <w:r/>
            <w:r>
              <w:rPr>
                <w:b/>
                <w:sz w:val="17"/>
              </w:rPr>
              <w:t>External speakers.</w:t>
            </w:r>
            <w:r>
              <w:rPr>
                <w:sz w:val="17"/>
              </w:rPr>
              <w:t xml:space="preserve"> Any event with a speaker who isn't a current Lincoln student or staff member (doctors, professionals, mentors giving a talk) must be cleared by ULSU through the Student Dashboard at least 10 working days ahead, and not publicised until cleared. Check every event currently on the events page and the Sankofa sessions, and keep any uncleared one off the website until cleared.</w:t>
            </w:r>
          </w:p>
        </w:tc>
        <w:tc>
          <w:tcPr>
            <w:tcW w:type="dxa" w:w="2493"/>
          </w:tcPr>
          <w:p>
            <w:r/>
            <w:r>
              <w:rPr>
                <w:sz w:val="17"/>
              </w:rPr>
              <w:t>Committee</w:t>
            </w:r>
          </w:p>
        </w:tc>
      </w:tr>
      <w:tr>
        <w:tc>
          <w:tcPr>
            <w:tcW w:type="dxa" w:w="2493"/>
          </w:tcPr>
          <w:p>
            <w:r/>
            <w:r>
              <w:rPr>
                <w:sz w:val="17"/>
              </w:rPr>
              <w:t>10.18</w:t>
            </w:r>
          </w:p>
        </w:tc>
        <w:tc>
          <w:tcPr>
            <w:tcW w:type="dxa" w:w="2493"/>
          </w:tcPr>
          <w:p>
            <w:r/>
            <w:r>
              <w:rPr>
                <w:sz w:val="17"/>
              </w:rPr>
              <w:t>Medium</w:t>
            </w:r>
          </w:p>
        </w:tc>
        <w:tc>
          <w:tcPr>
            <w:tcW w:type="dxa" w:w="2493"/>
          </w:tcPr>
          <w:p>
            <w:r/>
            <w:r>
              <w:rPr>
                <w:b/>
                <w:sz w:val="17"/>
              </w:rPr>
              <w:t>Fundraising.</w:t>
            </w:r>
            <w:r>
              <w:rPr>
                <w:sz w:val="17"/>
              </w:rPr>
              <w:t xml:space="preserve"> The events page advertises a Winter Charity Fundraiser. ULSU's Code says all money must go through ULSU and raising funds for an outside cause needs the Trustees' permission. Read ULSU's Fundraising Policy and agree the plan with ULSU before promoting it further.</w:t>
            </w:r>
          </w:p>
        </w:tc>
        <w:tc>
          <w:tcPr>
            <w:tcW w:type="dxa" w:w="2493"/>
          </w:tcPr>
          <w:p>
            <w:r/>
            <w:r>
              <w:rPr>
                <w:sz w:val="17"/>
              </w:rPr>
              <w:t>Committee, with ULSU</w:t>
            </w:r>
          </w:p>
        </w:tc>
      </w:tr>
    </w:tbl>
    <w:p/>
    <w:p>
      <w:pPr>
        <w:pStyle w:val="Heading1"/>
      </w:pPr>
      <w:r>
        <w:t>11. How this was verified</w:t>
      </w:r>
    </w:p>
    <w:p>
      <w:pPr>
        <w:pStyle w:val="ListBullet"/>
      </w:pPr>
      <w:r>
        <w:rPr>
          <w:b/>
        </w:rPr>
        <w:t>Database (migration 110):</w:t>
      </w:r>
      <w:r>
        <w:t xml:space="preserve"> 62 automated checks against a clean PostgreSQL instance with stand-in tables (public submissions and rate limit, permissions for anonymous, member and administrator, export contents and exclusion of other people's data, full erasure with cascades and anonymisation, retention deletes old and keeps new, inactive accounts, email preferences, privacy acknowledgement). All passed. It was </w:t>
      </w:r>
      <w:r>
        <w:rPr>
          <w:b/>
        </w:rPr>
        <w:t>not</w:t>
      </w:r>
      <w:r>
        <w:t xml:space="preserve"> run against the live Supabase database, so run the checks in section 10.2 after deploying.</w:t>
      </w:r>
    </w:p>
    <w:p>
      <w:pPr>
        <w:pStyle w:val="ListBullet"/>
      </w:pPr>
      <w:r>
        <w:rPr>
          <w:b/>
        </w:rPr>
        <w:t>Browser:</w:t>
      </w:r>
      <w:r>
        <w:t xml:space="preserve"> consent banner (no storage or recording before consent, deletion of the visitor ID on withdrawal, Do Not Track), cookie settings, data-rights form (validation, honeypot, submission, confirmation), members hub "My data and privacy" (download, email preference, deletion request, request list), committee dashboard "Data &amp; Privacy" (queue, overdue and safeguarding flags, status save, export, erase, clean-up, inactive accounts). These ran against a mock server, not the live back end.</w:t>
      </w:r>
    </w:p>
    <w:p>
      <w:pPr>
        <w:pStyle w:val="ListBullet"/>
      </w:pPr>
      <w:r>
        <w:rPr>
          <w:b/>
        </w:rPr>
        <w:t>Static checks:</w:t>
      </w:r>
      <w:r>
        <w:t xml:space="preserve"> every local link, script and font referenced by every page resolves; no third-party script, font, iframe or tracker is loaded; form controls labelled; all pages have a language and title, and all pages except the QR redirect and partner-results pages have a skip link.</w:t>
      </w:r>
    </w:p>
    <w:p>
      <w:pPr>
        <w:pStyle w:val="ListBullet"/>
      </w:pPr>
      <w:r>
        <w:rPr>
          <w:b/>
        </w:rPr>
        <w:t>Migration 111:</w:t>
      </w:r>
      <w:r>
        <w:t xml:space="preserve"> 10 automated checks (confirm, update, permissions, listing). </w:t>
      </w:r>
      <w:r>
        <w:rPr>
          <w:b/>
        </w:rPr>
        <w:t>Browser:</w:t>
      </w:r>
      <w:r>
        <w:t xml:space="preserve"> the yearly confirmation, the "not yet" reminder and the president's list were run against the mock server.</w:t>
      </w:r>
    </w:p>
    <w:p>
      <w:pPr>
        <w:pStyle w:val="ListBullet"/>
      </w:pPr>
      <w:r>
        <w:rPr>
          <w:b/>
        </w:rPr>
        <w:t>Not done:</w:t>
      </w:r>
      <w:r>
        <w:t xml:space="preserve"> the edge functions could not be run locally (no Deno), so their changes are text edits that need a test email after redeploying; no independent legal review; no accessibility audit; no penetration test.</w:t>
      </w:r>
    </w:p>
    <w:p>
      <w:pPr>
        <w:pStyle w:val="Heading1"/>
      </w:pPr>
      <w:r>
        <w:t>Appendix A: Data protection impact assessment (summary)</w:t>
      </w:r>
    </w:p>
    <w:p>
      <w:r>
        <w:rPr>
          <w:b/>
        </w:rPr>
        <w:t>Processing:</w:t>
      </w:r>
      <w:r>
        <w:t xml:space="preserve"> Sankofa mentoring Hub (wellbeing check-ins, optional heritage), and private messaging.</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Risk</w:t>
            </w:r>
          </w:p>
        </w:tc>
        <w:tc>
          <w:tcPr>
            <w:tcW w:type="dxa" w:w="1994"/>
            <w:shd w:val="clear" w:color="auto" w:fill="E8E1CC"/>
          </w:tcPr>
          <w:p>
            <w:r>
              <w:rPr>
                <w:b/>
              </w:rPr>
            </w:r>
            <w:r>
              <w:rPr>
                <w:b/>
                <w:sz w:val="18"/>
              </w:rPr>
              <w:t>Likelihood</w:t>
            </w:r>
          </w:p>
        </w:tc>
        <w:tc>
          <w:tcPr>
            <w:tcW w:type="dxa" w:w="1994"/>
            <w:shd w:val="clear" w:color="auto" w:fill="E8E1CC"/>
          </w:tcPr>
          <w:p>
            <w:r>
              <w:rPr>
                <w:b/>
              </w:rPr>
            </w:r>
            <w:r>
              <w:rPr>
                <w:b/>
                <w:sz w:val="18"/>
              </w:rPr>
              <w:t>Severity</w:t>
            </w:r>
          </w:p>
        </w:tc>
        <w:tc>
          <w:tcPr>
            <w:tcW w:type="dxa" w:w="1994"/>
            <w:shd w:val="clear" w:color="auto" w:fill="E8E1CC"/>
          </w:tcPr>
          <w:p>
            <w:r>
              <w:rPr>
                <w:b/>
              </w:rPr>
            </w:r>
            <w:r>
              <w:rPr>
                <w:b/>
                <w:sz w:val="18"/>
              </w:rPr>
              <w:t>Controls in place</w:t>
            </w:r>
          </w:p>
        </w:tc>
        <w:tc>
          <w:tcPr>
            <w:tcW w:type="dxa" w:w="1994"/>
            <w:shd w:val="clear" w:color="auto" w:fill="E8E1CC"/>
          </w:tcPr>
          <w:p>
            <w:r>
              <w:rPr>
                <w:b/>
              </w:rPr>
            </w:r>
            <w:r>
              <w:rPr>
                <w:b/>
                <w:sz w:val="18"/>
              </w:rPr>
              <w:t>Residual</w:t>
            </w:r>
          </w:p>
        </w:tc>
      </w:tr>
      <w:tr>
        <w:tc>
          <w:tcPr>
            <w:tcW w:type="dxa" w:w="1994"/>
          </w:tcPr>
          <w:p>
            <w:r/>
            <w:r>
              <w:rPr>
                <w:sz w:val="17"/>
              </w:rPr>
              <w:t>Wellbeing information seen by the wrong people</w:t>
            </w:r>
          </w:p>
        </w:tc>
        <w:tc>
          <w:tcPr>
            <w:tcW w:type="dxa" w:w="1994"/>
          </w:tcPr>
          <w:p>
            <w:r/>
            <w:r>
              <w:rPr>
                <w:sz w:val="17"/>
              </w:rPr>
              <w:t>Low</w:t>
            </w:r>
          </w:p>
        </w:tc>
        <w:tc>
          <w:tcPr>
            <w:tcW w:type="dxa" w:w="1994"/>
          </w:tcPr>
          <w:p>
            <w:r/>
            <w:r>
              <w:rPr>
                <w:sz w:val="17"/>
              </w:rPr>
              <w:t>High</w:t>
            </w:r>
          </w:p>
        </w:tc>
        <w:tc>
          <w:tcPr>
            <w:tcW w:type="dxa" w:w="1994"/>
          </w:tcPr>
          <w:p>
            <w:r/>
            <w:r>
              <w:rPr>
                <w:sz w:val="17"/>
              </w:rPr>
              <w:t>Visible only to the person, Circle mentors and Sankofa managers; optional; notice at submission; erasable</w:t>
            </w:r>
          </w:p>
        </w:tc>
        <w:tc>
          <w:tcPr>
            <w:tcW w:type="dxa" w:w="1994"/>
          </w:tcPr>
          <w:p>
            <w:r/>
            <w:r>
              <w:rPr>
                <w:sz w:val="17"/>
              </w:rPr>
              <w:t>Low</w:t>
            </w:r>
          </w:p>
        </w:tc>
      </w:tr>
      <w:tr>
        <w:tc>
          <w:tcPr>
            <w:tcW w:type="dxa" w:w="1994"/>
          </w:tcPr>
          <w:p>
            <w:r/>
            <w:r>
              <w:rPr>
                <w:sz w:val="17"/>
              </w:rPr>
              <w:t>Sensitive heritage data misused or leaked</w:t>
            </w:r>
          </w:p>
        </w:tc>
        <w:tc>
          <w:tcPr>
            <w:tcW w:type="dxa" w:w="1994"/>
          </w:tcPr>
          <w:p>
            <w:r/>
            <w:r>
              <w:rPr>
                <w:sz w:val="17"/>
              </w:rPr>
              <w:t>Low</w:t>
            </w:r>
          </w:p>
        </w:tc>
        <w:tc>
          <w:tcPr>
            <w:tcW w:type="dxa" w:w="1994"/>
          </w:tcPr>
          <w:p>
            <w:r/>
            <w:r>
              <w:rPr>
                <w:sz w:val="17"/>
              </w:rPr>
              <w:t>High</w:t>
            </w:r>
          </w:p>
        </w:tc>
        <w:tc>
          <w:tcPr>
            <w:tcW w:type="dxa" w:w="1994"/>
          </w:tcPr>
          <w:p>
            <w:r/>
            <w:r>
              <w:rPr>
                <w:sz w:val="17"/>
              </w:rPr>
              <w:t>Optional; explicit consent wording; used only for matching; access limited to Sankofa managers; erasable</w:t>
            </w:r>
          </w:p>
        </w:tc>
        <w:tc>
          <w:tcPr>
            <w:tcW w:type="dxa" w:w="1994"/>
          </w:tcPr>
          <w:p>
            <w:r/>
            <w:r>
              <w:rPr>
                <w:sz w:val="17"/>
              </w:rPr>
              <w:t>Low</w:t>
            </w:r>
          </w:p>
        </w:tc>
      </w:tr>
      <w:tr>
        <w:tc>
          <w:tcPr>
            <w:tcW w:type="dxa" w:w="1994"/>
          </w:tcPr>
          <w:p>
            <w:r/>
            <w:r>
              <w:rPr>
                <w:sz w:val="17"/>
              </w:rPr>
              <w:t>Abuse in messages or comments</w:t>
            </w:r>
          </w:p>
        </w:tc>
        <w:tc>
          <w:tcPr>
            <w:tcW w:type="dxa" w:w="1994"/>
          </w:tcPr>
          <w:p>
            <w:r/>
            <w:r>
              <w:rPr>
                <w:sz w:val="17"/>
              </w:rPr>
              <w:t>Medium</w:t>
            </w:r>
          </w:p>
        </w:tc>
        <w:tc>
          <w:tcPr>
            <w:tcW w:type="dxa" w:w="1994"/>
          </w:tcPr>
          <w:p>
            <w:r/>
            <w:r>
              <w:rPr>
                <w:sz w:val="17"/>
              </w:rPr>
              <w:t>Medium</w:t>
            </w:r>
          </w:p>
        </w:tc>
        <w:tc>
          <w:tcPr>
            <w:tcW w:type="dxa" w:w="1994"/>
          </w:tcPr>
          <w:p>
            <w:r/>
            <w:r>
              <w:rPr>
                <w:sz w:val="17"/>
              </w:rPr>
              <w:t>Report in chat, form and email; block; suspend; committee review; terms</w:t>
            </w:r>
          </w:p>
        </w:tc>
        <w:tc>
          <w:tcPr>
            <w:tcW w:type="dxa" w:w="1994"/>
          </w:tcPr>
          <w:p>
            <w:r/>
            <w:r>
              <w:rPr>
                <w:sz w:val="17"/>
              </w:rPr>
              <w:t>Low</w:t>
            </w:r>
          </w:p>
        </w:tc>
      </w:tr>
      <w:tr>
        <w:tc>
          <w:tcPr>
            <w:tcW w:type="dxa" w:w="1994"/>
          </w:tcPr>
          <w:p>
            <w:r/>
            <w:r>
              <w:rPr>
                <w:sz w:val="17"/>
              </w:rPr>
              <w:t>Data kept longer than needed</w:t>
            </w:r>
          </w:p>
        </w:tc>
        <w:tc>
          <w:tcPr>
            <w:tcW w:type="dxa" w:w="1994"/>
          </w:tcPr>
          <w:p>
            <w:r/>
            <w:r>
              <w:rPr>
                <w:sz w:val="17"/>
              </w:rPr>
              <w:t>Medium</w:t>
            </w:r>
          </w:p>
        </w:tc>
        <w:tc>
          <w:tcPr>
            <w:tcW w:type="dxa" w:w="1994"/>
          </w:tcPr>
          <w:p>
            <w:r/>
            <w:r>
              <w:rPr>
                <w:sz w:val="17"/>
              </w:rPr>
              <w:t>Medium</w:t>
            </w:r>
          </w:p>
        </w:tc>
        <w:tc>
          <w:tcPr>
            <w:tcW w:type="dxa" w:w="1994"/>
          </w:tcPr>
          <w:p>
            <w:r/>
            <w:r>
              <w:rPr>
                <w:sz w:val="17"/>
              </w:rPr>
              <w:t>Retention schedule; purge; inactive-account review</w:t>
            </w:r>
          </w:p>
        </w:tc>
        <w:tc>
          <w:tcPr>
            <w:tcW w:type="dxa" w:w="1994"/>
          </w:tcPr>
          <w:p>
            <w:r/>
            <w:r>
              <w:rPr>
                <w:sz w:val="17"/>
              </w:rPr>
              <w:t>Low (needs 10.5)</w:t>
            </w:r>
          </w:p>
        </w:tc>
      </w:tr>
      <w:tr>
        <w:tc>
          <w:tcPr>
            <w:tcW w:type="dxa" w:w="1994"/>
          </w:tcPr>
          <w:p>
            <w:r/>
            <w:r>
              <w:rPr>
                <w:sz w:val="17"/>
              </w:rPr>
              <w:t>Account takeover</w:t>
            </w:r>
          </w:p>
        </w:tc>
        <w:tc>
          <w:tcPr>
            <w:tcW w:type="dxa" w:w="1994"/>
          </w:tcPr>
          <w:p>
            <w:r/>
            <w:r>
              <w:rPr>
                <w:sz w:val="17"/>
              </w:rPr>
              <w:t>Low</w:t>
            </w:r>
          </w:p>
        </w:tc>
        <w:tc>
          <w:tcPr>
            <w:tcW w:type="dxa" w:w="1994"/>
          </w:tcPr>
          <w:p>
            <w:r/>
            <w:r>
              <w:rPr>
                <w:sz w:val="17"/>
              </w:rPr>
              <w:t>High</w:t>
            </w:r>
          </w:p>
        </w:tc>
        <w:tc>
          <w:tcPr>
            <w:tcW w:type="dxa" w:w="1994"/>
          </w:tcPr>
          <w:p>
            <w:r/>
            <w:r>
              <w:rPr>
                <w:sz w:val="17"/>
              </w:rPr>
              <w:t>Supabase hashing; row-level security</w:t>
            </w:r>
          </w:p>
        </w:tc>
        <w:tc>
          <w:tcPr>
            <w:tcW w:type="dxa" w:w="1994"/>
          </w:tcPr>
          <w:p>
            <w:r/>
            <w:r>
              <w:rPr>
                <w:sz w:val="17"/>
              </w:rPr>
              <w:t>Medium until MFA (10.4)</w:t>
            </w:r>
          </w:p>
        </w:tc>
      </w:tr>
      <w:tr>
        <w:tc>
          <w:tcPr>
            <w:tcW w:type="dxa" w:w="1994"/>
          </w:tcPr>
          <w:p>
            <w:r/>
            <w:r>
              <w:rPr>
                <w:sz w:val="17"/>
              </w:rPr>
              <w:t>One person holding the keys</w:t>
            </w:r>
          </w:p>
        </w:tc>
        <w:tc>
          <w:tcPr>
            <w:tcW w:type="dxa" w:w="1994"/>
          </w:tcPr>
          <w:p>
            <w:r/>
            <w:r>
              <w:rPr>
                <w:sz w:val="17"/>
              </w:rPr>
              <w:t>Medium</w:t>
            </w:r>
          </w:p>
        </w:tc>
        <w:tc>
          <w:tcPr>
            <w:tcW w:type="dxa" w:w="1994"/>
          </w:tcPr>
          <w:p>
            <w:r/>
            <w:r>
              <w:rPr>
                <w:sz w:val="17"/>
              </w:rPr>
              <w:t>High</w:t>
            </w:r>
          </w:p>
        </w:tc>
        <w:tc>
          <w:tcPr>
            <w:tcW w:type="dxa" w:w="1994"/>
          </w:tcPr>
          <w:p>
            <w:r/>
            <w:r>
              <w:rPr>
                <w:sz w:val="17"/>
              </w:rPr>
              <w:t>None in code</w:t>
            </w:r>
          </w:p>
        </w:tc>
        <w:tc>
          <w:tcPr>
            <w:tcW w:type="dxa" w:w="1994"/>
          </w:tcPr>
          <w:p>
            <w:r/>
            <w:r>
              <w:rPr>
                <w:b/>
                <w:sz w:val="17"/>
              </w:rPr>
              <w:t>High until 10.7</w:t>
            </w:r>
          </w:p>
        </w:tc>
      </w:tr>
    </w:tbl>
    <w:p/>
    <w:p>
      <w:r>
        <w:t>Recommended: ULSU's DPO reviews and signs off this assessment.</w:t>
      </w:r>
    </w:p>
    <w:p>
      <w:pPr>
        <w:pStyle w:val="Heading1"/>
      </w:pPr>
      <w:r>
        <w:t>Appendix B: Illegal-content risk assessment (Online Safety Act), short form</w:t>
      </w:r>
    </w:p>
    <w:p>
      <w:r>
        <w:t>The site is a small, members-only service with private messaging, comments, resource uploads and a gallery. Users are verified students or approved professionals. Risk categories considered: harassment and abuse, hate, child safety, terrorism, intimate-image abuse, fraud, copyright. Likelihood is low because access is restricted to approved accounts and the audience is small. Measures: approval before account creation, report buttons and a report form, block and suspend tools, a committee review process, clear terms, escalation to ULSU and the police where required, and removal of content that breaks the terms. Review annually and after any serious incident. Record of reports: the dashboard's Message Reports and Data &amp; Privacy sections.</w:t>
      </w:r>
    </w:p>
    <w:p>
      <w:pPr>
        <w:pStyle w:val="Heading1"/>
      </w:pPr>
      <w:r>
        <w:t>Appendix C: Sources read</w:t>
      </w:r>
    </w:p>
    <w:p>
      <w:pPr>
        <w:pStyle w:val="ListBullet"/>
      </w:pPr>
      <w:r>
        <w:t>ULSU Code of Conduct 2026/27</w:t>
      </w:r>
    </w:p>
    <w:p>
      <w:pPr>
        <w:pStyle w:val="ListBullet"/>
      </w:pPr>
      <w:r>
        <w:t>ULSU Non-Student Membership Policy (03/26)</w:t>
      </w:r>
    </w:p>
    <w:p>
      <w:pPr>
        <w:pStyle w:val="ListBullet"/>
      </w:pPr>
      <w:r>
        <w:t>ULSU External Speakers Policy (06/25)</w:t>
      </w:r>
    </w:p>
    <w:p>
      <w:pPr>
        <w:pStyle w:val="ListBullet"/>
      </w:pPr>
      <w:r>
        <w:t>ULSU Political Activity Policy (06/26)</w:t>
      </w:r>
    </w:p>
    <w:p>
      <w:pPr>
        <w:pStyle w:val="ListBullet"/>
      </w:pPr>
      <w:r>
        <w:t>ULSU Equal Opportunities Policy</w:t>
      </w:r>
    </w:p>
    <w:p>
      <w:pPr>
        <w:pStyle w:val="ListBullet"/>
      </w:pPr>
      <w:r>
        <w:t>ULSU Complaints Handbook (03/26)</w:t>
      </w:r>
    </w:p>
    <w:p>
      <w:pPr>
        <w:pStyle w:val="ListBullet"/>
      </w:pPr>
      <w:r>
        <w:t>University of Lincoln and ULSU Group Information Sharing Agreement (2022)</w:t>
      </w:r>
    </w:p>
    <w:p>
      <w:pPr>
        <w:pStyle w:val="ListBullet"/>
      </w:pPr>
      <w:r>
        <w:t>Lincoln Students' Union Brand Guidelines (08/22)</w:t>
      </w:r>
    </w:p>
    <w:p>
      <w:pPr>
        <w:pStyle w:val="ListBullet"/>
      </w:pPr>
      <w:r>
        <w:t>ULSU Student Code of Practice</w:t>
      </w:r>
    </w:p>
    <w:p>
      <w:pPr>
        <w:pStyle w:val="ListBullet"/>
      </w:pPr>
      <w:r>
        <w:t xml:space="preserve">ULSU Privacy Notice (08/26): </w:t>
      </w:r>
      <w:r>
        <w:rPr>
          <w:rFonts w:ascii="Consolas" w:hAnsi="Consolas"/>
          <w:sz w:val="18"/>
        </w:rPr>
        <w:t>assets-cdn.sums.digital/LN/documents/Website_Policies/ULSU_Privacy_Notice.pdf</w:t>
      </w:r>
    </w:p>
    <w:p>
      <w:pPr>
        <w:pStyle w:val="ListBullet"/>
      </w:pPr>
      <w:r>
        <w:t>ULSU Group Safeguarding of Children and Vulnerable Adults Policy (04/25)</w:t>
      </w:r>
    </w:p>
    <w:p>
      <w:pPr>
        <w:pStyle w:val="ListBullet"/>
      </w:pPr>
      <w:r>
        <w:t>ULSU Group Student Members' Social Media Policy (08/26)</w:t>
      </w:r>
    </w:p>
    <w:p>
      <w:pPr>
        <w:pStyle w:val="ListBullet"/>
      </w:pPr>
      <w:r>
        <w:t>ULSU Group Gmail Access and Onboarding Policy for Sports and Societies (09/25)</w:t>
      </w:r>
    </w:p>
    <w:p>
      <w:pPr>
        <w:pStyle w:val="ListBullet"/>
      </w:pPr>
      <w:r>
        <w:t xml:space="preserve">Index of ULSU policies: </w:t>
      </w:r>
      <w:r>
        <w:rPr>
          <w:rFonts w:ascii="Consolas" w:hAnsi="Consolas"/>
          <w:sz w:val="18"/>
        </w:rPr>
        <w:t>lincolnsu.com/your-union/how-we-are-run/su-policies</w:t>
      </w:r>
    </w:p>
    <w:p>
      <w:pPr>
        <w:pStyle w:val="ListBullet"/>
      </w:pPr>
      <w:r>
        <w:t>ICO guidance on storage and access technologies (cookies) as updated for the Data (Use and Access) Act 2025</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