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0D1B2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r>
              <w:rPr>
                <w:b/>
                <w:bCs/>
                <w:color w:val="C9A84C"/>
                <w:sz w:val="30"/>
                <w:szCs w:val="30"/>
              </w:rPr>
              <w:t xml:space="preserve">UBUNTU CAPITAL CO.</w:t>
            </w:r>
          </w:p>
          <w:p>
            <w:pPr>
              <w:spacing w:before="8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Client Analysis &amp; Initial Recommendations</w:t>
            </w:r>
          </w:p>
          <w:p>
            <w:pPr>
              <w:spacing w:before="120"/>
            </w:pPr>
            <w:r>
              <w:rPr>
                <w:color w:val="FFFFFF"/>
                <w:sz w:val="20"/>
                <w:szCs w:val="20"/>
              </w:rPr>
              <w:t xml:space="preserve">MapleCo Industries  ·  Manufacturing Sector</w:t>
            </w:r>
          </w:p>
          <w:p>
            <w:r>
              <w:rPr>
                <w:color w:val="D0D0D0"/>
                <w:sz w:val="18"/>
                <w:szCs w:val="18"/>
              </w:rPr>
              <w:t xml:space="preserve">Prepared by Nevin Ruta  ·  Financial Analyst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0D1B2A"/>
          <w:sz w:val="26"/>
          <w:szCs w:val="26"/>
        </w:rPr>
        <w:t xml:space="preserve">1. Client Relationship Overview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PRODUCTS &amp; SERVICES IN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Equipment Loan — long-term capital financing for machinery and production assets.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Working Capital Line of Credit — revolving facility used to manage operational liquidity needs.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NOTABLE PATTERNS &amp; BEHAVIORAL OBSERVATIONS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MapleCo consistently pushes credit line utilization limits, particularly during the fourth quarter as year-end expenses accumulate.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Despite cyclical strain, MapleCo demonstrates a strong and uninterrupted repayment history — no defaults on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pattern of near-limit utilization followed by full repayment signals a structurally underfunded working capital position rather than credit risk.</w:t>
      </w:r>
    </w:p>
    <w:p>
      <w:pPr>
        <w:spacing w:before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52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Client Since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Established relationship — multi-product client</w:t>
            </w:r>
          </w:p>
        </w:tc>
      </w:tr>
      <w:tr>
        <w:tc>
          <w:tcPr>
            <w:tcW w:type="dxa" w:w="352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Current Products</w:t>
            </w:r>
          </w:p>
        </w:tc>
        <w:tc>
          <w:tcPr>
            <w:tcW w:type="dxa" w:w="655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Loan; Working Capital Line of Credit</w:t>
            </w:r>
          </w:p>
        </w:tc>
      </w:tr>
      <w:tr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Year-end credit utilization spikes; consistent full repayment</w:t>
            </w:r>
          </w:p>
        </w:tc>
      </w:tr>
      <w:tr>
        <w:tc>
          <w:tcPr>
            <w:tcW w:type="dxa" w:w="352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Risk Classification</w:t>
            </w:r>
          </w:p>
        </w:tc>
        <w:tc>
          <w:tcPr>
            <w:tcW w:type="dxa" w:w="655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risk / High growth potential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0D1B2A"/>
          <w:sz w:val="26"/>
          <w:szCs w:val="26"/>
        </w:rPr>
        <w:t xml:space="preserve">2. Financial Health Summary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LIQUIDITY &amp; CREDITWORTHINESS</w:t>
      </w:r>
    </w:p>
    <w:p>
      <w:pPr>
        <w:spacing w:after="120"/>
      </w:pPr>
      <w:r>
        <w:rPr>
          <w:sz w:val="21"/>
          <w:szCs w:val="21"/>
        </w:rPr>
        <w:t xml:space="preserve">MapleCo maintains a reliable payment history with no defaults recorded over the course of the client relationship. However, credit utilization patterns reveal a recurring year-end liquidity constraint — MapleCo frequently draws near the ceiling of their existing credit facility to cover end-of-year operating expenses.</w:t>
      </w:r>
    </w:p>
    <w:p>
      <w:pPr>
        <w:spacing w:after="120"/>
      </w:pPr>
      <w:r>
        <w:rPr>
          <w:sz w:val="21"/>
          <w:szCs w:val="21"/>
        </w:rPr>
        <w:t xml:space="preserve">This behavior is not indicative of financial distress. Rather, it reflects a structural gap: the company's revenue and repayment capacity are strong, but working capital reserves are not sized to absorb cyclical demand without external support. The existing $2MM line of credit is being used as the primary liquidity buffer — which creates fragility in peak periods.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REVENUE TRENDS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2419"/>
        <w:gridCol w:w="2419"/>
      </w:tblGrid>
      <w:tr>
        <w:tc>
          <w:tcPr>
            <w:tcW w:type="dxa" w:w="2822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19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419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419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Growth (YoY)</w:t>
            </w:r>
          </w:p>
        </w:tc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&gt;5% annually</w:t>
            </w:r>
          </w:p>
        </w:tc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 avg. 4–6%</w:t>
            </w:r>
          </w:p>
        </w:tc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Above average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Environment</w:t>
            </w:r>
          </w:p>
        </w:tc>
        <w:tc>
          <w:tcPr>
            <w:tcW w:type="dxa" w:w="241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Constant / growing</w:t>
            </w:r>
          </w:p>
        </w:tc>
        <w:tc>
          <w:tcPr>
            <w:tcW w:type="dxa" w:w="241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Stable sector</w:t>
            </w:r>
          </w:p>
        </w:tc>
        <w:tc>
          <w:tcPr>
            <w:tcW w:type="dxa" w:w="241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Favorable</w:t>
            </w:r>
          </w:p>
        </w:tc>
      </w:tr>
      <w:tr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Repayment</w:t>
            </w:r>
          </w:p>
        </w:tc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— no defaults</w:t>
            </w:r>
          </w:p>
        </w:tc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4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D1B2A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82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Utilization</w:t>
            </w:r>
          </w:p>
        </w:tc>
        <w:tc>
          <w:tcPr>
            <w:tcW w:type="dxa" w:w="241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Near credit ceiling</w:t>
            </w:r>
          </w:p>
        </w:tc>
        <w:tc>
          <w:tcPr>
            <w:tcW w:type="dxa" w:w="241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80% preferred</w:t>
            </w:r>
          </w:p>
        </w:tc>
        <w:tc>
          <w:tcPr>
            <w:tcW w:type="dxa" w:w="2419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Needs structure</w:t>
            </w:r>
          </w:p>
        </w:tc>
      </w:tr>
    </w:tbl>
    <w:p>
      <w:pPr>
        <w:spacing w:after="200" w:before="150"/>
      </w:pPr>
      <w:r>
        <w:rPr>
          <w:b/>
          <w:bCs/>
          <w:color w:val="0D1B2A"/>
          <w:sz w:val="21"/>
          <w:szCs w:val="21"/>
        </w:rPr>
        <w:t xml:space="preserve">Analyst Note: </w:t>
      </w:r>
      <w:r>
        <w:rPr>
          <w:sz w:val="21"/>
          <w:szCs w:val="21"/>
        </w:rPr>
        <w:t xml:space="preserve">MapleCo's revenue trajectory is growing and in alignment with the industrial average. The business operates in a sector with constant demand, providing a stable underlying cash flow base. The primary financial risk is not revenue decline — it is operational liquidity timing.</w:t>
      </w:r>
    </w:p>
    <w:p>
      <w:pPr>
        <w:pStyle w:val="Heading1"/>
        <w:spacing w:after="150" w:before="300"/>
      </w:pPr>
      <w:r>
        <w:rPr>
          <w:b/>
          <w:bCs/>
          <w:color w:val="0D1B2A"/>
          <w:sz w:val="26"/>
          <w:szCs w:val="26"/>
        </w:rPr>
        <w:t xml:space="preserve">3. Industry Position &amp; Market Trends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INDUSTRY TRENDS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Material Cost Sensitivity: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Manufacturers operate in a margin-sensitive environment where commodity price fluctuations — particularly in steel and electronics — directly compress profitability.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Companies without hedging mechanisms absorb full input cost volatility, making cost predictability a key competitive lever.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Sustainability &amp; Eco-Friendly Product Demand: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Consumer and regulatory pressure is accelerating demand for environmentally responsible manufacturing.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MapleCo's market expansion objectives must account for the investment required to meet these standards — this is both a growth opportunity and a capital demand.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COMPETITIVE CHALLENGES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Low-Cost Entrant Pressure: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Discount manufacturers are entering the market and capturing price-sensitive client segments, eroding MapleCo's traditional revenue 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This forces MapleCo to compete on quality, innovation, and reliability — which requires sustained R&amp;D and production investment.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Automation &amp; Operational Efficiency: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competitive landscape demands progressive automation adoption to reduce per-unit costs and maintain margin as labor and material costs rise.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Capital investment in automation is not optional — it is a prerequisite for long-term margin defense.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COMPETITIVE POSITION</w:t>
      </w:r>
    </w:p>
    <w:p>
      <w:pPr>
        <w:spacing w:after="120"/>
      </w:pPr>
      <w:r>
        <w:rPr>
          <w:sz w:val="21"/>
          <w:szCs w:val="21"/>
        </w:rPr>
        <w:t xml:space="preserve">MapleCo occupies a mid-tier position in the manufacturing sector, competing primarily on product quality, operational reliability, and emerging eco-friendly capabilities. As low-cost entrants capture price-sensitive segments, MapleCo's continued differentiation depends on capital-funded innovation and capacity expansion — the precise areas Ubuntu Capital Co.'s recommendations are designed to support.</w:t>
      </w:r>
    </w:p>
    <w:p>
      <w:pPr>
        <w:pStyle w:val="Heading1"/>
        <w:spacing w:after="150" w:before="300"/>
      </w:pPr>
      <w:r>
        <w:rPr>
          <w:b/>
          <w:bCs/>
          <w:color w:val="0D1B2A"/>
          <w:sz w:val="26"/>
          <w:szCs w:val="26"/>
        </w:rPr>
        <w:t xml:space="preserve">4. Initial Impressions &amp; Next Steps</w:t>
      </w: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TOP TAKEAWAYS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9072"/>
      </w:tblGrid>
      <w:tr>
        <w:tc>
          <w:tcPr>
            <w:tcW w:type="dxa" w:w="1008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01</w:t>
            </w:r>
          </w:p>
        </w:tc>
        <w:tc>
          <w:tcPr>
            <w:tcW w:type="dxa" w:w="90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 Trajectory — MapleCo is in a clear growth period — revenue is increasing year-over-year, demand in their sector is stable, and the client has a proven track record of responsible credit use. The priority is building financial infrastructure to match that trajectory.</w:t>
            </w:r>
          </w:p>
        </w:tc>
      </w:tr>
      <w:tr>
        <w:tc>
          <w:tcPr>
            <w:tcW w:type="dxa" w:w="1008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02</w:t>
            </w:r>
          </w:p>
        </w:tc>
        <w:tc>
          <w:tcPr>
            <w:tcW w:type="dxa" w:w="90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Pivot Required — Consumer and regulatory pressure toward eco-friendly products is accelerating. MapleCo must begin incorporating sustainability into their product development and operations — this is both a market opportunity and a capital demand that should be reflected in their financial planning.</w:t>
            </w:r>
          </w:p>
        </w:tc>
      </w:tr>
      <w:tr>
        <w:tc>
          <w:tcPr>
            <w:tcW w:type="dxa" w:w="1008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03</w:t>
            </w:r>
          </w:p>
        </w:tc>
        <w:tc>
          <w:tcPr>
            <w:tcW w:type="dxa" w:w="90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 as Margin Defense — The manufacturing sector's cost structure demands automation investment to stay competitive. MapleCo must incorporate this into their capital planning — not as an optional upgrade, but as a margin-defense mechanism against rising labor and input costs.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b/>
          <w:bCs/>
          <w:color w:val="C9A84C"/>
          <w:sz w:val="20"/>
          <w:szCs w:val="20"/>
        </w:rPr>
        <w:t xml:space="preserve">RECOMMENDED NEXT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024"/>
        <w:gridCol w:w="2016"/>
      </w:tblGrid>
      <w:tr>
        <w:tc>
          <w:tcPr>
            <w:tcW w:type="dxa" w:w="5040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3024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16"/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 financial product recommendations</w:t>
            </w:r>
          </w:p>
        </w:tc>
        <w:tc>
          <w:tcPr>
            <w:tcW w:type="dxa" w:w="30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Nevin Ruta — Financial Analyst</w:t>
            </w:r>
          </w:p>
        </w:tc>
        <w:tc>
          <w:tcPr>
            <w:tcW w:type="dxa" w:w="20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0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Term Loan structure and approval pathway</w:t>
            </w:r>
          </w:p>
        </w:tc>
        <w:tc>
          <w:tcPr>
            <w:tcW w:type="dxa" w:w="302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 Relationship Manager</w:t>
            </w:r>
          </w:p>
        </w:tc>
        <w:tc>
          <w:tcPr>
            <w:tcW w:type="dxa" w:w="201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2 weeks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Formalize $2MM LOC expansion and hedging terms</w:t>
            </w:r>
          </w:p>
        </w:tc>
        <w:tc>
          <w:tcPr>
            <w:tcW w:type="dxa" w:w="30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/ Treasury Specialist</w:t>
            </w:r>
          </w:p>
        </w:tc>
        <w:tc>
          <w:tcPr>
            <w:tcW w:type="dxa" w:w="20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30 days</w:t>
            </w:r>
          </w:p>
        </w:tc>
      </w:tr>
      <w:tr>
        <w:tc>
          <w:tcPr>
            <w:tcW w:type="dxa" w:w="50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presentation and proposal delivery</w:t>
            </w:r>
          </w:p>
        </w:tc>
        <w:tc>
          <w:tcPr>
            <w:tcW w:type="dxa" w:w="302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Advisory Team</w:t>
            </w:r>
          </w:p>
        </w:tc>
        <w:tc>
          <w:tcPr>
            <w:tcW w:type="dxa" w:w="201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Within 45 days</w:t>
            </w:r>
          </w:p>
        </w:tc>
      </w:tr>
    </w:tbl>
    <w:p>
      <w:pPr>
        <w:spacing w:before="2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0D1B2A"/>
                <w:sz w:val="20"/>
                <w:szCs w:val="20"/>
              </w:rPr>
              <w:t xml:space="preserve">Ubuntu Capital Co. is positioned to serve not just MapleCo's immediate capital requirements, but to build the financial infrastructure that supports sustainable, long-term growth. Every recommendation in this analysis is grounded in documented client behavior, sector dynamics, and MapleCo's stated strategic objectives.</w:t>
            </w:r>
          </w:p>
        </w:tc>
      </w:tr>
    </w:tbl>
    <w:p>
      <w:pPr>
        <w:spacing w:before="200"/>
      </w:pPr>
      <w:r>
        <w:rPr>
          <w:color w:val="6B7280"/>
          <w:sz w:val="16"/>
          <w:szCs w:val="16"/>
        </w:rPr>
        <w:t xml:space="preserve">Ubuntu Capital Co.  ·  MapleCo Industries  ·  Confidential  ·  Page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2026-07-31T17:50:54.495Z</dcterms:created>
  <dcterms:modified xsi:type="dcterms:W3CDTF">2026-07-31T17:50:54.513Z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