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NovaLink Hardware Warranty Policy</w:t>
      </w:r>
    </w:p>
    <w:p>
      <w:pPr>
        <w:spacing w:after="120"/>
      </w:pPr>
      <w:r>
        <w:rPr>
          <w:i/>
          <w:iCs/>
        </w:rPr>
        <w:t xml:space="preserve">Effective 1 January 2026. Version 4.2. Applies to all NovaLink Edge Router products sold in the EMEA region.</w:t>
      </w:r>
    </w:p>
    <w:p>
      <w:pPr>
        <w:pStyle w:val="Heading2"/>
      </w:pPr>
      <w:r>
        <w:t xml:space="preserve">1. Scope</w:t>
      </w:r>
    </w:p>
    <w:p>
      <w:pPr>
        <w:spacing w:after="120"/>
      </w:pPr>
      <w:r>
        <w:t xml:space="preserve">This policy sets out the warranty provided by Aurelian Networks Ltd (the “Company”) to purchasers of NovaLink Edge Router hardware (the “Products”). It does not cover software, which is licensed separately under the NovaLink End User Licence Agreement.</w:t>
      </w:r>
    </w:p>
    <w:p>
      <w:pPr>
        <w:spacing w:after="120"/>
      </w:pPr>
      <w:r>
        <w:t xml:space="preserve">Where this policy conflicts with a signed supply agreement, the supply agreement prevails.</w:t>
      </w:r>
    </w:p>
    <w:p>
      <w:pPr>
        <w:pStyle w:val="Heading2"/>
      </w:pPr>
      <w:r>
        <w:t xml:space="preserve">2. Warranty Period</w:t>
      </w:r>
    </w:p>
    <w:p>
      <w:pPr>
        <w:spacing w:after="120"/>
      </w:pPr>
      <w:r>
        <w:t xml:space="preserve">The Company warrants each Product against defects in materials and workmanship for the period set out in the table below, beginning on the date of delivery.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shd w:fill="1F3864" w:val="clear"/>
          </w:tcPr>
          <w:p>
            <w:r>
              <w:rPr>
                <w:b/>
                <w:bCs/>
                <w:color w:val="FFFFFF"/>
                <w:sz w:val="20"/>
                <w:szCs w:val="20"/>
              </w:rPr>
              <w:t xml:space="preserve">Product tier</w:t>
            </w:r>
          </w:p>
        </w:tc>
        <w:tc>
          <w:tcPr>
            <w:tcW w:type="dxa" w:w="2600"/>
            <w:shd w:fill="1F3864" w:val="clear"/>
          </w:tcPr>
          <w:p>
            <w:r>
              <w:rPr>
                <w:b/>
                <w:bCs/>
                <w:color w:val="FFFFFF"/>
                <w:sz w:val="20"/>
                <w:szCs w:val="20"/>
              </w:rPr>
              <w:t xml:space="preserve">Warranty period</w:t>
            </w:r>
          </w:p>
        </w:tc>
        <w:tc>
          <w:tcPr>
            <w:tcW w:type="dxa" w:w="3400"/>
            <w:shd w:fill="1F3864" w:val="clear"/>
          </w:tcPr>
          <w:p>
            <w:r>
              <w:rPr>
                <w:b/>
                <w:bCs/>
                <w:color w:val="FFFFFF"/>
                <w:sz w:val="20"/>
                <w:szCs w:val="20"/>
              </w:rPr>
              <w:t xml:space="preserve">Advance replacement</w:t>
            </w:r>
          </w:p>
        </w:tc>
      </w:tr>
      <w:tr>
        <w:tc>
          <w:tcPr>
            <w:tcW w:type="dxa" w:w="3000"/>
          </w:tcPr>
          <w:p>
            <w:r>
              <w:rPr>
                <w:b w:val="false"/>
                <w:bCs w:val="false"/>
                <w:sz w:val="20"/>
                <w:szCs w:val="20"/>
              </w:rPr>
              <w:t xml:space="preserve">NovaLink Edge 100</w:t>
            </w:r>
          </w:p>
        </w:tc>
        <w:tc>
          <w:tcPr>
            <w:tcW w:type="dxa" w:w="2600"/>
          </w:tcPr>
          <w:p>
            <w:r>
              <w:rPr>
                <w:b w:val="false"/>
                <w:bCs w:val="false"/>
                <w:sz w:val="20"/>
                <w:szCs w:val="20"/>
              </w:rPr>
              <w:t xml:space="preserve">24 months</w:t>
            </w:r>
          </w:p>
        </w:tc>
        <w:tc>
          <w:tcPr>
            <w:tcW w:type="dxa" w:w="3400"/>
          </w:tcPr>
          <w:p>
            <w:r>
              <w:rPr>
                <w:b w:val="false"/>
                <w:bCs w:val="false"/>
                <w:sz w:val="20"/>
                <w:szCs w:val="20"/>
              </w:rPr>
              <w:t xml:space="preserve">Not included</w:t>
            </w:r>
          </w:p>
        </w:tc>
      </w:tr>
      <w:tr>
        <w:tc>
          <w:tcPr>
            <w:tcW w:type="dxa" w:w="3000"/>
          </w:tcPr>
          <w:p>
            <w:r>
              <w:rPr>
                <w:b w:val="false"/>
                <w:bCs w:val="false"/>
                <w:sz w:val="20"/>
                <w:szCs w:val="20"/>
              </w:rPr>
              <w:t xml:space="preserve">NovaLink Edge 400</w:t>
            </w:r>
          </w:p>
        </w:tc>
        <w:tc>
          <w:tcPr>
            <w:tcW w:type="dxa" w:w="2600"/>
          </w:tcPr>
          <w:p>
            <w:r>
              <w:rPr>
                <w:b w:val="false"/>
                <w:bCs w:val="false"/>
                <w:sz w:val="20"/>
                <w:szCs w:val="20"/>
              </w:rPr>
              <w:t xml:space="preserve">36 months</w:t>
            </w:r>
          </w:p>
        </w:tc>
        <w:tc>
          <w:tcPr>
            <w:tcW w:type="dxa" w:w="3400"/>
          </w:tcPr>
          <w:p>
            <w:r>
              <w:rPr>
                <w:b w:val="false"/>
                <w:bCs w:val="false"/>
                <w:sz w:val="20"/>
                <w:szCs w:val="20"/>
              </w:rPr>
              <w:t xml:space="preserve">Next business day</w:t>
            </w:r>
          </w:p>
        </w:tc>
      </w:tr>
      <w:tr>
        <w:tc>
          <w:tcPr>
            <w:tcW w:type="dxa" w:w="3000"/>
          </w:tcPr>
          <w:p>
            <w:r>
              <w:rPr>
                <w:b w:val="false"/>
                <w:bCs w:val="false"/>
                <w:sz w:val="20"/>
                <w:szCs w:val="20"/>
              </w:rPr>
              <w:t xml:space="preserve">NovaLink Edge 900</w:t>
            </w:r>
          </w:p>
        </w:tc>
        <w:tc>
          <w:tcPr>
            <w:tcW w:type="dxa" w:w="2600"/>
          </w:tcPr>
          <w:p>
            <w:r>
              <w:rPr>
                <w:b w:val="false"/>
                <w:bCs w:val="false"/>
                <w:sz w:val="20"/>
                <w:szCs w:val="20"/>
              </w:rPr>
              <w:t xml:space="preserve">60 months</w:t>
            </w:r>
          </w:p>
        </w:tc>
        <w:tc>
          <w:tcPr>
            <w:tcW w:type="dxa" w:w="3400"/>
          </w:tcPr>
          <w:p>
            <w:r>
              <w:rPr>
                <w:b w:val="false"/>
                <w:bCs w:val="false"/>
                <w:sz w:val="20"/>
                <w:szCs w:val="20"/>
              </w:rPr>
              <w:t xml:space="preserve">Same day, 4-hour target</w:t>
            </w:r>
          </w:p>
        </w:tc>
      </w:tr>
    </w:tbl>
    <w:p>
      <w:pPr>
        <w:spacing w:after="120"/>
      </w:pPr>
      <w:r>
        <w:t xml:space="preserve"/>
      </w:r>
    </w:p>
    <w:p>
      <w:pPr>
        <w:spacing w:after="120"/>
      </w:pPr>
      <w:r>
        <w:t xml:space="preserve">Replacement units carry the remainder of the original warranty period, or 90 days, whichever is longer.</w:t>
      </w:r>
    </w:p>
    <w:p>
      <w:pPr>
        <w:pStyle w:val="Heading2"/>
      </w:pPr>
      <w:r>
        <w:t xml:space="preserve">3. What Is Covered</w:t>
      </w:r>
    </w:p>
    <w:p>
      <w:pPr>
        <w:spacing w:after="120"/>
      </w:pPr>
      <w:r>
        <w:t xml:space="preserve">The Company will, at its option, repair or replace a Product that fails under normal use during the warranty period. The maximum liability under this clause is limited to EUR 12,500.00 per incident.</w:t>
      </w:r>
    </w:p>
    <w:p>
      <w:pPr>
        <w:spacing w:after="120"/>
      </w:pPr>
      <w:r>
        <w:t xml:space="preserve">Claims must be raised through the support portal within 30 days of the fault being discovered. See section 5 for the claims procedure.</w:t>
      </w:r>
    </w:p>
    <w:p>
      <w:pPr>
        <w:pStyle w:val="Heading2"/>
      </w:pPr>
      <w:r>
        <w:t xml:space="preserve">4. Exclusions</w:t>
      </w:r>
    </w:p>
    <w:p>
      <w:pPr>
        <w:spacing w:after="120"/>
      </w:pPr>
      <w:r>
        <w:t xml:space="preserve">This warranty does not cover: accidental damage; damage caused by power surges; modification or repair by anyone other than an authorised service partner; cosmetic wear; or use outside the published environmental limits of 0–40°C and 5–95% relative humidity, non-condensing.</w:t>
      </w:r>
    </w:p>
    <w:p>
      <w:pPr>
        <w:spacing w:after="120"/>
      </w:pPr>
      <w:r>
        <w:t xml:space="preserve">Consumable parts, including fans and power supply modules, are covered for 12 months only.</w:t>
      </w:r>
    </w:p>
    <w:p>
      <w:pPr>
        <w:pStyle w:val="Heading2"/>
      </w:pPr>
      <w:r>
        <w:t xml:space="preserve">5. Claims Procedure</w:t>
      </w:r>
    </w:p>
    <w:p>
      <w:pPr>
        <w:spacing w:after="120"/>
      </w:pPr>
      <w:r>
        <w:t xml:space="preserve">To make a claim, the purchaser must provide the serial number, proof of purchase, and a description of the fault. The Company will issue a Return Material Authorisation (RMA) number within two business days.</w:t>
      </w:r>
    </w:p>
    <w:p>
      <w:pPr>
        <w:spacing w:after="120"/>
      </w:pPr>
      <w:r>
        <w:t xml:space="preserve">Products returned without an RMA number will be refused. Shipping to the service centre is at the purchaser’s expense; return shipping is paid by the Company.</w:t>
      </w:r>
    </w:p>
    <w:p>
      <w:pPr>
        <w:pStyle w:val="Heading2"/>
      </w:pPr>
      <w:r>
        <w:t xml:space="preserve">6. Statutory Rights</w:t>
      </w:r>
    </w:p>
    <w:p>
      <w:pPr>
        <w:spacing w:after="120"/>
      </w:pPr>
      <w:r>
        <w:t xml:space="preserve">This warranty is in addition to, and does not affect, the purchaser’s statutory rights under applicable consumer protection law.</w:t>
      </w:r>
    </w:p>
    <w:p>
      <w:pPr>
        <w:pBdr>
          <w:top w:val="single" w:color="C9C4B8" w:sz="6"/>
        </w:pBdr>
        <w:spacing w:before="400"/>
      </w:pPr>
      <w:r>
        <w:rPr>
          <w:color w:val="6B6B6B"/>
          <w:sz w:val="16"/>
          <w:szCs w:val="16"/>
        </w:rPr>
        <w:t xml:space="preserve">Aurelian Networks Ltd · Registered in England and Wales, No. 09214477 · support@aurelian-networks.example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2026-08-28T05:42:06.838Z</dcterms:created>
  <dcterms:modified xsi:type="dcterms:W3CDTF">2026-08-28T05:42:06.859Z</dcterms:modified>
</cp:coreProperties>
</file>

<file path=docProps/custom.xml><?xml version="1.0" encoding="utf-8"?>
<Properties xmlns="http://schemas.openxmlformats.org/officeDocument/2006/custom-properties" xmlns:vt="http://schemas.openxmlformats.org/officeDocument/2006/docPropsVTypes"/>
</file>