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— Managed Endpoint Services</w:t>
      </w:r>
    </w:p>
    <w:p>
      <w:r>
        <w:t>Kestrel Holdings plc · Tender KH/2026/EUC/088 · 01 September 2026</w:t>
      </w:r>
    </w:p>
    <w:p>
      <w:pPr>
        <w:pStyle w:val="Heading1"/>
      </w:pPr>
      <w:r>
        <w:t>1 Scope</w:t>
      </w:r>
    </w:p>
    <w:p>
      <w:r>
        <w:t>We will provide managed endpoint services across the estate, including monitoring, patching, remote remediation and related services as required.</w:t>
      </w:r>
    </w:p>
    <w:p>
      <w:r>
        <w:t>Coverage: up to 500 endpoints.</w:t>
      </w:r>
    </w:p>
    <w:p>
      <w:r>
        <w:t>Service quality will follow industry standard practice.</w:t>
      </w:r>
    </w:p>
    <w:p>
      <w:pPr>
        <w:pStyle w:val="Heading1"/>
      </w:pPr>
      <w:r>
        <w:t>2 Timeline</w:t>
      </w:r>
    </w:p>
    <w:p>
      <w:r>
        <w:t>Transition starts 01 October 2026 and completes 15 September 2026.</w:t>
      </w:r>
    </w:p>
    <w:p>
      <w:r>
        <w:t>Steady state service begins in Q1.</w:t>
      </w:r>
    </w:p>
    <w:p>
      <w:pPr>
        <w:pStyle w:val="Heading1"/>
      </w:pPr>
      <w:r>
        <w:t>3 Client obligations</w:t>
      </w:r>
    </w:p>
    <w:p>
      <w:r>
        <w:t>The client will provide access to systems as needed.</w:t>
      </w:r>
    </w:p>
    <w:p>
      <w:r>
        <w:t>The client will supply an asset inventory.</w:t>
      </w:r>
    </w:p>
    <w:p>
      <w:pPr>
        <w:pStyle w:val="Heading1"/>
      </w:pPr>
      <w:r>
        <w:t>4 Commercial model</w:t>
      </w:r>
    </w:p>
    <w:p>
      <w:r>
        <w:t>Pricing is per endpoint per month.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Transition</w:t>
            </w:r>
          </w:p>
        </w:tc>
        <w:tc>
          <w:tcPr>
            <w:tcW w:type="dxa" w:w="4320"/>
          </w:tcPr>
          <w:p>
            <w:r>
              <w:t>48,500.00</w:t>
            </w:r>
          </w:p>
        </w:tc>
      </w:tr>
      <w:tr>
        <w:tc>
          <w:tcPr>
            <w:tcW w:type="dxa" w:w="4320"/>
          </w:tcPr>
          <w:p>
            <w:r>
              <w:t>Annual service year 1</w:t>
            </w:r>
          </w:p>
        </w:tc>
        <w:tc>
          <w:tcPr>
            <w:tcW w:type="dxa" w:w="4320"/>
          </w:tcPr>
          <w:p>
            <w:r>
              <w:t>182,400.00</w:t>
            </w:r>
          </w:p>
        </w:tc>
      </w:tr>
      <w:tr>
        <w:tc>
          <w:tcPr>
            <w:tcW w:type="dxa" w:w="4320"/>
          </w:tcPr>
          <w:p>
            <w:r>
              <w:t>Annual service year 2</w:t>
            </w:r>
          </w:p>
        </w:tc>
        <w:tc>
          <w:tcPr>
            <w:tcW w:type="dxa" w:w="4320"/>
          </w:tcPr>
          <w:p>
            <w:r>
              <w:t>181,400.00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412,300.00</w:t>
            </w:r>
          </w:p>
        </w:tc>
      </w:tr>
    </w:tbl>
    <w:p>
      <w:pPr>
        <w:pStyle w:val="Heading1"/>
      </w:pPr>
      <w:r>
        <w:t>5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On signature</w:t>
            </w:r>
          </w:p>
        </w:tc>
        <w:tc>
          <w:tcPr>
            <w:tcW w:type="dxa" w:w="4320"/>
          </w:tcPr>
          <w:p>
            <w:r>
              <w:t>48,500.00</w:t>
            </w:r>
          </w:p>
        </w:tc>
      </w:tr>
      <w:tr>
        <w:tc>
          <w:tcPr>
            <w:tcW w:type="dxa" w:w="4320"/>
          </w:tcPr>
          <w:p>
            <w:r>
              <w:t>On go-live</w:t>
            </w:r>
          </w:p>
        </w:tc>
        <w:tc>
          <w:tcPr>
            <w:tcW w:type="dxa" w:w="4320"/>
          </w:tcPr>
          <w:p>
            <w:r>
              <w:t>182,400.00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230,900.00</w:t>
            </w:r>
          </w:p>
        </w:tc>
      </w:tr>
    </w:tbl>
    <w:p>
      <w:pPr>
        <w:pStyle w:val="Heading1"/>
      </w:pPr>
      <w:r>
        <w:t>6 Terms</w:t>
      </w:r>
    </w:p>
    <w:p>
      <w:r>
        <w:t>Contract term: 36 months</w:t>
      </w:r>
    </w:p>
    <w:p>
      <w:r>
        <w:t>Minimum engagement: 300 endpoints</w:t>
      </w:r>
    </w:p>
    <w:p>
      <w:r>
        <w:t>Discount applied: 22%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