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556"/>
          <w:sz w:val="38"/>
        </w:rPr>
        <w:t>AURELIAN GLOBAL HOLDINGS PLC</w:t>
      </w:r>
    </w:p>
    <w:p>
      <w:pPr>
        <w:spacing w:after="320"/>
      </w:pPr>
      <w:r>
        <w:rPr>
          <w:b w:val="0"/>
          <w:i w:val="0"/>
          <w:color w:val="6B7785"/>
          <w:sz w:val="21"/>
        </w:rPr>
        <w:t>Group Procurement — Technology Services</w:t>
      </w:r>
    </w:p>
    <w:p>
      <w:pPr>
        <w:spacing w:after="80"/>
      </w:pPr>
      <w:r>
        <w:rPr>
          <w:b/>
          <w:i w:val="0"/>
          <w:sz w:val="34"/>
        </w:rPr>
        <w:t>REQUEST FOR PROPOSAL</w:t>
      </w:r>
    </w:p>
    <w:p>
      <w:pPr>
        <w:spacing w:after="280"/>
      </w:pPr>
      <w:r>
        <w:rPr>
          <w:b w:val="0"/>
          <w:i w:val="0"/>
          <w:sz w:val="26"/>
        </w:rPr>
        <w:t>Data Centre Exit and Hosted Compute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061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009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RFP reference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AG/2026/IAAS/402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11 August 2026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Clarification deadline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 September 2026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Response deadline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25 September 2026, 17:00 CET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Contract commencement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 April 2027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b/>
                <w:sz w:val="19"/>
              </w:rPr>
              <w:t>Issuing entity</w:t>
            </w:r>
          </w:p>
        </w:tc>
        <w:tc>
          <w:tcPr>
            <w:tcW w:type="dxa" w:w="600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Aurelian Global Holdings plc</w:t>
            </w:r>
          </w:p>
        </w:tc>
      </w:tr>
    </w:tbl>
    <w:p>
      <w:r>
        <w:br w:type="page"/>
      </w:r>
    </w:p>
    <w:p>
      <w:pPr>
        <w:spacing w:before="280" w:after="140"/>
      </w:pPr>
      <w:r>
        <w:rPr>
          <w:b/>
          <w:color w:val="1F3556"/>
          <w:sz w:val="30"/>
        </w:rPr>
        <w:t>1.  Introduction</w:t>
      </w:r>
    </w:p>
    <w:p>
      <w:pPr>
        <w:spacing w:after="120"/>
      </w:pPr>
      <w:r>
        <w:rPr>
          <w:b w:val="0"/>
          <w:i w:val="0"/>
          <w:sz w:val="21"/>
        </w:rPr>
        <w:t>Aurelian Global Holdings plc operates two owned data centres in the United Kingdom and Germany. The lease on the German facility expires in September 2028 and will not be renewed; the UK facility requires significant mechanical and electrical investment to remain viable beyond 2029.</w:t>
      </w:r>
    </w:p>
    <w:p>
      <w:pPr>
        <w:spacing w:after="120"/>
      </w:pPr>
      <w:r>
        <w:rPr>
          <w:b w:val="0"/>
          <w:i w:val="0"/>
          <w:sz w:val="21"/>
        </w:rPr>
        <w:t>The Board has approved an exit from both facilities and the migration of all workloads to hosted infrastructure.</w:t>
      </w:r>
    </w:p>
    <w:p>
      <w:pPr>
        <w:spacing w:before="280" w:after="140"/>
      </w:pPr>
      <w:r>
        <w:rPr>
          <w:b/>
          <w:color w:val="1F3556"/>
          <w:sz w:val="30"/>
        </w:rPr>
        <w:t>2.  Scope of services</w:t>
      </w:r>
    </w:p>
    <w:p>
      <w:pPr>
        <w:pStyle w:val="ListBullet"/>
        <w:spacing w:after="80"/>
      </w:pPr>
      <w:r>
        <w:rPr>
          <w:sz w:val="21"/>
        </w:rPr>
        <w:t>Assessment and migration planning for the workloads listed in Annex A.</w:t>
      </w:r>
    </w:p>
    <w:p>
      <w:pPr>
        <w:pStyle w:val="ListBullet"/>
        <w:spacing w:after="80"/>
      </w:pPr>
      <w:r>
        <w:rPr>
          <w:sz w:val="21"/>
        </w:rPr>
        <w:t>Design and build of the target hosting environment.</w:t>
      </w:r>
    </w:p>
    <w:p>
      <w:pPr>
        <w:pStyle w:val="ListBullet"/>
        <w:spacing w:after="80"/>
      </w:pPr>
      <w:r>
        <w:rPr>
          <w:sz w:val="21"/>
        </w:rPr>
        <w:t>Migration, testing and cutover of all in-scope workloads.</w:t>
      </w:r>
    </w:p>
    <w:p>
      <w:pPr>
        <w:pStyle w:val="ListBullet"/>
        <w:spacing w:after="80"/>
      </w:pPr>
      <w:r>
        <w:rPr>
          <w:sz w:val="21"/>
        </w:rPr>
        <w:t>Provision of compute, storage and network capacity for the term.</w:t>
      </w:r>
    </w:p>
    <w:p>
      <w:pPr>
        <w:pStyle w:val="ListBullet"/>
        <w:spacing w:after="80"/>
      </w:pPr>
      <w:r>
        <w:rPr>
          <w:sz w:val="21"/>
        </w:rPr>
        <w:t>Backup and recovery services.</w:t>
      </w:r>
    </w:p>
    <w:p>
      <w:pPr>
        <w:pStyle w:val="ListBullet"/>
        <w:spacing w:after="80"/>
      </w:pPr>
      <w:r>
        <w:rPr>
          <w:sz w:val="21"/>
        </w:rPr>
        <w:t>Decommissioning support for the vacated facilities.</w:t>
      </w:r>
    </w:p>
    <w:p>
      <w:pPr>
        <w:spacing w:after="120"/>
      </w:pPr>
      <w:r>
        <w:rPr>
          <w:b w:val="0"/>
          <w:i w:val="0"/>
          <w:sz w:val="21"/>
        </w:rPr>
        <w:t>Application remediation and any re-platforming beyond a like-for-like migration are out of scope and will be handled by Aurelian's application teams.</w:t>
      </w:r>
    </w:p>
    <w:p>
      <w:pPr>
        <w:spacing w:before="280" w:after="140"/>
      </w:pPr>
      <w:r>
        <w:rPr>
          <w:b/>
          <w:color w:val="1F3556"/>
          <w:sz w:val="30"/>
        </w:rPr>
        <w:t>3.  The estate</w:t>
      </w:r>
    </w:p>
    <w:p>
      <w:pPr>
        <w:spacing w:after="120"/>
      </w:pPr>
      <w:r>
        <w:rPr>
          <w:b w:val="0"/>
          <w:i w:val="0"/>
          <w:sz w:val="21"/>
        </w:rPr>
        <w:t>The current estate is set out in Annex A, which is the authoritative statement for pricing purposes. Approximate figures elsewhere in this document are indicative.</w:t>
      </w:r>
    </w:p>
    <w:p>
      <w:pPr>
        <w:spacing w:after="120"/>
      </w:pPr>
      <w:r>
        <w:rPr>
          <w:b w:val="0"/>
          <w:i w:val="0"/>
          <w:sz w:val="21"/>
        </w:rPr>
        <w:t>The estate comprises roughly five hundred and fifty virtual machines supporting around two hundred distinct workloads. Non-production environments represent approximately 60% of the production footprint and are not required outside working hours.</w:t>
      </w:r>
    </w:p>
    <w:p>
      <w:pPr>
        <w:spacing w:after="120"/>
      </w:pPr>
      <w:r>
        <w:rPr>
          <w:b w:val="0"/>
          <w:i w:val="0"/>
          <w:sz w:val="21"/>
        </w:rPr>
        <w:t>Storage is tiered across performance, standard and archive classes. Monthly outbound data transfer averages 42 TB.</w:t>
      </w:r>
    </w:p>
    <w:p>
      <w:pPr>
        <w:spacing w:before="280" w:after="140"/>
      </w:pPr>
      <w:r>
        <w:rPr>
          <w:b/>
          <w:color w:val="1F3556"/>
          <w:sz w:val="30"/>
        </w:rPr>
        <w:t>4.  Service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077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5159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35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IA-01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Platform availability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99.9%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IA-02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Recovery time objective — tier 1 workloads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 hours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IA-03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Recovery point objective — tier 1 workloads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 hour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IA-04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Backup retention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See note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IA-05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Capacity reporting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Monthly</w:t>
            </w:r>
          </w:p>
        </w:tc>
      </w:tr>
      <w:tr>
        <w:tc>
          <w:tcPr>
            <w:tcW w:type="dxa" w:w="1077"/>
          </w:tcPr>
          <w:p>
            <w:pPr>
              <w:spacing w:after="40"/>
            </w:pPr>
            <w:r>
              <w:rPr>
                <w:b/>
                <w:sz w:val="19"/>
              </w:rPr>
              <w:t>IA-06</w:t>
            </w:r>
          </w:p>
        </w:tc>
        <w:tc>
          <w:tcPr>
            <w:tcW w:type="dxa" w:w="5159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Security patching of the hosting platform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Within vendor guidance</w:t>
            </w:r>
          </w:p>
        </w:tc>
      </w:tr>
    </w:tbl>
    <w:p>
      <w:pPr>
        <w:spacing w:after="120"/>
      </w:pPr>
      <w:r>
        <w:rPr>
          <w:b w:val="0"/>
          <w:i/>
          <w:sz w:val="21"/>
        </w:rPr>
        <w:t>Note on IA-04: Aurelian's records-retention policy is under review following a regulatory change in the German business. Suppliers should price a stated retention period and show the incremental cost of longer alternatives.</w:t>
      </w:r>
    </w:p>
    <w:p>
      <w:pPr>
        <w:spacing w:after="120"/>
      </w:pPr>
      <w:r>
        <w:rPr>
          <w:b w:val="0"/>
          <w:i/>
          <w:sz w:val="21"/>
        </w:rPr>
        <w:t>Aurelian has stated an availability target but has not specified the resilience architecture required to achieve it. Suppliers should set out what their proposal assumes.</w:t>
      </w:r>
    </w:p>
    <w:p>
      <w:pPr>
        <w:spacing w:before="280" w:after="140"/>
      </w:pPr>
      <w:r>
        <w:rPr>
          <w:b/>
          <w:color w:val="1F3556"/>
          <w:sz w:val="30"/>
        </w:rPr>
        <w:t>5.  Programme</w:t>
      </w:r>
    </w:p>
    <w:p>
      <w:pPr>
        <w:spacing w:after="120"/>
      </w:pPr>
      <w:r>
        <w:rPr>
          <w:b w:val="0"/>
          <w:i w:val="0"/>
          <w:sz w:val="21"/>
        </w:rPr>
        <w:t>The German facility must be vacated by 30 September 2028. The UK facility should follow within a further twelve months.</w:t>
      </w:r>
    </w:p>
    <w:p>
      <w:pPr>
        <w:spacing w:after="120"/>
      </w:pPr>
      <w:r>
        <w:rPr>
          <w:b w:val="0"/>
          <w:i w:val="0"/>
          <w:sz w:val="21"/>
        </w:rPr>
        <w:t>Aurelian's application teams have limited capacity to support concurrent migration activity, and the Group's change freeze runs from mid-November to early January each year. Suppliers should propose a migration profile consistent with these constraints and state the assumptions on which their consumption forecast is based.</w:t>
      </w:r>
    </w:p>
    <w:p>
      <w:pPr>
        <w:spacing w:before="280" w:after="140"/>
      </w:pPr>
      <w:r>
        <w:rPr>
          <w:b/>
          <w:color w:val="1F3556"/>
          <w:sz w:val="30"/>
        </w:rPr>
        <w:t>6.  Commercial requirements</w:t>
      </w:r>
    </w:p>
    <w:p>
      <w:pPr>
        <w:spacing w:after="120"/>
      </w:pPr>
      <w:r>
        <w:rPr>
          <w:b w:val="0"/>
          <w:i w:val="0"/>
          <w:sz w:val="21"/>
        </w:rPr>
        <w:t>The contract will be awarded for an initial term of 5 years.</w:t>
      </w:r>
    </w:p>
    <w:p>
      <w:pPr>
        <w:spacing w:after="120"/>
      </w:pPr>
      <w:r>
        <w:rPr>
          <w:b w:val="0"/>
          <w:i w:val="0"/>
          <w:sz w:val="21"/>
        </w:rPr>
        <w:t>Pricing shall separate one-off migration charges from recurring consumption. Suppliers should state clearly the basis on which consumption is charged and how it varies across the term.</w:t>
      </w:r>
    </w:p>
    <w:p>
      <w:pPr>
        <w:spacing w:after="120"/>
      </w:pPr>
      <w:r>
        <w:rPr>
          <w:b w:val="0"/>
          <w:i w:val="0"/>
          <w:sz w:val="21"/>
        </w:rPr>
        <w:t>Aurelian is willing to consider capacity commitments in exchange for reduced unit rates but has taken no decision. Suppliers should present the options available and the trade-off each involves.</w:t>
      </w:r>
    </w:p>
    <w:p>
      <w:pPr>
        <w:spacing w:after="120"/>
      </w:pPr>
      <w:r>
        <w:rPr>
          <w:b w:val="0"/>
          <w:i w:val="0"/>
          <w:sz w:val="21"/>
        </w:rPr>
        <w:t>Aurelian's platform operations team will be retained in some form. The division of operational responsibility between that team and the supplier has not been determined.</w:t>
      </w:r>
    </w:p>
    <w:p>
      <w:r>
        <w:br w:type="page"/>
      </w:r>
    </w:p>
    <w:p>
      <w:pPr>
        <w:spacing w:before="280" w:after="140"/>
      </w:pPr>
      <w:r>
        <w:rPr>
          <w:b/>
          <w:color w:val="1F3556"/>
          <w:sz w:val="30"/>
        </w:rPr>
        <w:t>Annex A  —  Infrastructure inventory</w:t>
      </w:r>
    </w:p>
    <w:p>
      <w:pPr>
        <w:spacing w:after="120"/>
      </w:pPr>
      <w:r>
        <w:rPr>
          <w:b w:val="0"/>
          <w:i w:val="0"/>
          <w:sz w:val="21"/>
        </w:rPr>
        <w:t>The following is the authoritative statement of the estate in scope.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608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1644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  <w:tc>
          <w:tcPr>
            <w:tcW w:type="dxa" w:w="1757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Non-production</w:t>
            </w:r>
          </w:p>
        </w:tc>
        <w:tc>
          <w:tcPr>
            <w:tcW w:type="dxa" w:w="1474"/>
            <w:shd w:val="clear" w:fill="1F3556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Small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 vCPU / 8 GB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150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90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240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Medium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4 vCPU / 16 GB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113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180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Large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8 vCPU / 32 GB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95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XLarge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16 vCPU / 64 GB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28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GPU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8 vCPU / 61 GB + GPU</w:t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</w:r>
          </w:p>
        </w:tc>
        <w:tc>
          <w:tcPr>
            <w:tcW w:type="dxa" w:w="164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346</w:t>
            </w:r>
          </w:p>
        </w:tc>
        <w:tc>
          <w:tcPr>
            <w:tcW w:type="dxa" w:w="1757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203</w:t>
            </w:r>
          </w:p>
        </w:tc>
        <w:tc>
          <w:tcPr>
            <w:tcW w:type="dxa" w:w="1474"/>
          </w:tcPr>
          <w:p>
            <w:pPr>
              <w:spacing w:after="40"/>
              <w:jc w:val="center"/>
            </w:pPr>
            <w:r>
              <w:rPr>
                <w:b w:val="0"/>
                <w:sz w:val="19"/>
              </w:rPr>
              <w:t>549</w:t>
            </w:r>
          </w:p>
        </w:tc>
      </w:tr>
    </w:tbl>
    <w:p>
      <w:pPr>
        <w:spacing w:after="120"/>
      </w:pPr>
      <w:r>
        <w:rPr>
          <w:b w:val="0"/>
          <w:i w:val="0"/>
          <w:sz w:val="21"/>
        </w:rPr>
      </w:r>
    </w:p>
    <w:p>
      <w:pPr>
        <w:spacing w:after="120"/>
      </w:pPr>
      <w:r>
        <w:rPr>
          <w:b w:val="0"/>
          <w:i w:val="0"/>
          <w:sz w:val="19"/>
        </w:rPr>
        <w:t>Storage: 180 TB performance, 640 TB standard, 2,100 TB archive.</w:t>
      </w:r>
    </w:p>
    <w:p>
      <w:pPr>
        <w:spacing w:after="120"/>
      </w:pPr>
      <w:r>
        <w:rPr>
          <w:b w:val="0"/>
          <w:i w:val="0"/>
          <w:sz w:val="19"/>
        </w:rPr>
        <w:t>Outbound data transfer: 42 TB per month averaged over the last 12 months.</w:t>
      </w:r>
    </w:p>
    <w:p>
      <w:pPr>
        <w:spacing w:after="120"/>
      </w:pPr>
      <w:r>
        <w:rPr>
          <w:b w:val="0"/>
          <w:i w:val="0"/>
          <w:sz w:val="19"/>
        </w:rPr>
        <w:t>Distinct workloads in scope: 210.</w:t>
      </w:r>
    </w:p>
    <w:p>
      <w:pPr>
        <w:spacing w:after="120"/>
      </w:pPr>
      <w:r>
        <w:rPr>
          <w:b w:val="0"/>
          <w:i/>
          <w:sz w:val="19"/>
        </w:rPr>
        <w:t>Note: the non-production column is included in the totals above and is not required outside working hours.</w:t>
      </w:r>
    </w:p>
    <w:sectPr w:rsidR="00FC693F" w:rsidRPr="0006063C" w:rsidSect="00034616">
      <w:pgSz w:w="12240" w:h="15840"/>
      <w:pgMar w:top="1191" w:right="1191" w:bottom="119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