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556"/>
          <w:sz w:val="38"/>
        </w:rPr>
        <w:t>AURELIAN GLOBAL HOLDINGS PLC</w:t>
      </w:r>
    </w:p>
    <w:p>
      <w:pPr>
        <w:spacing w:after="320"/>
      </w:pPr>
      <w:r>
        <w:rPr>
          <w:b w:val="0"/>
          <w:i w:val="0"/>
          <w:color w:val="6B7785"/>
          <w:sz w:val="21"/>
        </w:rPr>
        <w:t>Group Procurement — Technology Services</w:t>
      </w:r>
    </w:p>
    <w:p>
      <w:pPr>
        <w:spacing w:after="80"/>
      </w:pPr>
      <w:r>
        <w:rPr>
          <w:b/>
          <w:i w:val="0"/>
          <w:sz w:val="34"/>
        </w:rPr>
        <w:t>REQUEST FOR PROPOSAL</w:t>
      </w:r>
    </w:p>
    <w:p>
      <w:pPr>
        <w:spacing w:after="280"/>
      </w:pPr>
      <w:r>
        <w:rPr>
          <w:b w:val="0"/>
          <w:i w:val="0"/>
          <w:sz w:val="26"/>
        </w:rPr>
        <w:t>Managed Local Area Network and Wireless Infrastructure Services</w:t>
      </w:r>
    </w:p>
    <w:tbl>
      <w:tblPr>
        <w:tblStyle w:val="TableGrid"/>
        <w:tblW w:type="auto" w:w="0"/>
        <w:jc w:val="left"/>
        <w:tblLook w:firstColumn="1" w:firstRow="1" w:lastColumn="0" w:lastRow="0" w:noHBand="0" w:noVBand="1" w:val="04A0"/>
      </w:tblPr>
      <w:tblGrid>
        <w:gridCol w:w="4929"/>
        <w:gridCol w:w="4929"/>
      </w:tblGrid>
      <w:tr>
        <w:tc>
          <w:tcPr>
            <w:tcW w:type="dxa" w:w="3061"/>
            <w:shd w:val="clear" w:fill="1F3556"/>
          </w:tcPr>
          <w:p>
            <w:pPr>
              <w:spacing w:after="40"/>
              <w:jc w:val="center"/>
            </w:pPr>
            <w:r>
              <w:rPr>
                <w:b/>
                <w:color w:val="FFFFFF"/>
                <w:sz w:val="19"/>
              </w:rPr>
              <w:t>Field</w:t>
            </w:r>
          </w:p>
        </w:tc>
        <w:tc>
          <w:tcPr>
            <w:tcW w:type="dxa" w:w="6009"/>
            <w:shd w:val="clear" w:fill="1F3556"/>
          </w:tcPr>
          <w:p>
            <w:pPr>
              <w:spacing w:after="40"/>
              <w:jc w:val="center"/>
            </w:pPr>
            <w:r>
              <w:rPr>
                <w:b/>
                <w:color w:val="FFFFFF"/>
                <w:sz w:val="19"/>
              </w:rPr>
              <w:t>Detail</w:t>
            </w:r>
          </w:p>
        </w:tc>
      </w:tr>
      <w:tr>
        <w:tc>
          <w:tcPr>
            <w:tcW w:type="dxa" w:w="3061"/>
          </w:tcPr>
          <w:p>
            <w:pPr>
              <w:spacing w:after="40"/>
            </w:pPr>
            <w:r>
              <w:rPr>
                <w:b/>
                <w:sz w:val="19"/>
              </w:rPr>
              <w:t>RFP reference</w:t>
            </w:r>
          </w:p>
        </w:tc>
        <w:tc>
          <w:tcPr>
            <w:tcW w:type="dxa" w:w="6009"/>
          </w:tcPr>
          <w:p>
            <w:pPr>
              <w:spacing w:after="40"/>
              <w:jc w:val="center"/>
            </w:pPr>
            <w:r>
              <w:rPr>
                <w:b w:val="0"/>
                <w:sz w:val="19"/>
              </w:rPr>
              <w:t>AG/2026/NET/114</w:t>
            </w:r>
          </w:p>
        </w:tc>
      </w:tr>
      <w:tr>
        <w:tc>
          <w:tcPr>
            <w:tcW w:type="dxa" w:w="3061"/>
          </w:tcPr>
          <w:p>
            <w:pPr>
              <w:spacing w:after="40"/>
            </w:pPr>
            <w:r>
              <w:rPr>
                <w:b/>
                <w:sz w:val="19"/>
              </w:rPr>
              <w:t>Issue date</w:t>
            </w:r>
          </w:p>
        </w:tc>
        <w:tc>
          <w:tcPr>
            <w:tcW w:type="dxa" w:w="6009"/>
          </w:tcPr>
          <w:p>
            <w:pPr>
              <w:spacing w:after="40"/>
              <w:jc w:val="center"/>
            </w:pPr>
            <w:r>
              <w:rPr>
                <w:b w:val="0"/>
                <w:sz w:val="19"/>
              </w:rPr>
              <w:t>4 August 2026</w:t>
            </w:r>
          </w:p>
        </w:tc>
      </w:tr>
      <w:tr>
        <w:tc>
          <w:tcPr>
            <w:tcW w:type="dxa" w:w="3061"/>
          </w:tcPr>
          <w:p>
            <w:pPr>
              <w:spacing w:after="40"/>
            </w:pPr>
            <w:r>
              <w:rPr>
                <w:b/>
                <w:sz w:val="19"/>
              </w:rPr>
              <w:t>Clarification deadline</w:t>
            </w:r>
          </w:p>
        </w:tc>
        <w:tc>
          <w:tcPr>
            <w:tcW w:type="dxa" w:w="6009"/>
          </w:tcPr>
          <w:p>
            <w:pPr>
              <w:spacing w:after="40"/>
              <w:jc w:val="center"/>
            </w:pPr>
            <w:r>
              <w:rPr>
                <w:b w:val="0"/>
                <w:sz w:val="19"/>
              </w:rPr>
              <w:t>21 August 2026</w:t>
            </w:r>
          </w:p>
        </w:tc>
      </w:tr>
      <w:tr>
        <w:tc>
          <w:tcPr>
            <w:tcW w:type="dxa" w:w="3061"/>
          </w:tcPr>
          <w:p>
            <w:pPr>
              <w:spacing w:after="40"/>
            </w:pPr>
            <w:r>
              <w:rPr>
                <w:b/>
                <w:sz w:val="19"/>
              </w:rPr>
              <w:t>Response deadline</w:t>
            </w:r>
          </w:p>
        </w:tc>
        <w:tc>
          <w:tcPr>
            <w:tcW w:type="dxa" w:w="6009"/>
          </w:tcPr>
          <w:p>
            <w:pPr>
              <w:spacing w:after="40"/>
              <w:jc w:val="center"/>
            </w:pPr>
            <w:r>
              <w:rPr>
                <w:b w:val="0"/>
                <w:sz w:val="19"/>
              </w:rPr>
              <w:t>11 September 2026, 17:00 CET</w:t>
            </w:r>
          </w:p>
        </w:tc>
      </w:tr>
      <w:tr>
        <w:tc>
          <w:tcPr>
            <w:tcW w:type="dxa" w:w="3061"/>
          </w:tcPr>
          <w:p>
            <w:pPr>
              <w:spacing w:after="40"/>
            </w:pPr>
            <w:r>
              <w:rPr>
                <w:b/>
                <w:sz w:val="19"/>
              </w:rPr>
              <w:t>Contract commencement</w:t>
            </w:r>
          </w:p>
        </w:tc>
        <w:tc>
          <w:tcPr>
            <w:tcW w:type="dxa" w:w="6009"/>
          </w:tcPr>
          <w:p>
            <w:pPr>
              <w:spacing w:after="40"/>
              <w:jc w:val="center"/>
            </w:pPr>
            <w:r>
              <w:rPr>
                <w:b w:val="0"/>
                <w:sz w:val="19"/>
              </w:rPr>
              <w:t>1 January 2027</w:t>
            </w:r>
          </w:p>
        </w:tc>
      </w:tr>
      <w:tr>
        <w:tc>
          <w:tcPr>
            <w:tcW w:type="dxa" w:w="3061"/>
          </w:tcPr>
          <w:p>
            <w:pPr>
              <w:spacing w:after="40"/>
            </w:pPr>
            <w:r>
              <w:rPr>
                <w:b/>
                <w:sz w:val="19"/>
              </w:rPr>
              <w:t>Issuing entity</w:t>
            </w:r>
          </w:p>
        </w:tc>
        <w:tc>
          <w:tcPr>
            <w:tcW w:type="dxa" w:w="6009"/>
          </w:tcPr>
          <w:p>
            <w:pPr>
              <w:spacing w:after="40"/>
              <w:jc w:val="center"/>
            </w:pPr>
            <w:r>
              <w:rPr>
                <w:b w:val="0"/>
                <w:sz w:val="19"/>
              </w:rPr>
              <w:t>Aurelian Global Holdings plc</w:t>
            </w:r>
          </w:p>
        </w:tc>
      </w:tr>
    </w:tbl>
    <w:p>
      <w:r>
        <w:br w:type="page"/>
      </w:r>
    </w:p>
    <w:p>
      <w:pPr>
        <w:spacing w:before="280" w:after="140"/>
      </w:pPr>
      <w:r>
        <w:rPr>
          <w:b/>
          <w:color w:val="1F3556"/>
          <w:sz w:val="30"/>
        </w:rPr>
        <w:t>1.  Introduction and background</w:t>
      </w:r>
    </w:p>
    <w:p>
      <w:pPr>
        <w:spacing w:after="120"/>
      </w:pPr>
      <w:r>
        <w:rPr>
          <w:b w:val="0"/>
          <w:i w:val="0"/>
          <w:sz w:val="21"/>
        </w:rPr>
        <w:t>Aurelian Global Holdings plc ("Aurelian") is a diversified industrial and logistics group headquartered in London, operating across five European markets. The Group employs circa 14,000 staff across approximately 100 locations, comprising regional offices, distribution centres, manufacturing facilities and two campus headquarters.</w:t>
      </w:r>
    </w:p>
    <w:p>
      <w:pPr>
        <w:spacing w:after="120"/>
      </w:pPr>
      <w:r>
        <w:rPr>
          <w:b w:val="0"/>
          <w:i w:val="0"/>
          <w:sz w:val="21"/>
        </w:rPr>
        <w:t>Aurelian's existing local area network estate has reached end of vendor support. The Board has approved a Group-wide programme to replace both the wired access layer and the wireless infrastructure, and to transfer ongoing support of that estate to a single managed service provider.</w:t>
      </w:r>
    </w:p>
    <w:p>
      <w:pPr>
        <w:spacing w:before="280" w:after="140"/>
      </w:pPr>
      <w:r>
        <w:rPr>
          <w:b/>
          <w:color w:val="1F3556"/>
          <w:sz w:val="30"/>
        </w:rPr>
        <w:t>2.  Scope of services</w:t>
      </w:r>
    </w:p>
    <w:p>
      <w:pPr>
        <w:spacing w:after="120"/>
      </w:pPr>
      <w:r>
        <w:rPr>
          <w:b w:val="0"/>
          <w:i w:val="0"/>
          <w:sz w:val="21"/>
        </w:rPr>
        <w:t>The successful supplier will be responsible for the following:</w:t>
      </w:r>
    </w:p>
    <w:p>
      <w:pPr>
        <w:pStyle w:val="ListBullet"/>
        <w:spacing w:after="80"/>
      </w:pPr>
      <w:r>
        <w:rPr>
          <w:sz w:val="21"/>
        </w:rPr>
        <w:t>Design of the target wired and wireless network architecture across all in-scope locations.</w:t>
      </w:r>
    </w:p>
    <w:p>
      <w:pPr>
        <w:pStyle w:val="ListBullet"/>
        <w:spacing w:after="80"/>
      </w:pPr>
      <w:r>
        <w:rPr>
          <w:sz w:val="21"/>
        </w:rPr>
        <w:t>Supply, configuration and installation of wireless access points and access-layer switching at every location listed in Annex A.</w:t>
      </w:r>
    </w:p>
    <w:p>
      <w:pPr>
        <w:pStyle w:val="ListBullet"/>
        <w:spacing w:after="80"/>
      </w:pPr>
      <w:r>
        <w:rPr>
          <w:sz w:val="21"/>
        </w:rPr>
        <w:t>Decommissioning and environmentally compliant disposal of the legacy estate.</w:t>
      </w:r>
    </w:p>
    <w:p>
      <w:pPr>
        <w:pStyle w:val="ListBullet"/>
        <w:spacing w:after="80"/>
      </w:pPr>
      <w:r>
        <w:rPr>
          <w:sz w:val="21"/>
        </w:rPr>
        <w:t>An ongoing managed service covering incident resolution, proactive monitoring and end-user support for the duration of the contract.</w:t>
      </w:r>
    </w:p>
    <w:p>
      <w:pPr>
        <w:pStyle w:val="ListBullet"/>
        <w:spacing w:after="80"/>
      </w:pPr>
      <w:r>
        <w:rPr>
          <w:sz w:val="21"/>
        </w:rPr>
        <w:t>On-site engineering attendance where an incident cannot be resolved remotely.</w:t>
      </w:r>
    </w:p>
    <w:p>
      <w:pPr>
        <w:spacing w:after="120"/>
      </w:pPr>
      <w:r>
        <w:rPr>
          <w:b w:val="0"/>
          <w:i w:val="0"/>
          <w:sz w:val="21"/>
        </w:rPr>
        <w:t>Structured cabling within each location was renewed in 2024 and is considered fit for purpose. Suppliers should assume existing cabling is reusable and should not price for recabling.</w:t>
      </w:r>
    </w:p>
    <w:p>
      <w:pPr>
        <w:spacing w:before="280" w:after="140"/>
      </w:pPr>
      <w:r>
        <w:rPr>
          <w:b/>
          <w:color w:val="1F3556"/>
          <w:sz w:val="30"/>
        </w:rPr>
        <w:t>3.  Estate</w:t>
      </w:r>
    </w:p>
    <w:p>
      <w:pPr>
        <w:spacing w:after="120"/>
      </w:pPr>
      <w:r>
        <w:rPr>
          <w:b w:val="0"/>
          <w:i w:val="0"/>
          <w:sz w:val="21"/>
        </w:rPr>
        <w:t>The in-scope estate is set out in full in Annex A. Annex A is the authoritative statement of the estate for pricing purposes; any figures given elsewhere in this document are indicative only.</w:t>
      </w:r>
    </w:p>
    <w:p>
      <w:pPr>
        <w:spacing w:after="120"/>
      </w:pPr>
      <w:r>
        <w:rPr>
          <w:b w:val="0"/>
          <w:i w:val="0"/>
          <w:sz w:val="21"/>
        </w:rPr>
        <w:t>Locations are categorised by user population as follows: Small (up to 50 users), Medium (51 to 250 users), Large (251 to 1,000 users) and Campus (in excess of 1,000 users).</w:t>
      </w:r>
    </w:p>
    <w:p>
      <w:pPr>
        <w:spacing w:after="120"/>
      </w:pPr>
      <w:r>
        <w:rPr>
          <w:b w:val="0"/>
          <w:i w:val="0"/>
          <w:sz w:val="21"/>
        </w:rPr>
        <w:t>Aurelian operates a wireless-first workplace policy. The substantial majority of employees connect over wireless; wired ports are required principally for access points, printing, building systems and a limited number of fixed engineering workstations.</w:t>
      </w:r>
    </w:p>
    <w:p>
      <w:pPr>
        <w:spacing w:before="280" w:after="140"/>
      </w:pPr>
      <w:r>
        <w:rPr>
          <w:b/>
          <w:color w:val="1F3556"/>
          <w:sz w:val="30"/>
        </w:rPr>
        <w:t>4.  Service level requirements</w:t>
      </w:r>
    </w:p>
    <w:p>
      <w:pPr>
        <w:spacing w:after="120"/>
      </w:pPr>
      <w:r>
        <w:rPr>
          <w:b w:val="0"/>
          <w:i w:val="0"/>
          <w:sz w:val="21"/>
        </w:rPr>
        <w:t>The following service levels shall apply from the date each location is accepted into service:</w:t>
      </w:r>
    </w:p>
    <w:tbl>
      <w:tblPr>
        <w:tblStyle w:val="TableGrid"/>
        <w:tblW w:type="auto" w:w="0"/>
        <w:jc w:val="left"/>
        <w:tblLook w:firstColumn="1" w:firstRow="1" w:lastColumn="0" w:lastRow="0" w:noHBand="0" w:noVBand="1" w:val="04A0"/>
      </w:tblPr>
      <w:tblGrid>
        <w:gridCol w:w="3286"/>
        <w:gridCol w:w="3286"/>
        <w:gridCol w:w="3286"/>
      </w:tblGrid>
      <w:tr>
        <w:tc>
          <w:tcPr>
            <w:tcW w:type="dxa" w:w="1077"/>
            <w:shd w:val="clear" w:fill="1F3556"/>
          </w:tcPr>
          <w:p>
            <w:pPr>
              <w:spacing w:after="40"/>
              <w:jc w:val="center"/>
            </w:pPr>
            <w:r>
              <w:rPr>
                <w:b/>
                <w:color w:val="FFFFFF"/>
                <w:sz w:val="19"/>
              </w:rPr>
              <w:t>Ref</w:t>
            </w:r>
          </w:p>
        </w:tc>
        <w:tc>
          <w:tcPr>
            <w:tcW w:type="dxa" w:w="5159"/>
            <w:shd w:val="clear" w:fill="1F3556"/>
          </w:tcPr>
          <w:p>
            <w:pPr>
              <w:spacing w:after="40"/>
              <w:jc w:val="center"/>
            </w:pPr>
            <w:r>
              <w:rPr>
                <w:b/>
                <w:color w:val="FFFFFF"/>
                <w:sz w:val="19"/>
              </w:rPr>
              <w:t>Requirement</w:t>
            </w:r>
          </w:p>
        </w:tc>
        <w:tc>
          <w:tcPr>
            <w:tcW w:type="dxa" w:w="2835"/>
            <w:shd w:val="clear" w:fill="1F3556"/>
          </w:tcPr>
          <w:p>
            <w:pPr>
              <w:spacing w:after="40"/>
              <w:jc w:val="center"/>
            </w:pPr>
            <w:r>
              <w:rPr>
                <w:b/>
                <w:color w:val="FFFFFF"/>
                <w:sz w:val="19"/>
              </w:rPr>
              <w:t>Target</w:t>
            </w:r>
          </w:p>
        </w:tc>
      </w:tr>
      <w:tr>
        <w:tc>
          <w:tcPr>
            <w:tcW w:type="dxa" w:w="1077"/>
          </w:tcPr>
          <w:p>
            <w:pPr>
              <w:spacing w:after="40"/>
            </w:pPr>
            <w:r>
              <w:rPr>
                <w:b/>
                <w:sz w:val="19"/>
              </w:rPr>
              <w:t>SL-01</w:t>
            </w:r>
          </w:p>
        </w:tc>
        <w:tc>
          <w:tcPr>
            <w:tcW w:type="dxa" w:w="5159"/>
          </w:tcPr>
          <w:p>
            <w:pPr>
              <w:spacing w:after="40"/>
              <w:jc w:val="center"/>
            </w:pPr>
            <w:r>
              <w:rPr>
                <w:b w:val="0"/>
                <w:sz w:val="19"/>
              </w:rPr>
              <w:t>Priority 1 incident — on-site engineer attendance</w:t>
            </w:r>
          </w:p>
        </w:tc>
        <w:tc>
          <w:tcPr>
            <w:tcW w:type="dxa" w:w="2835"/>
          </w:tcPr>
          <w:p>
            <w:pPr>
              <w:spacing w:after="40"/>
              <w:jc w:val="center"/>
            </w:pPr>
            <w:r>
              <w:rPr>
                <w:b w:val="0"/>
                <w:sz w:val="19"/>
              </w:rPr>
              <w:t>4 business hours</w:t>
            </w:r>
          </w:p>
        </w:tc>
      </w:tr>
      <w:tr>
        <w:tc>
          <w:tcPr>
            <w:tcW w:type="dxa" w:w="1077"/>
          </w:tcPr>
          <w:p>
            <w:pPr>
              <w:spacing w:after="40"/>
            </w:pPr>
            <w:r>
              <w:rPr>
                <w:b/>
                <w:sz w:val="19"/>
              </w:rPr>
              <w:t>SL-02</w:t>
            </w:r>
          </w:p>
        </w:tc>
        <w:tc>
          <w:tcPr>
            <w:tcW w:type="dxa" w:w="5159"/>
          </w:tcPr>
          <w:p>
            <w:pPr>
              <w:spacing w:after="40"/>
              <w:jc w:val="center"/>
            </w:pPr>
            <w:r>
              <w:rPr>
                <w:b w:val="0"/>
                <w:sz w:val="19"/>
              </w:rPr>
              <w:t>Priority 2 incident — remote response</w:t>
            </w:r>
          </w:p>
        </w:tc>
        <w:tc>
          <w:tcPr>
            <w:tcW w:type="dxa" w:w="2835"/>
          </w:tcPr>
          <w:p>
            <w:pPr>
              <w:spacing w:after="40"/>
              <w:jc w:val="center"/>
            </w:pPr>
            <w:r>
              <w:rPr>
                <w:b w:val="0"/>
                <w:sz w:val="19"/>
              </w:rPr>
              <w:t>2 business hours</w:t>
            </w:r>
          </w:p>
        </w:tc>
      </w:tr>
      <w:tr>
        <w:tc>
          <w:tcPr>
            <w:tcW w:type="dxa" w:w="1077"/>
          </w:tcPr>
          <w:p>
            <w:pPr>
              <w:spacing w:after="40"/>
            </w:pPr>
            <w:r>
              <w:rPr>
                <w:b/>
                <w:sz w:val="19"/>
              </w:rPr>
              <w:t>SL-03</w:t>
            </w:r>
          </w:p>
        </w:tc>
        <w:tc>
          <w:tcPr>
            <w:tcW w:type="dxa" w:w="5159"/>
          </w:tcPr>
          <w:p>
            <w:pPr>
              <w:spacing w:after="40"/>
              <w:jc w:val="center"/>
            </w:pPr>
            <w:r>
              <w:rPr>
                <w:b w:val="0"/>
                <w:sz w:val="19"/>
              </w:rPr>
              <w:t>Proactive infrastructure monitoring</w:t>
            </w:r>
          </w:p>
        </w:tc>
        <w:tc>
          <w:tcPr>
            <w:tcW w:type="dxa" w:w="2835"/>
          </w:tcPr>
          <w:p>
            <w:pPr>
              <w:spacing w:after="40"/>
              <w:jc w:val="center"/>
            </w:pPr>
            <w:r>
              <w:rPr>
                <w:b w:val="0"/>
                <w:sz w:val="19"/>
              </w:rPr>
              <w:t>24 hours a day, 7 days a week</w:t>
            </w:r>
          </w:p>
        </w:tc>
      </w:tr>
      <w:tr>
        <w:tc>
          <w:tcPr>
            <w:tcW w:type="dxa" w:w="1077"/>
          </w:tcPr>
          <w:p>
            <w:pPr>
              <w:spacing w:after="40"/>
            </w:pPr>
            <w:r>
              <w:rPr>
                <w:b/>
                <w:sz w:val="19"/>
              </w:rPr>
              <w:t>SL-04</w:t>
            </w:r>
          </w:p>
        </w:tc>
        <w:tc>
          <w:tcPr>
            <w:tcW w:type="dxa" w:w="5159"/>
          </w:tcPr>
          <w:p>
            <w:pPr>
              <w:spacing w:after="40"/>
              <w:jc w:val="center"/>
            </w:pPr>
            <w:r>
              <w:rPr>
                <w:b w:val="0"/>
                <w:sz w:val="19"/>
              </w:rPr>
              <w:t>End-user service desk</w:t>
            </w:r>
          </w:p>
        </w:tc>
        <w:tc>
          <w:tcPr>
            <w:tcW w:type="dxa" w:w="2835"/>
          </w:tcPr>
          <w:p>
            <w:pPr>
              <w:spacing w:after="40"/>
              <w:jc w:val="center"/>
            </w:pPr>
            <w:r>
              <w:rPr>
                <w:b w:val="0"/>
                <w:sz w:val="19"/>
              </w:rPr>
              <w:t>Required — multilingual</w:t>
            </w:r>
          </w:p>
        </w:tc>
      </w:tr>
      <w:tr>
        <w:tc>
          <w:tcPr>
            <w:tcW w:type="dxa" w:w="1077"/>
          </w:tcPr>
          <w:p>
            <w:pPr>
              <w:spacing w:after="40"/>
            </w:pPr>
            <w:r>
              <w:rPr>
                <w:b/>
                <w:sz w:val="19"/>
              </w:rPr>
              <w:t>SL-05</w:t>
            </w:r>
          </w:p>
        </w:tc>
        <w:tc>
          <w:tcPr>
            <w:tcW w:type="dxa" w:w="5159"/>
          </w:tcPr>
          <w:p>
            <w:pPr>
              <w:spacing w:after="40"/>
              <w:jc w:val="center"/>
            </w:pPr>
            <w:r>
              <w:rPr>
                <w:b w:val="0"/>
                <w:sz w:val="19"/>
              </w:rPr>
              <w:t>Network availability at Campus locations</w:t>
            </w:r>
          </w:p>
        </w:tc>
        <w:tc>
          <w:tcPr>
            <w:tcW w:type="dxa" w:w="2835"/>
          </w:tcPr>
          <w:p>
            <w:pPr>
              <w:spacing w:after="40"/>
              <w:jc w:val="center"/>
            </w:pPr>
            <w:r>
              <w:rPr>
                <w:b w:val="0"/>
                <w:sz w:val="19"/>
              </w:rPr>
              <w:t>99.95%</w:t>
            </w:r>
          </w:p>
        </w:tc>
      </w:tr>
      <w:tr>
        <w:tc>
          <w:tcPr>
            <w:tcW w:type="dxa" w:w="1077"/>
          </w:tcPr>
          <w:p>
            <w:pPr>
              <w:spacing w:after="40"/>
            </w:pPr>
            <w:r>
              <w:rPr>
                <w:b/>
                <w:sz w:val="19"/>
              </w:rPr>
              <w:t>SL-06</w:t>
            </w:r>
          </w:p>
        </w:tc>
        <w:tc>
          <w:tcPr>
            <w:tcW w:type="dxa" w:w="5159"/>
          </w:tcPr>
          <w:p>
            <w:pPr>
              <w:spacing w:after="40"/>
              <w:jc w:val="center"/>
            </w:pPr>
            <w:r>
              <w:rPr>
                <w:b w:val="0"/>
                <w:sz w:val="19"/>
              </w:rPr>
              <w:t>Monthly service reporting</w:t>
            </w:r>
          </w:p>
        </w:tc>
        <w:tc>
          <w:tcPr>
            <w:tcW w:type="dxa" w:w="2835"/>
          </w:tcPr>
          <w:p>
            <w:pPr>
              <w:spacing w:after="40"/>
              <w:jc w:val="center"/>
            </w:pPr>
            <w:r>
              <w:rPr>
                <w:b w:val="0"/>
                <w:sz w:val="19"/>
              </w:rPr>
              <w:t>Within 5 business days of month end</w:t>
            </w:r>
          </w:p>
        </w:tc>
      </w:tr>
    </w:tbl>
    <w:p>
      <w:pPr>
        <w:spacing w:after="120"/>
      </w:pPr>
      <w:r>
        <w:rPr>
          <w:b w:val="0"/>
          <w:i/>
          <w:sz w:val="21"/>
        </w:rPr>
        <w:t>SL-01 applies to all locations irrespective of country or size band. Aurelian regards on-site attendance within the stated target as a material requirement and not an aspiration.</w:t>
      </w:r>
    </w:p>
    <w:p>
      <w:pPr>
        <w:spacing w:before="280" w:after="140"/>
      </w:pPr>
      <w:r>
        <w:rPr>
          <w:b/>
          <w:color w:val="1F3556"/>
          <w:sz w:val="30"/>
        </w:rPr>
        <w:t>5.  Programme</w:t>
      </w:r>
    </w:p>
    <w:p>
      <w:pPr>
        <w:spacing w:after="120"/>
      </w:pPr>
      <w:r>
        <w:rPr>
          <w:b w:val="0"/>
          <w:i w:val="0"/>
          <w:sz w:val="21"/>
        </w:rPr>
        <w:t>Deployment shall be completed within 9 months of contract commencement. Aurelian expects the supplier to sequence the rollout so that no single country is disrupted concurrently across more than 30% of its locations.</w:t>
      </w:r>
    </w:p>
    <w:p>
      <w:pPr>
        <w:spacing w:after="120"/>
      </w:pPr>
      <w:r>
        <w:rPr>
          <w:b w:val="0"/>
          <w:i w:val="0"/>
          <w:sz w:val="21"/>
        </w:rPr>
        <w:t>The supplier is required to minimise disruption to Aurelian's operations throughout the deployment. Distribution centres in particular operate extended shift patterns.</w:t>
      </w:r>
    </w:p>
    <w:p>
      <w:pPr>
        <w:spacing w:before="280" w:after="140"/>
      </w:pPr>
      <w:r>
        <w:rPr>
          <w:b/>
          <w:color w:val="1F3556"/>
          <w:sz w:val="30"/>
        </w:rPr>
        <w:t>6.  Commercial requirements</w:t>
      </w:r>
    </w:p>
    <w:p>
      <w:pPr>
        <w:spacing w:after="120"/>
      </w:pPr>
      <w:r>
        <w:rPr>
          <w:b w:val="0"/>
          <w:i w:val="0"/>
          <w:sz w:val="21"/>
        </w:rPr>
        <w:t>The contract will be awarded for an initial term of 5 years. Aurelian reserves the right to extend by two further periods of 12 months on the same commercial terms.</w:t>
      </w:r>
    </w:p>
    <w:p>
      <w:pPr>
        <w:spacing w:after="120"/>
      </w:pPr>
      <w:r>
        <w:rPr>
          <w:b w:val="0"/>
          <w:i w:val="0"/>
          <w:sz w:val="21"/>
        </w:rPr>
        <w:t>Pricing shall be submitted in pounds sterling as a one-off charge covering design, supply, installation and transition, and a recurring annual charge for the managed service.</w:t>
      </w:r>
    </w:p>
    <w:p>
      <w:pPr>
        <w:spacing w:after="120"/>
      </w:pPr>
      <w:r>
        <w:rPr>
          <w:b w:val="0"/>
          <w:i w:val="0"/>
          <w:sz w:val="21"/>
        </w:rPr>
        <w:t>Suppliers shall state clearly any assumptions made in arriving at their price, and shall identify any element of the requirement for which they consider the information provided to be insufficient.</w:t>
      </w:r>
    </w:p>
    <w:p>
      <w:r>
        <w:br w:type="page"/>
      </w:r>
    </w:p>
    <w:p>
      <w:pPr>
        <w:spacing w:before="280" w:after="140"/>
      </w:pPr>
      <w:r>
        <w:rPr>
          <w:b/>
          <w:color w:val="1F3556"/>
          <w:sz w:val="30"/>
        </w:rPr>
        <w:t>Annex A  —  Site schedule</w:t>
      </w:r>
    </w:p>
    <w:p>
      <w:pPr>
        <w:spacing w:after="120"/>
      </w:pPr>
      <w:r>
        <w:rPr>
          <w:b w:val="0"/>
          <w:i w:val="0"/>
          <w:sz w:val="21"/>
        </w:rPr>
        <w:t>The following is the authoritative statement of the in-scope estate.</w:t>
      </w:r>
    </w:p>
    <w:tbl>
      <w:tblPr>
        <w:tblStyle w:val="TableGrid"/>
        <w:tblW w:type="auto" w:w="0"/>
        <w:jc w:val="left"/>
        <w:tblLook w:firstColumn="1" w:firstRow="1" w:lastColumn="0" w:lastRow="0" w:noHBand="0" w:noVBand="1" w:val="04A0"/>
      </w:tblPr>
      <w:tblGrid>
        <w:gridCol w:w="1643"/>
        <w:gridCol w:w="1643"/>
        <w:gridCol w:w="1643"/>
        <w:gridCol w:w="1643"/>
        <w:gridCol w:w="1643"/>
        <w:gridCol w:w="1643"/>
      </w:tblGrid>
      <w:tr>
        <w:tc>
          <w:tcPr>
            <w:tcW w:type="dxa" w:w="2494"/>
            <w:shd w:val="clear" w:fill="1F3556"/>
          </w:tcPr>
          <w:p>
            <w:pPr>
              <w:spacing w:after="40"/>
              <w:jc w:val="center"/>
            </w:pPr>
            <w:r>
              <w:rPr>
                <w:b/>
                <w:color w:val="FFFFFF"/>
                <w:sz w:val="19"/>
              </w:rPr>
              <w:t>Country</w:t>
            </w:r>
          </w:p>
        </w:tc>
        <w:tc>
          <w:tcPr>
            <w:tcW w:type="dxa" w:w="1304"/>
            <w:shd w:val="clear" w:fill="1F3556"/>
          </w:tcPr>
          <w:p>
            <w:pPr>
              <w:spacing w:after="40"/>
              <w:jc w:val="center"/>
            </w:pPr>
            <w:r>
              <w:rPr>
                <w:b/>
                <w:color w:val="FFFFFF"/>
                <w:sz w:val="19"/>
              </w:rPr>
              <w:t>Small</w:t>
            </w:r>
          </w:p>
        </w:tc>
        <w:tc>
          <w:tcPr>
            <w:tcW w:type="dxa" w:w="1304"/>
            <w:shd w:val="clear" w:fill="1F3556"/>
          </w:tcPr>
          <w:p>
            <w:pPr>
              <w:spacing w:after="40"/>
              <w:jc w:val="center"/>
            </w:pPr>
            <w:r>
              <w:rPr>
                <w:b/>
                <w:color w:val="FFFFFF"/>
                <w:sz w:val="19"/>
              </w:rPr>
              <w:t>Medium</w:t>
            </w:r>
          </w:p>
        </w:tc>
        <w:tc>
          <w:tcPr>
            <w:tcW w:type="dxa" w:w="1304"/>
            <w:shd w:val="clear" w:fill="1F3556"/>
          </w:tcPr>
          <w:p>
            <w:pPr>
              <w:spacing w:after="40"/>
              <w:jc w:val="center"/>
            </w:pPr>
            <w:r>
              <w:rPr>
                <w:b/>
                <w:color w:val="FFFFFF"/>
                <w:sz w:val="19"/>
              </w:rPr>
              <w:t>Large</w:t>
            </w:r>
          </w:p>
        </w:tc>
        <w:tc>
          <w:tcPr>
            <w:tcW w:type="dxa" w:w="1304"/>
            <w:shd w:val="clear" w:fill="1F3556"/>
          </w:tcPr>
          <w:p>
            <w:pPr>
              <w:spacing w:after="40"/>
              <w:jc w:val="center"/>
            </w:pPr>
            <w:r>
              <w:rPr>
                <w:b/>
                <w:color w:val="FFFFFF"/>
                <w:sz w:val="19"/>
              </w:rPr>
              <w:t>Campus</w:t>
            </w:r>
          </w:p>
        </w:tc>
        <w:tc>
          <w:tcPr>
            <w:tcW w:type="dxa" w:w="1361"/>
            <w:shd w:val="clear" w:fill="1F3556"/>
          </w:tcPr>
          <w:p>
            <w:pPr>
              <w:spacing w:after="40"/>
              <w:jc w:val="center"/>
            </w:pPr>
            <w:r>
              <w:rPr>
                <w:b/>
                <w:color w:val="FFFFFF"/>
                <w:sz w:val="19"/>
              </w:rPr>
              <w:t>Total</w:t>
            </w:r>
          </w:p>
        </w:tc>
      </w:tr>
      <w:tr>
        <w:tc>
          <w:tcPr>
            <w:tcW w:type="dxa" w:w="2494"/>
          </w:tcPr>
          <w:p>
            <w:pPr>
              <w:spacing w:after="40"/>
            </w:pPr>
            <w:r>
              <w:rPr>
                <w:b/>
                <w:sz w:val="19"/>
              </w:rPr>
              <w:t>United Kingdom</w:t>
            </w:r>
          </w:p>
        </w:tc>
        <w:tc>
          <w:tcPr>
            <w:tcW w:type="dxa" w:w="1304"/>
          </w:tcPr>
          <w:p>
            <w:pPr>
              <w:spacing w:after="40"/>
              <w:jc w:val="center"/>
            </w:pPr>
            <w:r>
              <w:rPr>
                <w:b w:val="0"/>
                <w:sz w:val="19"/>
              </w:rPr>
              <w:t>28</w:t>
            </w:r>
          </w:p>
        </w:tc>
        <w:tc>
          <w:tcPr>
            <w:tcW w:type="dxa" w:w="1304"/>
          </w:tcPr>
          <w:p>
            <w:pPr>
              <w:spacing w:after="40"/>
              <w:jc w:val="center"/>
            </w:pPr>
            <w:r>
              <w:rPr>
                <w:b w:val="0"/>
                <w:sz w:val="19"/>
              </w:rPr>
              <w:t>12</w:t>
            </w:r>
          </w:p>
        </w:tc>
        <w:tc>
          <w:tcPr>
            <w:tcW w:type="dxa" w:w="1304"/>
          </w:tcPr>
          <w:p>
            <w:pPr>
              <w:spacing w:after="40"/>
              <w:jc w:val="center"/>
            </w:pPr>
            <w:r>
              <w:rPr>
                <w:b w:val="0"/>
                <w:sz w:val="19"/>
              </w:rPr>
              <w:t>4</w:t>
            </w:r>
          </w:p>
        </w:tc>
        <w:tc>
          <w:tcPr>
            <w:tcW w:type="dxa" w:w="1304"/>
          </w:tcPr>
          <w:p>
            <w:pPr>
              <w:spacing w:after="40"/>
              <w:jc w:val="center"/>
            </w:pPr>
            <w:r>
              <w:rPr>
                <w:b w:val="0"/>
                <w:sz w:val="19"/>
              </w:rPr>
              <w:t>1</w:t>
            </w:r>
          </w:p>
        </w:tc>
        <w:tc>
          <w:tcPr>
            <w:tcW w:type="dxa" w:w="1361"/>
          </w:tcPr>
          <w:p>
            <w:pPr>
              <w:spacing w:after="40"/>
              <w:jc w:val="center"/>
            </w:pPr>
            <w:r>
              <w:rPr>
                <w:b w:val="0"/>
                <w:sz w:val="19"/>
              </w:rPr>
              <w:t>45</w:t>
            </w:r>
          </w:p>
        </w:tc>
      </w:tr>
      <w:tr>
        <w:tc>
          <w:tcPr>
            <w:tcW w:type="dxa" w:w="2494"/>
          </w:tcPr>
          <w:p>
            <w:pPr>
              <w:spacing w:after="40"/>
            </w:pPr>
            <w:r>
              <w:rPr>
                <w:b/>
                <w:sz w:val="19"/>
              </w:rPr>
              <w:t>Germany</w:t>
            </w:r>
          </w:p>
        </w:tc>
        <w:tc>
          <w:tcPr>
            <w:tcW w:type="dxa" w:w="1304"/>
          </w:tcPr>
          <w:p>
            <w:pPr>
              <w:spacing w:after="40"/>
              <w:jc w:val="center"/>
            </w:pPr>
            <w:r>
              <w:rPr>
                <w:b w:val="0"/>
                <w:sz w:val="19"/>
              </w:rPr>
              <w:t>16</w:t>
            </w:r>
          </w:p>
        </w:tc>
        <w:tc>
          <w:tcPr>
            <w:tcW w:type="dxa" w:w="1304"/>
          </w:tcPr>
          <w:p>
            <w:pPr>
              <w:spacing w:after="40"/>
              <w:jc w:val="center"/>
            </w:pPr>
            <w:r>
              <w:rPr>
                <w:b w:val="0"/>
                <w:sz w:val="19"/>
              </w:rPr>
              <w:t>7</w:t>
            </w:r>
          </w:p>
        </w:tc>
        <w:tc>
          <w:tcPr>
            <w:tcW w:type="dxa" w:w="1304"/>
          </w:tcPr>
          <w:p>
            <w:pPr>
              <w:spacing w:after="40"/>
              <w:jc w:val="center"/>
            </w:pPr>
            <w:r>
              <w:rPr>
                <w:b w:val="0"/>
                <w:sz w:val="19"/>
              </w:rPr>
              <w:t>2</w:t>
            </w:r>
          </w:p>
        </w:tc>
        <w:tc>
          <w:tcPr>
            <w:tcW w:type="dxa" w:w="1304"/>
          </w:tcPr>
          <w:p>
            <w:pPr>
              <w:spacing w:after="40"/>
              <w:jc w:val="center"/>
            </w:pPr>
            <w:r>
              <w:rPr>
                <w:b w:val="0"/>
                <w:sz w:val="19"/>
              </w:rPr>
              <w:t>0</w:t>
            </w:r>
          </w:p>
        </w:tc>
        <w:tc>
          <w:tcPr>
            <w:tcW w:type="dxa" w:w="1361"/>
          </w:tcPr>
          <w:p>
            <w:pPr>
              <w:spacing w:after="40"/>
              <w:jc w:val="center"/>
            </w:pPr>
            <w:r>
              <w:rPr>
                <w:b w:val="0"/>
                <w:sz w:val="19"/>
              </w:rPr>
              <w:t>25</w:t>
            </w:r>
          </w:p>
        </w:tc>
      </w:tr>
      <w:tr>
        <w:tc>
          <w:tcPr>
            <w:tcW w:type="dxa" w:w="2494"/>
          </w:tcPr>
          <w:p>
            <w:pPr>
              <w:spacing w:after="40"/>
            </w:pPr>
            <w:r>
              <w:rPr>
                <w:b/>
                <w:sz w:val="19"/>
              </w:rPr>
              <w:t>France</w:t>
            </w:r>
          </w:p>
        </w:tc>
        <w:tc>
          <w:tcPr>
            <w:tcW w:type="dxa" w:w="1304"/>
          </w:tcPr>
          <w:p>
            <w:pPr>
              <w:spacing w:after="40"/>
              <w:jc w:val="center"/>
            </w:pPr>
            <w:r>
              <w:rPr>
                <w:b w:val="0"/>
                <w:sz w:val="19"/>
              </w:rPr>
              <w:t>10</w:t>
            </w:r>
          </w:p>
        </w:tc>
        <w:tc>
          <w:tcPr>
            <w:tcW w:type="dxa" w:w="1304"/>
          </w:tcPr>
          <w:p>
            <w:pPr>
              <w:spacing w:after="40"/>
              <w:jc w:val="center"/>
            </w:pPr>
            <w:r>
              <w:rPr>
                <w:b w:val="0"/>
                <w:sz w:val="19"/>
              </w:rPr>
              <w:t>4</w:t>
            </w:r>
          </w:p>
        </w:tc>
        <w:tc>
          <w:tcPr>
            <w:tcW w:type="dxa" w:w="1304"/>
          </w:tcPr>
          <w:p>
            <w:pPr>
              <w:spacing w:after="40"/>
              <w:jc w:val="center"/>
            </w:pPr>
            <w:r>
              <w:rPr>
                <w:b w:val="0"/>
                <w:sz w:val="19"/>
              </w:rPr>
              <w:t>1</w:t>
            </w:r>
          </w:p>
        </w:tc>
        <w:tc>
          <w:tcPr>
            <w:tcW w:type="dxa" w:w="1304"/>
          </w:tcPr>
          <w:p>
            <w:pPr>
              <w:spacing w:after="40"/>
              <w:jc w:val="center"/>
            </w:pPr>
            <w:r>
              <w:rPr>
                <w:b w:val="0"/>
                <w:sz w:val="19"/>
              </w:rPr>
              <w:t>0</w:t>
            </w:r>
          </w:p>
        </w:tc>
        <w:tc>
          <w:tcPr>
            <w:tcW w:type="dxa" w:w="1361"/>
          </w:tcPr>
          <w:p>
            <w:pPr>
              <w:spacing w:after="40"/>
              <w:jc w:val="center"/>
            </w:pPr>
            <w:r>
              <w:rPr>
                <w:b w:val="0"/>
                <w:sz w:val="19"/>
              </w:rPr>
              <w:t>15</w:t>
            </w:r>
          </w:p>
        </w:tc>
      </w:tr>
      <w:tr>
        <w:tc>
          <w:tcPr>
            <w:tcW w:type="dxa" w:w="2494"/>
          </w:tcPr>
          <w:p>
            <w:pPr>
              <w:spacing w:after="40"/>
            </w:pPr>
            <w:r>
              <w:rPr>
                <w:b/>
                <w:sz w:val="19"/>
              </w:rPr>
              <w:t>Netherlands</w:t>
            </w:r>
          </w:p>
        </w:tc>
        <w:tc>
          <w:tcPr>
            <w:tcW w:type="dxa" w:w="1304"/>
          </w:tcPr>
          <w:p>
            <w:pPr>
              <w:spacing w:after="40"/>
              <w:jc w:val="center"/>
            </w:pPr>
            <w:r>
              <w:rPr>
                <w:b w:val="0"/>
                <w:sz w:val="19"/>
              </w:rPr>
              <w:t>6</w:t>
            </w:r>
          </w:p>
        </w:tc>
        <w:tc>
          <w:tcPr>
            <w:tcW w:type="dxa" w:w="1304"/>
          </w:tcPr>
          <w:p>
            <w:pPr>
              <w:spacing w:after="40"/>
              <w:jc w:val="center"/>
            </w:pPr>
            <w:r>
              <w:rPr>
                <w:b w:val="0"/>
                <w:sz w:val="19"/>
              </w:rPr>
              <w:t>4</w:t>
            </w:r>
          </w:p>
        </w:tc>
        <w:tc>
          <w:tcPr>
            <w:tcW w:type="dxa" w:w="1304"/>
          </w:tcPr>
          <w:p>
            <w:pPr>
              <w:spacing w:after="40"/>
              <w:jc w:val="center"/>
            </w:pPr>
            <w:r>
              <w:rPr>
                <w:b w:val="0"/>
                <w:sz w:val="19"/>
              </w:rPr>
              <w:t>1</w:t>
            </w:r>
          </w:p>
        </w:tc>
        <w:tc>
          <w:tcPr>
            <w:tcW w:type="dxa" w:w="1304"/>
          </w:tcPr>
          <w:p>
            <w:pPr>
              <w:spacing w:after="40"/>
              <w:jc w:val="center"/>
            </w:pPr>
            <w:r>
              <w:rPr>
                <w:b w:val="0"/>
                <w:sz w:val="19"/>
              </w:rPr>
              <w:t>0</w:t>
            </w:r>
          </w:p>
        </w:tc>
        <w:tc>
          <w:tcPr>
            <w:tcW w:type="dxa" w:w="1361"/>
          </w:tcPr>
          <w:p>
            <w:pPr>
              <w:spacing w:after="40"/>
              <w:jc w:val="center"/>
            </w:pPr>
            <w:r>
              <w:rPr>
                <w:b w:val="0"/>
                <w:sz w:val="19"/>
              </w:rPr>
              <w:t>11</w:t>
            </w:r>
          </w:p>
        </w:tc>
      </w:tr>
      <w:tr>
        <w:tc>
          <w:tcPr>
            <w:tcW w:type="dxa" w:w="2494"/>
          </w:tcPr>
          <w:p>
            <w:pPr>
              <w:spacing w:after="40"/>
            </w:pPr>
            <w:r>
              <w:rPr>
                <w:b/>
                <w:sz w:val="19"/>
              </w:rPr>
              <w:t>Poland</w:t>
            </w:r>
          </w:p>
        </w:tc>
        <w:tc>
          <w:tcPr>
            <w:tcW w:type="dxa" w:w="1304"/>
          </w:tcPr>
          <w:p>
            <w:pPr>
              <w:spacing w:after="40"/>
              <w:jc w:val="center"/>
            </w:pPr>
            <w:r>
              <w:rPr>
                <w:b w:val="0"/>
                <w:sz w:val="19"/>
              </w:rPr>
              <w:t>2</w:t>
            </w:r>
          </w:p>
        </w:tc>
        <w:tc>
          <w:tcPr>
            <w:tcW w:type="dxa" w:w="1304"/>
          </w:tcPr>
          <w:p>
            <w:pPr>
              <w:spacing w:after="40"/>
              <w:jc w:val="center"/>
            </w:pPr>
            <w:r>
              <w:rPr>
                <w:b w:val="0"/>
                <w:sz w:val="19"/>
              </w:rPr>
              <w:t>1</w:t>
            </w:r>
          </w:p>
        </w:tc>
        <w:tc>
          <w:tcPr>
            <w:tcW w:type="dxa" w:w="1304"/>
          </w:tcPr>
          <w:p>
            <w:pPr>
              <w:spacing w:after="40"/>
              <w:jc w:val="center"/>
            </w:pPr>
            <w:r>
              <w:rPr>
                <w:b w:val="0"/>
                <w:sz w:val="19"/>
              </w:rPr>
              <w:t>1</w:t>
            </w:r>
          </w:p>
        </w:tc>
        <w:tc>
          <w:tcPr>
            <w:tcW w:type="dxa" w:w="1304"/>
          </w:tcPr>
          <w:p>
            <w:pPr>
              <w:spacing w:after="40"/>
              <w:jc w:val="center"/>
            </w:pPr>
            <w:r>
              <w:rPr>
                <w:b w:val="0"/>
                <w:sz w:val="19"/>
              </w:rPr>
              <w:t>1</w:t>
            </w:r>
          </w:p>
        </w:tc>
        <w:tc>
          <w:tcPr>
            <w:tcW w:type="dxa" w:w="1361"/>
          </w:tcPr>
          <w:p>
            <w:pPr>
              <w:spacing w:after="40"/>
              <w:jc w:val="center"/>
            </w:pPr>
            <w:r>
              <w:rPr>
                <w:b w:val="0"/>
                <w:sz w:val="19"/>
              </w:rPr>
              <w:t>5</w:t>
            </w:r>
          </w:p>
        </w:tc>
      </w:tr>
      <w:tr>
        <w:tc>
          <w:tcPr>
            <w:tcW w:type="dxa" w:w="2494"/>
          </w:tcPr>
          <w:p>
            <w:pPr>
              <w:spacing w:after="40"/>
            </w:pPr>
            <w:r>
              <w:rPr>
                <w:b/>
                <w:sz w:val="19"/>
              </w:rPr>
              <w:t>Total</w:t>
            </w:r>
          </w:p>
        </w:tc>
        <w:tc>
          <w:tcPr>
            <w:tcW w:type="dxa" w:w="1304"/>
          </w:tcPr>
          <w:p>
            <w:pPr>
              <w:spacing w:after="40"/>
              <w:jc w:val="center"/>
            </w:pPr>
            <w:r>
              <w:rPr>
                <w:b w:val="0"/>
                <w:sz w:val="19"/>
              </w:rPr>
              <w:t>62</w:t>
            </w:r>
          </w:p>
        </w:tc>
        <w:tc>
          <w:tcPr>
            <w:tcW w:type="dxa" w:w="1304"/>
          </w:tcPr>
          <w:p>
            <w:pPr>
              <w:spacing w:after="40"/>
              <w:jc w:val="center"/>
            </w:pPr>
            <w:r>
              <w:rPr>
                <w:b w:val="0"/>
                <w:sz w:val="19"/>
              </w:rPr>
              <w:t>28</w:t>
            </w:r>
          </w:p>
        </w:tc>
        <w:tc>
          <w:tcPr>
            <w:tcW w:type="dxa" w:w="1304"/>
          </w:tcPr>
          <w:p>
            <w:pPr>
              <w:spacing w:after="40"/>
              <w:jc w:val="center"/>
            </w:pPr>
            <w:r>
              <w:rPr>
                <w:b w:val="0"/>
                <w:sz w:val="19"/>
              </w:rPr>
              <w:t>9</w:t>
            </w:r>
          </w:p>
        </w:tc>
        <w:tc>
          <w:tcPr>
            <w:tcW w:type="dxa" w:w="1304"/>
          </w:tcPr>
          <w:p>
            <w:pPr>
              <w:spacing w:after="40"/>
              <w:jc w:val="center"/>
            </w:pPr>
            <w:r>
              <w:rPr>
                <w:b w:val="0"/>
                <w:sz w:val="19"/>
              </w:rPr>
              <w:t>2</w:t>
            </w:r>
          </w:p>
        </w:tc>
        <w:tc>
          <w:tcPr>
            <w:tcW w:type="dxa" w:w="1361"/>
          </w:tcPr>
          <w:p>
            <w:pPr>
              <w:spacing w:after="40"/>
              <w:jc w:val="center"/>
            </w:pPr>
            <w:r>
              <w:rPr>
                <w:b w:val="0"/>
                <w:sz w:val="19"/>
              </w:rPr>
              <w:t>101</w:t>
            </w:r>
          </w:p>
        </w:tc>
      </w:tr>
    </w:tbl>
    <w:p>
      <w:pPr>
        <w:spacing w:after="120"/>
      </w:pPr>
      <w:r>
        <w:rPr>
          <w:b w:val="0"/>
          <w:i w:val="0"/>
          <w:sz w:val="21"/>
        </w:rPr>
      </w:r>
    </w:p>
    <w:p>
      <w:pPr>
        <w:spacing w:after="120"/>
      </w:pPr>
      <w:r>
        <w:rPr>
          <w:b w:val="0"/>
          <w:i/>
          <w:sz w:val="19"/>
        </w:rPr>
        <w:t>Note: access point counts per location have not been surveyed. Suppliers should apply their own design standards for coverage and density appropriate to each size band, and state the resulting quantities.</w:t>
      </w:r>
    </w:p>
    <w:p>
      <w:pPr>
        <w:spacing w:after="120"/>
      </w:pPr>
      <w:r>
        <w:rPr>
          <w:b w:val="0"/>
          <w:i w:val="0"/>
          <w:sz w:val="19"/>
        </w:rPr>
        <w:t>Total end-user population across the estate is 14,330 as at 1 July 2026.</w:t>
      </w:r>
    </w:p>
    <w:sectPr w:rsidR="00FC693F" w:rsidRPr="0006063C" w:rsidSect="00034616">
      <w:pgSz w:w="12240" w:h="15840"/>
      <w:pgMar w:top="1191" w:right="1191" w:bottom="119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