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3556"/>
          <w:sz w:val="38"/>
        </w:rPr>
        <w:t>AURELIAN GLOBAL HOLDINGS PLC</w:t>
      </w:r>
    </w:p>
    <w:p>
      <w:pPr>
        <w:spacing w:after="320"/>
      </w:pPr>
      <w:r>
        <w:rPr>
          <w:b w:val="0"/>
          <w:i w:val="0"/>
          <w:color w:val="6B7785"/>
          <w:sz w:val="21"/>
        </w:rPr>
        <w:t>Group Procurement — Technology Services</w:t>
      </w:r>
    </w:p>
    <w:p>
      <w:pPr>
        <w:spacing w:after="80"/>
      </w:pPr>
      <w:r>
        <w:rPr>
          <w:b/>
          <w:i w:val="0"/>
          <w:sz w:val="34"/>
        </w:rPr>
        <w:t>REQUEST FOR PROPOSAL</w:t>
      </w:r>
    </w:p>
    <w:p>
      <w:pPr>
        <w:spacing w:after="280"/>
      </w:pPr>
      <w:r>
        <w:rPr>
          <w:b w:val="0"/>
          <w:i w:val="0"/>
          <w:sz w:val="26"/>
        </w:rPr>
        <w:t>Single Point of Contact — User Support Services</w:t>
      </w:r>
    </w:p>
    <w:tbl>
      <w:tblPr>
        <w:tblStyle w:val="TableGrid"/>
        <w:tblW w:type="auto" w:w="0"/>
        <w:jc w:val="left"/>
        <w:tblLook w:firstColumn="1" w:firstRow="1" w:lastColumn="0" w:lastRow="0" w:noHBand="0" w:noVBand="1" w:val="04A0"/>
      </w:tblPr>
      <w:tblGrid>
        <w:gridCol w:w="4929"/>
        <w:gridCol w:w="4929"/>
      </w:tblGrid>
      <w:tr>
        <w:tc>
          <w:tcPr>
            <w:tcW w:type="dxa" w:w="3061"/>
            <w:shd w:val="clear" w:fill="1F3556"/>
          </w:tcPr>
          <w:p>
            <w:pPr>
              <w:spacing w:after="40"/>
              <w:jc w:val="center"/>
            </w:pPr>
            <w:r>
              <w:rPr>
                <w:b/>
                <w:color w:val="FFFFFF"/>
                <w:sz w:val="19"/>
              </w:rPr>
              <w:t>Field</w:t>
            </w:r>
          </w:p>
        </w:tc>
        <w:tc>
          <w:tcPr>
            <w:tcW w:type="dxa" w:w="6009"/>
            <w:shd w:val="clear" w:fill="1F3556"/>
          </w:tcPr>
          <w:p>
            <w:pPr>
              <w:spacing w:after="40"/>
              <w:jc w:val="center"/>
            </w:pPr>
            <w:r>
              <w:rPr>
                <w:b/>
                <w:color w:val="FFFFFF"/>
                <w:sz w:val="19"/>
              </w:rPr>
              <w:t>Detail</w:t>
            </w:r>
          </w:p>
        </w:tc>
      </w:tr>
      <w:tr>
        <w:tc>
          <w:tcPr>
            <w:tcW w:type="dxa" w:w="3061"/>
          </w:tcPr>
          <w:p>
            <w:pPr>
              <w:spacing w:after="40"/>
            </w:pPr>
            <w:r>
              <w:rPr>
                <w:b/>
                <w:sz w:val="19"/>
              </w:rPr>
              <w:t>RFP reference</w:t>
            </w:r>
          </w:p>
        </w:tc>
        <w:tc>
          <w:tcPr>
            <w:tcW w:type="dxa" w:w="6009"/>
          </w:tcPr>
          <w:p>
            <w:pPr>
              <w:spacing w:after="40"/>
              <w:jc w:val="center"/>
            </w:pPr>
            <w:r>
              <w:rPr>
                <w:b w:val="0"/>
                <w:sz w:val="19"/>
              </w:rPr>
              <w:t>AG/2026/SD/311</w:t>
            </w:r>
          </w:p>
        </w:tc>
      </w:tr>
      <w:tr>
        <w:tc>
          <w:tcPr>
            <w:tcW w:type="dxa" w:w="3061"/>
          </w:tcPr>
          <w:p>
            <w:pPr>
              <w:spacing w:after="40"/>
            </w:pPr>
            <w:r>
              <w:rPr>
                <w:b/>
                <w:sz w:val="19"/>
              </w:rPr>
              <w:t>Issue date</w:t>
            </w:r>
          </w:p>
        </w:tc>
        <w:tc>
          <w:tcPr>
            <w:tcW w:type="dxa" w:w="6009"/>
          </w:tcPr>
          <w:p>
            <w:pPr>
              <w:spacing w:after="40"/>
              <w:jc w:val="center"/>
            </w:pPr>
            <w:r>
              <w:rPr>
                <w:b w:val="0"/>
                <w:sz w:val="19"/>
              </w:rPr>
              <w:t>8 August 2026</w:t>
            </w:r>
          </w:p>
        </w:tc>
      </w:tr>
      <w:tr>
        <w:tc>
          <w:tcPr>
            <w:tcW w:type="dxa" w:w="3061"/>
          </w:tcPr>
          <w:p>
            <w:pPr>
              <w:spacing w:after="40"/>
            </w:pPr>
            <w:r>
              <w:rPr>
                <w:b/>
                <w:sz w:val="19"/>
              </w:rPr>
              <w:t>Clarification deadline</w:t>
            </w:r>
          </w:p>
        </w:tc>
        <w:tc>
          <w:tcPr>
            <w:tcW w:type="dxa" w:w="6009"/>
          </w:tcPr>
          <w:p>
            <w:pPr>
              <w:spacing w:after="40"/>
              <w:jc w:val="center"/>
            </w:pPr>
            <w:r>
              <w:rPr>
                <w:b w:val="0"/>
                <w:sz w:val="19"/>
              </w:rPr>
              <w:t>29 August 2026</w:t>
            </w:r>
          </w:p>
        </w:tc>
      </w:tr>
      <w:tr>
        <w:tc>
          <w:tcPr>
            <w:tcW w:type="dxa" w:w="3061"/>
          </w:tcPr>
          <w:p>
            <w:pPr>
              <w:spacing w:after="40"/>
            </w:pPr>
            <w:r>
              <w:rPr>
                <w:b/>
                <w:sz w:val="19"/>
              </w:rPr>
              <w:t>Response deadline</w:t>
            </w:r>
          </w:p>
        </w:tc>
        <w:tc>
          <w:tcPr>
            <w:tcW w:type="dxa" w:w="6009"/>
          </w:tcPr>
          <w:p>
            <w:pPr>
              <w:spacing w:after="40"/>
              <w:jc w:val="center"/>
            </w:pPr>
            <w:r>
              <w:rPr>
                <w:b w:val="0"/>
                <w:sz w:val="19"/>
              </w:rPr>
              <w:t>22 September 2026, 17:00 CET</w:t>
            </w:r>
          </w:p>
        </w:tc>
      </w:tr>
      <w:tr>
        <w:tc>
          <w:tcPr>
            <w:tcW w:type="dxa" w:w="3061"/>
          </w:tcPr>
          <w:p>
            <w:pPr>
              <w:spacing w:after="40"/>
            </w:pPr>
            <w:r>
              <w:rPr>
                <w:b/>
                <w:sz w:val="19"/>
              </w:rPr>
              <w:t>Contract commencement</w:t>
            </w:r>
          </w:p>
        </w:tc>
        <w:tc>
          <w:tcPr>
            <w:tcW w:type="dxa" w:w="6009"/>
          </w:tcPr>
          <w:p>
            <w:pPr>
              <w:spacing w:after="40"/>
              <w:jc w:val="center"/>
            </w:pPr>
            <w:r>
              <w:rPr>
                <w:b w:val="0"/>
                <w:sz w:val="19"/>
              </w:rPr>
              <w:t>1 March 2027</w:t>
            </w:r>
          </w:p>
        </w:tc>
      </w:tr>
      <w:tr>
        <w:tc>
          <w:tcPr>
            <w:tcW w:type="dxa" w:w="3061"/>
          </w:tcPr>
          <w:p>
            <w:pPr>
              <w:spacing w:after="40"/>
            </w:pPr>
            <w:r>
              <w:rPr>
                <w:b/>
                <w:sz w:val="19"/>
              </w:rPr>
              <w:t>Issuing entity</w:t>
            </w:r>
          </w:p>
        </w:tc>
        <w:tc>
          <w:tcPr>
            <w:tcW w:type="dxa" w:w="6009"/>
          </w:tcPr>
          <w:p>
            <w:pPr>
              <w:spacing w:after="40"/>
              <w:jc w:val="center"/>
            </w:pPr>
            <w:r>
              <w:rPr>
                <w:b w:val="0"/>
                <w:sz w:val="19"/>
              </w:rPr>
              <w:t>Aurelian Global Holdings plc</w:t>
            </w:r>
          </w:p>
        </w:tc>
      </w:tr>
    </w:tbl>
    <w:p>
      <w:r>
        <w:br w:type="page"/>
      </w:r>
    </w:p>
    <w:p>
      <w:pPr>
        <w:spacing w:before="280" w:after="140"/>
      </w:pPr>
      <w:r>
        <w:rPr>
          <w:b/>
          <w:color w:val="1F3556"/>
          <w:sz w:val="30"/>
        </w:rPr>
        <w:t>1.  Introduction</w:t>
      </w:r>
    </w:p>
    <w:p>
      <w:pPr>
        <w:spacing w:after="120"/>
      </w:pPr>
      <w:r>
        <w:rPr>
          <w:b w:val="0"/>
          <w:i w:val="0"/>
          <w:sz w:val="21"/>
        </w:rPr>
        <w:t>Aurelian Global Holdings plc currently operates four separate user support functions, inherited through acquisition and organised by country rather than by service. Users in different markets receive materially different levels of service, and the Group has no consolidated view of demand.</w:t>
      </w:r>
    </w:p>
    <w:p>
      <w:pPr>
        <w:spacing w:after="120"/>
      </w:pPr>
      <w:r>
        <w:rPr>
          <w:b w:val="0"/>
          <w:i w:val="0"/>
          <w:sz w:val="21"/>
        </w:rPr>
        <w:t>This tender seeks a single point of contact for all user support across the Group, replacing the existing arrangements.</w:t>
      </w:r>
    </w:p>
    <w:p>
      <w:pPr>
        <w:spacing w:before="280" w:after="140"/>
      </w:pPr>
      <w:r>
        <w:rPr>
          <w:b/>
          <w:color w:val="1F3556"/>
          <w:sz w:val="30"/>
        </w:rPr>
        <w:t>2.  Scope of services</w:t>
      </w:r>
    </w:p>
    <w:p>
      <w:pPr>
        <w:pStyle w:val="ListBullet"/>
        <w:spacing w:after="80"/>
      </w:pPr>
      <w:r>
        <w:rPr>
          <w:sz w:val="21"/>
        </w:rPr>
        <w:t>First-line receipt, triage and resolution of user contacts across all supported channels.</w:t>
      </w:r>
    </w:p>
    <w:p>
      <w:pPr>
        <w:pStyle w:val="ListBullet"/>
        <w:spacing w:after="80"/>
      </w:pPr>
      <w:r>
        <w:rPr>
          <w:sz w:val="21"/>
        </w:rPr>
        <w:t>Incident and request management within the Group's ITSM platform.</w:t>
      </w:r>
    </w:p>
    <w:p>
      <w:pPr>
        <w:pStyle w:val="ListBullet"/>
        <w:spacing w:after="80"/>
      </w:pPr>
      <w:r>
        <w:rPr>
          <w:sz w:val="21"/>
        </w:rPr>
        <w:t>Escalation to specialist resolver groups where first-line resolution is not achieved.</w:t>
      </w:r>
    </w:p>
    <w:p>
      <w:pPr>
        <w:pStyle w:val="ListBullet"/>
        <w:spacing w:after="80"/>
      </w:pPr>
      <w:r>
        <w:rPr>
          <w:sz w:val="21"/>
        </w:rPr>
        <w:t>Maintenance of a knowledge base and user-facing support content.</w:t>
      </w:r>
    </w:p>
    <w:p>
      <w:pPr>
        <w:pStyle w:val="ListBullet"/>
        <w:spacing w:after="80"/>
      </w:pPr>
      <w:r>
        <w:rPr>
          <w:sz w:val="21"/>
        </w:rPr>
        <w:t>Monthly reporting on volume, resolution and satisfaction.</w:t>
      </w:r>
    </w:p>
    <w:p>
      <w:pPr>
        <w:spacing w:after="120"/>
      </w:pPr>
      <w:r>
        <w:rPr>
          <w:b w:val="0"/>
          <w:i w:val="0"/>
          <w:sz w:val="21"/>
        </w:rPr>
        <w:t>Aurelian retains its own specialist application-support teams. The boundary between the supplier's responsibility and those teams has not been fixed and forms part of the response.</w:t>
      </w:r>
    </w:p>
    <w:p>
      <w:pPr>
        <w:spacing w:before="280" w:after="140"/>
      </w:pPr>
      <w:r>
        <w:rPr>
          <w:b/>
          <w:color w:val="1F3556"/>
          <w:sz w:val="30"/>
        </w:rPr>
        <w:t>3.  Population and demand</w:t>
      </w:r>
    </w:p>
    <w:p>
      <w:pPr>
        <w:spacing w:after="120"/>
      </w:pPr>
      <w:r>
        <w:rPr>
          <w:b w:val="0"/>
          <w:i w:val="0"/>
          <w:sz w:val="21"/>
        </w:rPr>
        <w:t>The supported population is set out in Annex A, which is the authoritative statement for pricing purposes.</w:t>
      </w:r>
    </w:p>
    <w:p>
      <w:pPr>
        <w:spacing w:after="120"/>
      </w:pPr>
      <w:r>
        <w:rPr>
          <w:b w:val="0"/>
          <w:i w:val="0"/>
          <w:sz w:val="21"/>
        </w:rPr>
        <w:t>The Group supports circa 14,000 staff and an estate of roughly seventeen thousand end-user devices. Historic contact volume is not reliably recorded across all four existing functions; suppliers should state the volume assumption underpinning their price.</w:t>
      </w:r>
    </w:p>
    <w:p>
      <w:pPr>
        <w:spacing w:after="120"/>
      </w:pPr>
      <w:r>
        <w:rPr>
          <w:b w:val="0"/>
          <w:i w:val="0"/>
          <w:sz w:val="21"/>
        </w:rPr>
        <w:t>Contacts arrive predominantly by telephone and email, with a growing proportion through the self-service portal. Two campus locations operate a walk-up technology bar.</w:t>
      </w:r>
    </w:p>
    <w:p>
      <w:pPr>
        <w:spacing w:before="280" w:after="140"/>
      </w:pPr>
      <w:r>
        <w:rPr>
          <w:b/>
          <w:color w:val="1F3556"/>
          <w:sz w:val="30"/>
        </w:rPr>
        <w:t>4.  Service requirements</w:t>
      </w:r>
    </w:p>
    <w:tbl>
      <w:tblPr>
        <w:tblStyle w:val="TableGrid"/>
        <w:tblW w:type="auto" w:w="0"/>
        <w:jc w:val="left"/>
        <w:tblLook w:firstColumn="1" w:firstRow="1" w:lastColumn="0" w:lastRow="0" w:noHBand="0" w:noVBand="1" w:val="04A0"/>
      </w:tblPr>
      <w:tblGrid>
        <w:gridCol w:w="3286"/>
        <w:gridCol w:w="3286"/>
        <w:gridCol w:w="3286"/>
      </w:tblGrid>
      <w:tr>
        <w:tc>
          <w:tcPr>
            <w:tcW w:type="dxa" w:w="1077"/>
            <w:shd w:val="clear" w:fill="1F3556"/>
          </w:tcPr>
          <w:p>
            <w:pPr>
              <w:spacing w:after="40"/>
              <w:jc w:val="center"/>
            </w:pPr>
            <w:r>
              <w:rPr>
                <w:b/>
                <w:color w:val="FFFFFF"/>
                <w:sz w:val="19"/>
              </w:rPr>
              <w:t>Ref</w:t>
            </w:r>
          </w:p>
        </w:tc>
        <w:tc>
          <w:tcPr>
            <w:tcW w:type="dxa" w:w="5159"/>
            <w:shd w:val="clear" w:fill="1F3556"/>
          </w:tcPr>
          <w:p>
            <w:pPr>
              <w:spacing w:after="40"/>
              <w:jc w:val="center"/>
            </w:pPr>
            <w:r>
              <w:rPr>
                <w:b/>
                <w:color w:val="FFFFFF"/>
                <w:sz w:val="19"/>
              </w:rPr>
              <w:t>Requirement</w:t>
            </w:r>
          </w:p>
        </w:tc>
        <w:tc>
          <w:tcPr>
            <w:tcW w:type="dxa" w:w="2835"/>
            <w:shd w:val="clear" w:fill="1F3556"/>
          </w:tcPr>
          <w:p>
            <w:pPr>
              <w:spacing w:after="40"/>
              <w:jc w:val="center"/>
            </w:pPr>
            <w:r>
              <w:rPr>
                <w:b/>
                <w:color w:val="FFFFFF"/>
                <w:sz w:val="19"/>
              </w:rPr>
              <w:t>Target</w:t>
            </w:r>
          </w:p>
        </w:tc>
      </w:tr>
      <w:tr>
        <w:tc>
          <w:tcPr>
            <w:tcW w:type="dxa" w:w="1077"/>
          </w:tcPr>
          <w:p>
            <w:pPr>
              <w:spacing w:after="40"/>
            </w:pPr>
            <w:r>
              <w:rPr>
                <w:b/>
                <w:sz w:val="19"/>
              </w:rPr>
              <w:t>SD-01</w:t>
            </w:r>
          </w:p>
        </w:tc>
        <w:tc>
          <w:tcPr>
            <w:tcW w:type="dxa" w:w="5159"/>
          </w:tcPr>
          <w:p>
            <w:pPr>
              <w:spacing w:after="40"/>
              <w:jc w:val="center"/>
            </w:pPr>
            <w:r>
              <w:rPr>
                <w:b w:val="0"/>
                <w:sz w:val="19"/>
              </w:rPr>
              <w:t>Telephone answered</w:t>
            </w:r>
          </w:p>
        </w:tc>
        <w:tc>
          <w:tcPr>
            <w:tcW w:type="dxa" w:w="2835"/>
          </w:tcPr>
          <w:p>
            <w:pPr>
              <w:spacing w:after="40"/>
              <w:jc w:val="center"/>
            </w:pPr>
            <w:r>
              <w:rPr>
                <w:b w:val="0"/>
                <w:sz w:val="19"/>
              </w:rPr>
              <w:t>80% within 30 seconds</w:t>
            </w:r>
          </w:p>
        </w:tc>
      </w:tr>
      <w:tr>
        <w:tc>
          <w:tcPr>
            <w:tcW w:type="dxa" w:w="1077"/>
          </w:tcPr>
          <w:p>
            <w:pPr>
              <w:spacing w:after="40"/>
            </w:pPr>
            <w:r>
              <w:rPr>
                <w:b/>
                <w:sz w:val="19"/>
              </w:rPr>
              <w:t>SD-02</w:t>
            </w:r>
          </w:p>
        </w:tc>
        <w:tc>
          <w:tcPr>
            <w:tcW w:type="dxa" w:w="5159"/>
          </w:tcPr>
          <w:p>
            <w:pPr>
              <w:spacing w:after="40"/>
              <w:jc w:val="center"/>
            </w:pPr>
            <w:r>
              <w:rPr>
                <w:b w:val="0"/>
                <w:sz w:val="19"/>
              </w:rPr>
              <w:t>Email and portal contacts acknowledged</w:t>
            </w:r>
          </w:p>
        </w:tc>
        <w:tc>
          <w:tcPr>
            <w:tcW w:type="dxa" w:w="2835"/>
          </w:tcPr>
          <w:p>
            <w:pPr>
              <w:spacing w:after="40"/>
              <w:jc w:val="center"/>
            </w:pPr>
            <w:r>
              <w:rPr>
                <w:b w:val="0"/>
                <w:sz w:val="19"/>
              </w:rPr>
              <w:t>1 business hour</w:t>
            </w:r>
          </w:p>
        </w:tc>
      </w:tr>
      <w:tr>
        <w:tc>
          <w:tcPr>
            <w:tcW w:type="dxa" w:w="1077"/>
          </w:tcPr>
          <w:p>
            <w:pPr>
              <w:spacing w:after="40"/>
            </w:pPr>
            <w:r>
              <w:rPr>
                <w:b/>
                <w:sz w:val="19"/>
              </w:rPr>
              <w:t>SD-03</w:t>
            </w:r>
          </w:p>
        </w:tc>
        <w:tc>
          <w:tcPr>
            <w:tcW w:type="dxa" w:w="5159"/>
          </w:tcPr>
          <w:p>
            <w:pPr>
              <w:spacing w:after="40"/>
              <w:jc w:val="center"/>
            </w:pPr>
            <w:r>
              <w:rPr>
                <w:b w:val="0"/>
                <w:sz w:val="19"/>
              </w:rPr>
              <w:t>Priority 1 incident response</w:t>
            </w:r>
          </w:p>
        </w:tc>
        <w:tc>
          <w:tcPr>
            <w:tcW w:type="dxa" w:w="2835"/>
          </w:tcPr>
          <w:p>
            <w:pPr>
              <w:spacing w:after="40"/>
              <w:jc w:val="center"/>
            </w:pPr>
            <w:r>
              <w:rPr>
                <w:b w:val="0"/>
                <w:sz w:val="19"/>
              </w:rPr>
              <w:t>15 minutes</w:t>
            </w:r>
          </w:p>
        </w:tc>
      </w:tr>
      <w:tr>
        <w:tc>
          <w:tcPr>
            <w:tcW w:type="dxa" w:w="1077"/>
          </w:tcPr>
          <w:p>
            <w:pPr>
              <w:spacing w:after="40"/>
            </w:pPr>
            <w:r>
              <w:rPr>
                <w:b/>
                <w:sz w:val="19"/>
              </w:rPr>
              <w:t>SD-04</w:t>
            </w:r>
          </w:p>
        </w:tc>
        <w:tc>
          <w:tcPr>
            <w:tcW w:type="dxa" w:w="5159"/>
          </w:tcPr>
          <w:p>
            <w:pPr>
              <w:spacing w:after="40"/>
              <w:jc w:val="center"/>
            </w:pPr>
            <w:r>
              <w:rPr>
                <w:b w:val="0"/>
                <w:sz w:val="19"/>
              </w:rPr>
              <w:t>Service availability</w:t>
            </w:r>
          </w:p>
        </w:tc>
        <w:tc>
          <w:tcPr>
            <w:tcW w:type="dxa" w:w="2835"/>
          </w:tcPr>
          <w:p>
            <w:pPr>
              <w:spacing w:after="40"/>
              <w:jc w:val="center"/>
            </w:pPr>
            <w:r>
              <w:rPr>
                <w:b w:val="0"/>
                <w:sz w:val="19"/>
              </w:rPr>
              <w:t>Aligned to business hours in each market — see note</w:t>
            </w:r>
          </w:p>
        </w:tc>
      </w:tr>
      <w:tr>
        <w:tc>
          <w:tcPr>
            <w:tcW w:type="dxa" w:w="1077"/>
          </w:tcPr>
          <w:p>
            <w:pPr>
              <w:spacing w:after="40"/>
            </w:pPr>
            <w:r>
              <w:rPr>
                <w:b/>
                <w:sz w:val="19"/>
              </w:rPr>
              <w:t>SD-05</w:t>
            </w:r>
          </w:p>
        </w:tc>
        <w:tc>
          <w:tcPr>
            <w:tcW w:type="dxa" w:w="5159"/>
          </w:tcPr>
          <w:p>
            <w:pPr>
              <w:spacing w:after="40"/>
              <w:jc w:val="center"/>
            </w:pPr>
            <w:r>
              <w:rPr>
                <w:b w:val="0"/>
                <w:sz w:val="19"/>
              </w:rPr>
              <w:t>User satisfaction</w:t>
            </w:r>
          </w:p>
        </w:tc>
        <w:tc>
          <w:tcPr>
            <w:tcW w:type="dxa" w:w="2835"/>
          </w:tcPr>
          <w:p>
            <w:pPr>
              <w:spacing w:after="40"/>
              <w:jc w:val="center"/>
            </w:pPr>
            <w:r>
              <w:rPr>
                <w:b w:val="0"/>
                <w:sz w:val="19"/>
              </w:rPr>
              <w:t>4.2 of 5 rolling quarterly</w:t>
            </w:r>
          </w:p>
        </w:tc>
      </w:tr>
      <w:tr>
        <w:tc>
          <w:tcPr>
            <w:tcW w:type="dxa" w:w="1077"/>
          </w:tcPr>
          <w:p>
            <w:pPr>
              <w:spacing w:after="40"/>
            </w:pPr>
            <w:r>
              <w:rPr>
                <w:b/>
                <w:sz w:val="19"/>
              </w:rPr>
              <w:t>SD-06</w:t>
            </w:r>
          </w:p>
        </w:tc>
        <w:tc>
          <w:tcPr>
            <w:tcW w:type="dxa" w:w="5159"/>
          </w:tcPr>
          <w:p>
            <w:pPr>
              <w:spacing w:after="40"/>
              <w:jc w:val="center"/>
            </w:pPr>
            <w:r>
              <w:rPr>
                <w:b w:val="0"/>
                <w:sz w:val="19"/>
              </w:rPr>
              <w:t>Monthly service reporting</w:t>
            </w:r>
          </w:p>
        </w:tc>
        <w:tc>
          <w:tcPr>
            <w:tcW w:type="dxa" w:w="2835"/>
          </w:tcPr>
          <w:p>
            <w:pPr>
              <w:spacing w:after="40"/>
              <w:jc w:val="center"/>
            </w:pPr>
            <w:r>
              <w:rPr>
                <w:b w:val="0"/>
                <w:sz w:val="19"/>
              </w:rPr>
              <w:t>Within 5 business days of month end</w:t>
            </w:r>
          </w:p>
        </w:tc>
      </w:tr>
    </w:tbl>
    <w:p>
      <w:pPr>
        <w:spacing w:after="120"/>
      </w:pPr>
      <w:r>
        <w:rPr>
          <w:b w:val="0"/>
          <w:i/>
          <w:sz w:val="21"/>
        </w:rPr>
        <w:t>Note on SD-04: Aurelian's distribution centres and two manufacturing sites operate outside standard office hours. The Group has not determined whether support should extend to those hours for all users or only for those populations, and invites suppliers to propose an approach with the cost of each shown.</w:t>
      </w:r>
    </w:p>
    <w:p>
      <w:pPr>
        <w:spacing w:before="280" w:after="140"/>
      </w:pPr>
      <w:r>
        <w:rPr>
          <w:b/>
          <w:color w:val="1F3556"/>
          <w:sz w:val="30"/>
        </w:rPr>
        <w:t>5.  Language and locations</w:t>
      </w:r>
    </w:p>
    <w:p>
      <w:pPr>
        <w:spacing w:after="120"/>
      </w:pPr>
      <w:r>
        <w:rPr>
          <w:b w:val="0"/>
          <w:i w:val="0"/>
          <w:sz w:val="21"/>
        </w:rPr>
        <w:t>Aurelian operates in the United Kingdom, Germany, France, the Netherlands and Poland. English is the Group's business language and is used for all internal reporting.</w:t>
      </w:r>
    </w:p>
    <w:p>
      <w:pPr>
        <w:spacing w:after="120"/>
      </w:pPr>
      <w:r>
        <w:rPr>
          <w:b w:val="0"/>
          <w:i w:val="0"/>
          <w:sz w:val="21"/>
        </w:rPr>
        <w:t>Employee feedback in the 2025 engagement survey identified support in local language as a significant dissatisfier in the German and French businesses. Aurelian has taken no decision on which languages must be answered natively and invites suppliers to set out the options and their cost.</w:t>
      </w:r>
    </w:p>
    <w:p>
      <w:pPr>
        <w:spacing w:after="120"/>
      </w:pPr>
      <w:r>
        <w:rPr>
          <w:b w:val="0"/>
          <w:i w:val="0"/>
          <w:sz w:val="21"/>
        </w:rPr>
        <w:t>The supplier may deliver from any location provided data-protection obligations are met. Aurelian has no requirement for support to be delivered in-country.</w:t>
      </w:r>
    </w:p>
    <w:p>
      <w:pPr>
        <w:spacing w:before="280" w:after="140"/>
      </w:pPr>
      <w:r>
        <w:rPr>
          <w:b/>
          <w:color w:val="1F3556"/>
          <w:sz w:val="30"/>
        </w:rPr>
        <w:t>6.  Commercial requirements</w:t>
      </w:r>
    </w:p>
    <w:p>
      <w:pPr>
        <w:spacing w:after="120"/>
      </w:pPr>
      <w:r>
        <w:rPr>
          <w:b w:val="0"/>
          <w:i w:val="0"/>
          <w:sz w:val="21"/>
        </w:rPr>
        <w:t>The contract will be awarded for an initial term of 3 years.</w:t>
      </w:r>
    </w:p>
    <w:p>
      <w:pPr>
        <w:spacing w:after="120"/>
      </w:pPr>
      <w:r>
        <w:rPr>
          <w:b w:val="0"/>
          <w:i w:val="0"/>
          <w:sz w:val="21"/>
        </w:rPr>
        <w:t>Pricing shall be expressed per supported user per month, with transition costs shown separately.</w:t>
      </w:r>
    </w:p>
    <w:p>
      <w:pPr>
        <w:spacing w:after="120"/>
      </w:pPr>
      <w:r>
        <w:rPr>
          <w:b w:val="0"/>
          <w:i w:val="0"/>
          <w:sz w:val="21"/>
        </w:rPr>
        <w:t>Aurelian is interested in the role automation and self-service could play in reducing contact volume, but has made no investment decision. Suppliers should state what their price assumes.</w:t>
      </w:r>
    </w:p>
    <w:p>
      <w:r>
        <w:br w:type="page"/>
      </w:r>
    </w:p>
    <w:p>
      <w:pPr>
        <w:spacing w:before="280" w:after="140"/>
      </w:pPr>
      <w:r>
        <w:rPr>
          <w:b/>
          <w:color w:val="1F3556"/>
          <w:sz w:val="30"/>
        </w:rPr>
        <w:t>Annex A  —  Supported population</w:t>
      </w:r>
    </w:p>
    <w:p>
      <w:pPr>
        <w:spacing w:after="120"/>
      </w:pPr>
      <w:r>
        <w:rPr>
          <w:b w:val="0"/>
          <w:i w:val="0"/>
          <w:sz w:val="21"/>
        </w:rPr>
        <w:t>The following is the authoritative statement of the population in scope.</w:t>
      </w:r>
    </w:p>
    <w:tbl>
      <w:tblPr>
        <w:tblStyle w:val="TableGrid"/>
        <w:tblW w:type="auto" w:w="0"/>
        <w:jc w:val="left"/>
        <w:tblLook w:firstColumn="1" w:firstRow="1" w:lastColumn="0" w:lastRow="0" w:noHBand="0" w:noVBand="1" w:val="04A0"/>
      </w:tblPr>
      <w:tblGrid>
        <w:gridCol w:w="2464"/>
        <w:gridCol w:w="2464"/>
        <w:gridCol w:w="2464"/>
        <w:gridCol w:w="2464"/>
      </w:tblGrid>
      <w:tr>
        <w:tc>
          <w:tcPr>
            <w:tcW w:type="dxa" w:w="2608"/>
            <w:shd w:val="clear" w:fill="1F3556"/>
          </w:tcPr>
          <w:p>
            <w:pPr>
              <w:spacing w:after="40"/>
              <w:jc w:val="center"/>
            </w:pPr>
            <w:r>
              <w:rPr>
                <w:b/>
                <w:color w:val="FFFFFF"/>
                <w:sz w:val="19"/>
              </w:rPr>
              <w:t>Country</w:t>
            </w:r>
          </w:p>
        </w:tc>
        <w:tc>
          <w:tcPr>
            <w:tcW w:type="dxa" w:w="1928"/>
            <w:shd w:val="clear" w:fill="1F3556"/>
          </w:tcPr>
          <w:p>
            <w:pPr>
              <w:spacing w:after="40"/>
              <w:jc w:val="center"/>
            </w:pPr>
            <w:r>
              <w:rPr>
                <w:b/>
                <w:color w:val="FFFFFF"/>
                <w:sz w:val="19"/>
              </w:rPr>
              <w:t>Users</w:t>
            </w:r>
          </w:p>
        </w:tc>
        <w:tc>
          <w:tcPr>
            <w:tcW w:type="dxa" w:w="1928"/>
            <w:shd w:val="clear" w:fill="1F3556"/>
          </w:tcPr>
          <w:p>
            <w:pPr>
              <w:spacing w:after="40"/>
              <w:jc w:val="center"/>
            </w:pPr>
            <w:r>
              <w:rPr>
                <w:b/>
                <w:color w:val="FFFFFF"/>
                <w:sz w:val="19"/>
              </w:rPr>
              <w:t>Devices</w:t>
            </w:r>
          </w:p>
        </w:tc>
        <w:tc>
          <w:tcPr>
            <w:tcW w:type="dxa" w:w="1928"/>
            <w:shd w:val="clear" w:fill="1F3556"/>
          </w:tcPr>
          <w:p>
            <w:pPr>
              <w:spacing w:after="40"/>
              <w:jc w:val="center"/>
            </w:pPr>
            <w:r>
              <w:rPr>
                <w:b/>
                <w:color w:val="FFFFFF"/>
                <w:sz w:val="19"/>
              </w:rPr>
              <w:t>Locations</w:t>
            </w:r>
          </w:p>
        </w:tc>
      </w:tr>
      <w:tr>
        <w:tc>
          <w:tcPr>
            <w:tcW w:type="dxa" w:w="2608"/>
          </w:tcPr>
          <w:p>
            <w:pPr>
              <w:spacing w:after="40"/>
            </w:pPr>
            <w:r>
              <w:rPr>
                <w:b/>
                <w:sz w:val="19"/>
              </w:rPr>
              <w:t>United Kingdom</w:t>
            </w:r>
          </w:p>
        </w:tc>
        <w:tc>
          <w:tcPr>
            <w:tcW w:type="dxa" w:w="1928"/>
          </w:tcPr>
          <w:p>
            <w:pPr>
              <w:spacing w:after="40"/>
              <w:jc w:val="center"/>
            </w:pPr>
            <w:r>
              <w:rPr>
                <w:b w:val="0"/>
                <w:sz w:val="19"/>
              </w:rPr>
              <w:t>6448</w:t>
            </w:r>
          </w:p>
        </w:tc>
        <w:tc>
          <w:tcPr>
            <w:tcW w:type="dxa" w:w="1928"/>
          </w:tcPr>
          <w:p>
            <w:pPr>
              <w:spacing w:after="40"/>
              <w:jc w:val="center"/>
            </w:pPr>
            <w:r>
              <w:rPr>
                <w:b w:val="0"/>
                <w:sz w:val="19"/>
              </w:rPr>
              <w:t>7628</w:t>
            </w:r>
          </w:p>
        </w:tc>
        <w:tc>
          <w:tcPr>
            <w:tcW w:type="dxa" w:w="1928"/>
          </w:tcPr>
          <w:p>
            <w:pPr>
              <w:spacing w:after="40"/>
              <w:jc w:val="center"/>
            </w:pPr>
            <w:r>
              <w:rPr>
                <w:b w:val="0"/>
                <w:sz w:val="19"/>
              </w:rPr>
              <w:t>45</w:t>
            </w:r>
          </w:p>
        </w:tc>
      </w:tr>
      <w:tr>
        <w:tc>
          <w:tcPr>
            <w:tcW w:type="dxa" w:w="2608"/>
          </w:tcPr>
          <w:p>
            <w:pPr>
              <w:spacing w:after="40"/>
            </w:pPr>
            <w:r>
              <w:rPr>
                <w:b/>
                <w:sz w:val="19"/>
              </w:rPr>
              <w:t>Germany</w:t>
            </w:r>
          </w:p>
        </w:tc>
        <w:tc>
          <w:tcPr>
            <w:tcW w:type="dxa" w:w="1928"/>
          </w:tcPr>
          <w:p>
            <w:pPr>
              <w:spacing w:after="40"/>
              <w:jc w:val="center"/>
            </w:pPr>
            <w:r>
              <w:rPr>
                <w:b w:val="0"/>
                <w:sz w:val="19"/>
              </w:rPr>
              <w:t>3583</w:t>
            </w:r>
          </w:p>
        </w:tc>
        <w:tc>
          <w:tcPr>
            <w:tcW w:type="dxa" w:w="1928"/>
          </w:tcPr>
          <w:p>
            <w:pPr>
              <w:spacing w:after="40"/>
              <w:jc w:val="center"/>
            </w:pPr>
            <w:r>
              <w:rPr>
                <w:b w:val="0"/>
                <w:sz w:val="19"/>
              </w:rPr>
              <w:t>4237</w:t>
            </w:r>
          </w:p>
        </w:tc>
        <w:tc>
          <w:tcPr>
            <w:tcW w:type="dxa" w:w="1928"/>
          </w:tcPr>
          <w:p>
            <w:pPr>
              <w:spacing w:after="40"/>
              <w:jc w:val="center"/>
            </w:pPr>
            <w:r>
              <w:rPr>
                <w:b w:val="0"/>
                <w:sz w:val="19"/>
              </w:rPr>
              <w:t>25</w:t>
            </w:r>
          </w:p>
        </w:tc>
      </w:tr>
      <w:tr>
        <w:tc>
          <w:tcPr>
            <w:tcW w:type="dxa" w:w="2608"/>
          </w:tcPr>
          <w:p>
            <w:pPr>
              <w:spacing w:after="40"/>
            </w:pPr>
            <w:r>
              <w:rPr>
                <w:b/>
                <w:sz w:val="19"/>
              </w:rPr>
              <w:t>France</w:t>
            </w:r>
          </w:p>
        </w:tc>
        <w:tc>
          <w:tcPr>
            <w:tcW w:type="dxa" w:w="1928"/>
          </w:tcPr>
          <w:p>
            <w:pPr>
              <w:spacing w:after="40"/>
              <w:jc w:val="center"/>
            </w:pPr>
            <w:r>
              <w:rPr>
                <w:b w:val="0"/>
                <w:sz w:val="19"/>
              </w:rPr>
              <w:t>2150</w:t>
            </w:r>
          </w:p>
        </w:tc>
        <w:tc>
          <w:tcPr>
            <w:tcW w:type="dxa" w:w="1928"/>
          </w:tcPr>
          <w:p>
            <w:pPr>
              <w:spacing w:after="40"/>
              <w:jc w:val="center"/>
            </w:pPr>
            <w:r>
              <w:rPr>
                <w:b w:val="0"/>
                <w:sz w:val="19"/>
              </w:rPr>
              <w:t>2543</w:t>
            </w:r>
          </w:p>
        </w:tc>
        <w:tc>
          <w:tcPr>
            <w:tcW w:type="dxa" w:w="1928"/>
          </w:tcPr>
          <w:p>
            <w:pPr>
              <w:spacing w:after="40"/>
              <w:jc w:val="center"/>
            </w:pPr>
            <w:r>
              <w:rPr>
                <w:b w:val="0"/>
                <w:sz w:val="19"/>
              </w:rPr>
              <w:t>15</w:t>
            </w:r>
          </w:p>
        </w:tc>
      </w:tr>
      <w:tr>
        <w:tc>
          <w:tcPr>
            <w:tcW w:type="dxa" w:w="2608"/>
          </w:tcPr>
          <w:p>
            <w:pPr>
              <w:spacing w:after="40"/>
            </w:pPr>
            <w:r>
              <w:rPr>
                <w:b/>
                <w:sz w:val="19"/>
              </w:rPr>
              <w:t>Netherlands</w:t>
            </w:r>
          </w:p>
        </w:tc>
        <w:tc>
          <w:tcPr>
            <w:tcW w:type="dxa" w:w="1928"/>
          </w:tcPr>
          <w:p>
            <w:pPr>
              <w:spacing w:after="40"/>
              <w:jc w:val="center"/>
            </w:pPr>
            <w:r>
              <w:rPr>
                <w:b w:val="0"/>
                <w:sz w:val="19"/>
              </w:rPr>
              <w:t>1433</w:t>
            </w:r>
          </w:p>
        </w:tc>
        <w:tc>
          <w:tcPr>
            <w:tcW w:type="dxa" w:w="1928"/>
          </w:tcPr>
          <w:p>
            <w:pPr>
              <w:spacing w:after="40"/>
              <w:jc w:val="center"/>
            </w:pPr>
            <w:r>
              <w:rPr>
                <w:b w:val="0"/>
                <w:sz w:val="19"/>
              </w:rPr>
              <w:t>1695</w:t>
            </w:r>
          </w:p>
        </w:tc>
        <w:tc>
          <w:tcPr>
            <w:tcW w:type="dxa" w:w="1928"/>
          </w:tcPr>
          <w:p>
            <w:pPr>
              <w:spacing w:after="40"/>
              <w:jc w:val="center"/>
            </w:pPr>
            <w:r>
              <w:rPr>
                <w:b w:val="0"/>
                <w:sz w:val="19"/>
              </w:rPr>
              <w:t>11</w:t>
            </w:r>
          </w:p>
        </w:tc>
      </w:tr>
      <w:tr>
        <w:tc>
          <w:tcPr>
            <w:tcW w:type="dxa" w:w="2608"/>
          </w:tcPr>
          <w:p>
            <w:pPr>
              <w:spacing w:after="40"/>
            </w:pPr>
            <w:r>
              <w:rPr>
                <w:b/>
                <w:sz w:val="19"/>
              </w:rPr>
              <w:t>Poland</w:t>
            </w:r>
          </w:p>
        </w:tc>
        <w:tc>
          <w:tcPr>
            <w:tcW w:type="dxa" w:w="1928"/>
          </w:tcPr>
          <w:p>
            <w:pPr>
              <w:spacing w:after="40"/>
              <w:jc w:val="center"/>
            </w:pPr>
            <w:r>
              <w:rPr>
                <w:b w:val="0"/>
                <w:sz w:val="19"/>
              </w:rPr>
              <w:t>716</w:t>
            </w:r>
          </w:p>
        </w:tc>
        <w:tc>
          <w:tcPr>
            <w:tcW w:type="dxa" w:w="1928"/>
          </w:tcPr>
          <w:p>
            <w:pPr>
              <w:spacing w:after="40"/>
              <w:jc w:val="center"/>
            </w:pPr>
            <w:r>
              <w:rPr>
                <w:b w:val="0"/>
                <w:sz w:val="19"/>
              </w:rPr>
              <w:t>847</w:t>
            </w:r>
          </w:p>
        </w:tc>
        <w:tc>
          <w:tcPr>
            <w:tcW w:type="dxa" w:w="1928"/>
          </w:tcPr>
          <w:p>
            <w:pPr>
              <w:spacing w:after="40"/>
              <w:jc w:val="center"/>
            </w:pPr>
            <w:r>
              <w:rPr>
                <w:b w:val="0"/>
                <w:sz w:val="19"/>
              </w:rPr>
              <w:t>5</w:t>
            </w:r>
          </w:p>
        </w:tc>
      </w:tr>
      <w:tr>
        <w:tc>
          <w:tcPr>
            <w:tcW w:type="dxa" w:w="2608"/>
          </w:tcPr>
          <w:p>
            <w:pPr>
              <w:spacing w:after="40"/>
            </w:pPr>
            <w:r>
              <w:rPr>
                <w:b/>
                <w:sz w:val="19"/>
              </w:rPr>
              <w:t>Total</w:t>
            </w:r>
          </w:p>
        </w:tc>
        <w:tc>
          <w:tcPr>
            <w:tcW w:type="dxa" w:w="1928"/>
          </w:tcPr>
          <w:p>
            <w:pPr>
              <w:spacing w:after="40"/>
              <w:jc w:val="center"/>
            </w:pPr>
            <w:r>
              <w:rPr>
                <w:b w:val="0"/>
                <w:sz w:val="19"/>
              </w:rPr>
              <w:t>14330</w:t>
            </w:r>
          </w:p>
        </w:tc>
        <w:tc>
          <w:tcPr>
            <w:tcW w:type="dxa" w:w="1928"/>
          </w:tcPr>
          <w:p>
            <w:pPr>
              <w:spacing w:after="40"/>
              <w:jc w:val="center"/>
            </w:pPr>
            <w:r>
              <w:rPr>
                <w:b w:val="0"/>
                <w:sz w:val="19"/>
              </w:rPr>
              <w:t>16950</w:t>
            </w:r>
          </w:p>
        </w:tc>
        <w:tc>
          <w:tcPr>
            <w:tcW w:type="dxa" w:w="1928"/>
          </w:tcPr>
          <w:p>
            <w:pPr>
              <w:spacing w:after="40"/>
              <w:jc w:val="center"/>
            </w:pPr>
            <w:r>
              <w:rPr>
                <w:b w:val="0"/>
                <w:sz w:val="19"/>
              </w:rPr>
              <w:t>101</w:t>
            </w:r>
          </w:p>
        </w:tc>
      </w:tr>
    </w:tbl>
    <w:p>
      <w:pPr>
        <w:spacing w:after="120"/>
      </w:pPr>
      <w:r>
        <w:rPr>
          <w:b w:val="0"/>
          <w:i w:val="0"/>
          <w:sz w:val="21"/>
        </w:rPr>
      </w:r>
    </w:p>
    <w:p>
      <w:pPr>
        <w:spacing w:after="120"/>
      </w:pPr>
      <w:r>
        <w:rPr>
          <w:b w:val="0"/>
          <w:i w:val="0"/>
          <w:sz w:val="19"/>
        </w:rPr>
        <w:t>Figures as at 1 July 2026.</w:t>
      </w:r>
    </w:p>
    <w:p>
      <w:pPr>
        <w:spacing w:after="120"/>
      </w:pPr>
      <w:r>
        <w:rPr>
          <w:b w:val="0"/>
          <w:i/>
          <w:sz w:val="19"/>
        </w:rPr>
        <w:t>Note: the existing functions do not record contact volume on a comparable basis. No consolidated historic volume is available.</w:t>
      </w:r>
    </w:p>
    <w:sectPr w:rsidR="00FC693F" w:rsidRPr="0006063C" w:rsidSect="00034616">
      <w:pgSz w:w="12240" w:h="15840"/>
      <w:pgMar w:top="1191" w:right="1191" w:bottom="1191"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