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556"/>
          <w:sz w:val="38"/>
        </w:rPr>
        <w:t>AURELIAN GLOBAL HOLDINGS PLC</w:t>
      </w:r>
    </w:p>
    <w:p>
      <w:pPr>
        <w:spacing w:after="320"/>
      </w:pPr>
      <w:r>
        <w:rPr>
          <w:b w:val="0"/>
          <w:i w:val="0"/>
          <w:color w:val="6B7785"/>
          <w:sz w:val="21"/>
        </w:rPr>
        <w:t>Group Procurement — Technology Services</w:t>
      </w:r>
    </w:p>
    <w:p>
      <w:pPr>
        <w:spacing w:after="80"/>
      </w:pPr>
      <w:r>
        <w:rPr>
          <w:b/>
          <w:i w:val="0"/>
          <w:sz w:val="34"/>
        </w:rPr>
        <w:t>REQUEST FOR PROPOSAL</w:t>
      </w:r>
    </w:p>
    <w:p>
      <w:pPr>
        <w:spacing w:after="280"/>
      </w:pPr>
      <w:r>
        <w:rPr>
          <w:b w:val="0"/>
          <w:i w:val="0"/>
          <w:sz w:val="26"/>
        </w:rPr>
        <w:t>End-User Device Provision, Support and Lifecycle Services</w:t>
      </w:r>
    </w:p>
    <w:tbl>
      <w:tblPr>
        <w:tblStyle w:val="TableGrid"/>
        <w:tblW w:type="auto" w:w="0"/>
        <w:jc w:val="left"/>
        <w:tblLook w:firstColumn="1" w:firstRow="1" w:lastColumn="0" w:lastRow="0" w:noHBand="0" w:noVBand="1" w:val="04A0"/>
      </w:tblPr>
      <w:tblGrid>
        <w:gridCol w:w="4929"/>
        <w:gridCol w:w="4929"/>
      </w:tblGrid>
      <w:tr>
        <w:tc>
          <w:tcPr>
            <w:tcW w:type="dxa" w:w="3061"/>
            <w:shd w:val="clear" w:fill="1F3556"/>
          </w:tcPr>
          <w:p>
            <w:pPr>
              <w:spacing w:after="40"/>
              <w:jc w:val="center"/>
            </w:pPr>
            <w:r>
              <w:rPr>
                <w:b/>
                <w:color w:val="FFFFFF"/>
                <w:sz w:val="19"/>
              </w:rPr>
              <w:t>Field</w:t>
            </w:r>
          </w:p>
        </w:tc>
        <w:tc>
          <w:tcPr>
            <w:tcW w:type="dxa" w:w="6009"/>
            <w:shd w:val="clear" w:fill="1F3556"/>
          </w:tcPr>
          <w:p>
            <w:pPr>
              <w:spacing w:after="40"/>
              <w:jc w:val="center"/>
            </w:pPr>
            <w:r>
              <w:rPr>
                <w:b/>
                <w:color w:val="FFFFFF"/>
                <w:sz w:val="19"/>
              </w:rPr>
              <w:t>Detail</w:t>
            </w:r>
          </w:p>
        </w:tc>
      </w:tr>
      <w:tr>
        <w:tc>
          <w:tcPr>
            <w:tcW w:type="dxa" w:w="3061"/>
          </w:tcPr>
          <w:p>
            <w:pPr>
              <w:spacing w:after="40"/>
            </w:pPr>
            <w:r>
              <w:rPr>
                <w:b/>
                <w:sz w:val="19"/>
              </w:rPr>
              <w:t>RFP reference</w:t>
            </w:r>
          </w:p>
        </w:tc>
        <w:tc>
          <w:tcPr>
            <w:tcW w:type="dxa" w:w="6009"/>
          </w:tcPr>
          <w:p>
            <w:pPr>
              <w:spacing w:after="40"/>
              <w:jc w:val="center"/>
            </w:pPr>
            <w:r>
              <w:rPr>
                <w:b w:val="0"/>
                <w:sz w:val="19"/>
              </w:rPr>
              <w:t>AG/2026/EUC/207</w:t>
            </w:r>
          </w:p>
        </w:tc>
      </w:tr>
      <w:tr>
        <w:tc>
          <w:tcPr>
            <w:tcW w:type="dxa" w:w="3061"/>
          </w:tcPr>
          <w:p>
            <w:pPr>
              <w:spacing w:after="40"/>
            </w:pPr>
            <w:r>
              <w:rPr>
                <w:b/>
                <w:sz w:val="19"/>
              </w:rPr>
              <w:t>Issue date</w:t>
            </w:r>
          </w:p>
        </w:tc>
        <w:tc>
          <w:tcPr>
            <w:tcW w:type="dxa" w:w="6009"/>
          </w:tcPr>
          <w:p>
            <w:pPr>
              <w:spacing w:after="40"/>
              <w:jc w:val="center"/>
            </w:pPr>
            <w:r>
              <w:rPr>
                <w:b w:val="0"/>
                <w:sz w:val="19"/>
              </w:rPr>
              <w:t>6 August 2026</w:t>
            </w:r>
          </w:p>
        </w:tc>
      </w:tr>
      <w:tr>
        <w:tc>
          <w:tcPr>
            <w:tcW w:type="dxa" w:w="3061"/>
          </w:tcPr>
          <w:p>
            <w:pPr>
              <w:spacing w:after="40"/>
            </w:pPr>
            <w:r>
              <w:rPr>
                <w:b/>
                <w:sz w:val="19"/>
              </w:rPr>
              <w:t>Clarification deadline</w:t>
            </w:r>
          </w:p>
        </w:tc>
        <w:tc>
          <w:tcPr>
            <w:tcW w:type="dxa" w:w="6009"/>
          </w:tcPr>
          <w:p>
            <w:pPr>
              <w:spacing w:after="40"/>
              <w:jc w:val="center"/>
            </w:pPr>
            <w:r>
              <w:rPr>
                <w:b w:val="0"/>
                <w:sz w:val="19"/>
              </w:rPr>
              <w:t>27 August 2026</w:t>
            </w:r>
          </w:p>
        </w:tc>
      </w:tr>
      <w:tr>
        <w:tc>
          <w:tcPr>
            <w:tcW w:type="dxa" w:w="3061"/>
          </w:tcPr>
          <w:p>
            <w:pPr>
              <w:spacing w:after="40"/>
            </w:pPr>
            <w:r>
              <w:rPr>
                <w:b/>
                <w:sz w:val="19"/>
              </w:rPr>
              <w:t>Response deadline</w:t>
            </w:r>
          </w:p>
        </w:tc>
        <w:tc>
          <w:tcPr>
            <w:tcW w:type="dxa" w:w="6009"/>
          </w:tcPr>
          <w:p>
            <w:pPr>
              <w:spacing w:after="40"/>
              <w:jc w:val="center"/>
            </w:pPr>
            <w:r>
              <w:rPr>
                <w:b w:val="0"/>
                <w:sz w:val="19"/>
              </w:rPr>
              <w:t>18 September 2026, 17:00 CET</w:t>
            </w:r>
          </w:p>
        </w:tc>
      </w:tr>
      <w:tr>
        <w:tc>
          <w:tcPr>
            <w:tcW w:type="dxa" w:w="3061"/>
          </w:tcPr>
          <w:p>
            <w:pPr>
              <w:spacing w:after="40"/>
            </w:pPr>
            <w:r>
              <w:rPr>
                <w:b/>
                <w:sz w:val="19"/>
              </w:rPr>
              <w:t>Contract commencement</w:t>
            </w:r>
          </w:p>
        </w:tc>
        <w:tc>
          <w:tcPr>
            <w:tcW w:type="dxa" w:w="6009"/>
          </w:tcPr>
          <w:p>
            <w:pPr>
              <w:spacing w:after="40"/>
              <w:jc w:val="center"/>
            </w:pPr>
            <w:r>
              <w:rPr>
                <w:b w:val="0"/>
                <w:sz w:val="19"/>
              </w:rPr>
              <w:t>1 February 2027</w:t>
            </w:r>
          </w:p>
        </w:tc>
      </w:tr>
      <w:tr>
        <w:tc>
          <w:tcPr>
            <w:tcW w:type="dxa" w:w="3061"/>
          </w:tcPr>
          <w:p>
            <w:pPr>
              <w:spacing w:after="40"/>
            </w:pPr>
            <w:r>
              <w:rPr>
                <w:b/>
                <w:sz w:val="19"/>
              </w:rPr>
              <w:t>Issuing entity</w:t>
            </w:r>
          </w:p>
        </w:tc>
        <w:tc>
          <w:tcPr>
            <w:tcW w:type="dxa" w:w="6009"/>
          </w:tcPr>
          <w:p>
            <w:pPr>
              <w:spacing w:after="40"/>
              <w:jc w:val="center"/>
            </w:pPr>
            <w:r>
              <w:rPr>
                <w:b w:val="0"/>
                <w:sz w:val="19"/>
              </w:rPr>
              <w:t>Aurelian Global Holdings plc</w:t>
            </w:r>
          </w:p>
        </w:tc>
      </w:tr>
    </w:tbl>
    <w:p>
      <w:r>
        <w:br w:type="page"/>
      </w:r>
    </w:p>
    <w:p>
      <w:pPr>
        <w:spacing w:before="280" w:after="140"/>
      </w:pPr>
      <w:r>
        <w:rPr>
          <w:b/>
          <w:color w:val="1F3556"/>
          <w:sz w:val="30"/>
        </w:rPr>
        <w:t>1.  Introduction</w:t>
      </w:r>
    </w:p>
    <w:p>
      <w:pPr>
        <w:spacing w:after="120"/>
      </w:pPr>
      <w:r>
        <w:rPr>
          <w:b w:val="0"/>
          <w:i w:val="0"/>
          <w:sz w:val="21"/>
        </w:rPr>
        <w:t>Aurelian Global Holdings plc wishes to move from its current capital purchase model for end-user computing to a consumption-based service. The Group currently owns and manages roughly seventeen thousand devices across five European markets, procured piecemeal over the last six years and supported by a mixture of internal teams and regional resellers.</w:t>
      </w:r>
    </w:p>
    <w:p>
      <w:pPr>
        <w:spacing w:after="120"/>
      </w:pPr>
      <w:r>
        <w:rPr>
          <w:b w:val="0"/>
          <w:i w:val="0"/>
          <w:sz w:val="21"/>
        </w:rPr>
        <w:t>The intent is to transfer supply, imaging, deployment, support and end-of-life handling of the entire fleet to a single provider, charged on a per-device basis.</w:t>
      </w:r>
    </w:p>
    <w:p>
      <w:pPr>
        <w:spacing w:before="280" w:after="140"/>
      </w:pPr>
      <w:r>
        <w:rPr>
          <w:b/>
          <w:color w:val="1F3556"/>
          <w:sz w:val="30"/>
        </w:rPr>
        <w:t>2.  Scope of services</w:t>
      </w:r>
    </w:p>
    <w:p>
      <w:pPr>
        <w:pStyle w:val="ListBullet"/>
        <w:spacing w:after="80"/>
      </w:pPr>
      <w:r>
        <w:rPr>
          <w:sz w:val="21"/>
        </w:rPr>
        <w:t>Supply of end-user devices and associated peripherals across the device types listed in Annex A.</w:t>
      </w:r>
    </w:p>
    <w:p>
      <w:pPr>
        <w:pStyle w:val="ListBullet"/>
        <w:spacing w:after="80"/>
      </w:pPr>
      <w:r>
        <w:rPr>
          <w:sz w:val="21"/>
        </w:rPr>
        <w:t>Standard operating environment build, testing and maintenance.</w:t>
      </w:r>
    </w:p>
    <w:p>
      <w:pPr>
        <w:pStyle w:val="ListBullet"/>
        <w:spacing w:after="80"/>
      </w:pPr>
      <w:r>
        <w:rPr>
          <w:sz w:val="21"/>
        </w:rPr>
        <w:t>Enrolment, configuration and delivery of devices to end users.</w:t>
      </w:r>
    </w:p>
    <w:p>
      <w:pPr>
        <w:pStyle w:val="ListBullet"/>
        <w:spacing w:after="80"/>
      </w:pPr>
      <w:r>
        <w:rPr>
          <w:sz w:val="21"/>
        </w:rPr>
        <w:t>Migration of user data and settings from the outgoing estate.</w:t>
      </w:r>
    </w:p>
    <w:p>
      <w:pPr>
        <w:pStyle w:val="ListBullet"/>
        <w:spacing w:after="80"/>
      </w:pPr>
      <w:r>
        <w:rPr>
          <w:sz w:val="21"/>
        </w:rPr>
        <w:t>Break-fix support including replacement of failed devices.</w:t>
      </w:r>
    </w:p>
    <w:p>
      <w:pPr>
        <w:pStyle w:val="ListBullet"/>
        <w:spacing w:after="80"/>
      </w:pPr>
      <w:r>
        <w:rPr>
          <w:sz w:val="21"/>
        </w:rPr>
        <w:t>Asset register maintenance and monthly reporting.</w:t>
      </w:r>
    </w:p>
    <w:p>
      <w:pPr>
        <w:pStyle w:val="ListBullet"/>
        <w:spacing w:after="80"/>
      </w:pPr>
      <w:r>
        <w:rPr>
          <w:sz w:val="21"/>
        </w:rPr>
        <w:t>Collection, data destruction and end-of-life handling of the outgoing fleet.</w:t>
      </w:r>
    </w:p>
    <w:p>
      <w:pPr>
        <w:spacing w:after="120"/>
      </w:pPr>
      <w:r>
        <w:rPr>
          <w:b w:val="0"/>
          <w:i w:val="0"/>
          <w:sz w:val="21"/>
        </w:rPr>
        <w:t>Mobile telephony airtime and connectivity are out of scope and are contracted separately.</w:t>
      </w:r>
    </w:p>
    <w:p>
      <w:pPr>
        <w:spacing w:before="280" w:after="140"/>
      </w:pPr>
      <w:r>
        <w:rPr>
          <w:b/>
          <w:color w:val="1F3556"/>
          <w:sz w:val="30"/>
        </w:rPr>
        <w:t>3.  The estate</w:t>
      </w:r>
    </w:p>
    <w:p>
      <w:pPr>
        <w:spacing w:after="120"/>
      </w:pPr>
      <w:r>
        <w:rPr>
          <w:b w:val="0"/>
          <w:i w:val="0"/>
          <w:sz w:val="21"/>
        </w:rPr>
        <w:t>The device fleet in scope is set out in Annex A, which is the authoritative statement for pricing purposes. Approximate figures given elsewhere in this document are indicative only.</w:t>
      </w:r>
    </w:p>
    <w:p>
      <w:pPr>
        <w:spacing w:after="120"/>
      </w:pPr>
      <w:r>
        <w:rPr>
          <w:b w:val="0"/>
          <w:i w:val="0"/>
          <w:sz w:val="21"/>
        </w:rPr>
        <w:t>Aurelian's device policy states that hardware is "typically refreshed every four years", although in practice the current estate contains devices between two and seven years old. Suppliers should state the refresh cycle on which their price is based.</w:t>
      </w:r>
    </w:p>
    <w:p>
      <w:pPr>
        <w:spacing w:after="120"/>
      </w:pPr>
      <w:r>
        <w:rPr>
          <w:b w:val="0"/>
          <w:i w:val="0"/>
          <w:sz w:val="21"/>
        </w:rPr>
        <w:t>Approximately 14,000 staff are supported. A proportion of employees hold both a primary computing device and a smartphone; a small number of field-based roles hold a tablet in addition.</w:t>
      </w:r>
    </w:p>
    <w:p>
      <w:pPr>
        <w:spacing w:before="280" w:after="140"/>
      </w:pPr>
      <w:r>
        <w:rPr>
          <w:b/>
          <w:color w:val="1F3556"/>
          <w:sz w:val="30"/>
        </w:rPr>
        <w:t>4.  Service requirements</w:t>
      </w:r>
    </w:p>
    <w:tbl>
      <w:tblPr>
        <w:tblStyle w:val="TableGrid"/>
        <w:tblW w:type="auto" w:w="0"/>
        <w:jc w:val="left"/>
        <w:tblLook w:firstColumn="1" w:firstRow="1" w:lastColumn="0" w:lastRow="0" w:noHBand="0" w:noVBand="1" w:val="04A0"/>
      </w:tblPr>
      <w:tblGrid>
        <w:gridCol w:w="3286"/>
        <w:gridCol w:w="3286"/>
        <w:gridCol w:w="3286"/>
      </w:tblGrid>
      <w:tr>
        <w:tc>
          <w:tcPr>
            <w:tcW w:type="dxa" w:w="1077"/>
            <w:shd w:val="clear" w:fill="1F3556"/>
          </w:tcPr>
          <w:p>
            <w:pPr>
              <w:spacing w:after="40"/>
              <w:jc w:val="center"/>
            </w:pPr>
            <w:r>
              <w:rPr>
                <w:b/>
                <w:color w:val="FFFFFF"/>
                <w:sz w:val="19"/>
              </w:rPr>
              <w:t>Ref</w:t>
            </w:r>
          </w:p>
        </w:tc>
        <w:tc>
          <w:tcPr>
            <w:tcW w:type="dxa" w:w="5159"/>
            <w:shd w:val="clear" w:fill="1F3556"/>
          </w:tcPr>
          <w:p>
            <w:pPr>
              <w:spacing w:after="40"/>
              <w:jc w:val="center"/>
            </w:pPr>
            <w:r>
              <w:rPr>
                <w:b/>
                <w:color w:val="FFFFFF"/>
                <w:sz w:val="19"/>
              </w:rPr>
              <w:t>Requirement</w:t>
            </w:r>
          </w:p>
        </w:tc>
        <w:tc>
          <w:tcPr>
            <w:tcW w:type="dxa" w:w="2835"/>
            <w:shd w:val="clear" w:fill="1F3556"/>
          </w:tcPr>
          <w:p>
            <w:pPr>
              <w:spacing w:after="40"/>
              <w:jc w:val="center"/>
            </w:pPr>
            <w:r>
              <w:rPr>
                <w:b/>
                <w:color w:val="FFFFFF"/>
                <w:sz w:val="19"/>
              </w:rPr>
              <w:t>Target</w:t>
            </w:r>
          </w:p>
        </w:tc>
      </w:tr>
      <w:tr>
        <w:tc>
          <w:tcPr>
            <w:tcW w:type="dxa" w:w="1077"/>
          </w:tcPr>
          <w:p>
            <w:pPr>
              <w:spacing w:after="40"/>
            </w:pPr>
            <w:r>
              <w:rPr>
                <w:b/>
                <w:sz w:val="19"/>
              </w:rPr>
              <w:t>EU-01</w:t>
            </w:r>
          </w:p>
        </w:tc>
        <w:tc>
          <w:tcPr>
            <w:tcW w:type="dxa" w:w="5159"/>
          </w:tcPr>
          <w:p>
            <w:pPr>
              <w:spacing w:after="40"/>
              <w:jc w:val="center"/>
            </w:pPr>
            <w:r>
              <w:rPr>
                <w:b w:val="0"/>
                <w:sz w:val="19"/>
              </w:rPr>
              <w:t>Replacement device provided following hardware failure</w:t>
            </w:r>
          </w:p>
        </w:tc>
        <w:tc>
          <w:tcPr>
            <w:tcW w:type="dxa" w:w="2835"/>
          </w:tcPr>
          <w:p>
            <w:pPr>
              <w:spacing w:after="40"/>
              <w:jc w:val="center"/>
            </w:pPr>
            <w:r>
              <w:rPr>
                <w:b w:val="0"/>
                <w:sz w:val="19"/>
              </w:rPr>
              <w:t>Promptly — see note</w:t>
            </w:r>
          </w:p>
        </w:tc>
      </w:tr>
      <w:tr>
        <w:tc>
          <w:tcPr>
            <w:tcW w:type="dxa" w:w="1077"/>
          </w:tcPr>
          <w:p>
            <w:pPr>
              <w:spacing w:after="40"/>
            </w:pPr>
            <w:r>
              <w:rPr>
                <w:b/>
                <w:sz w:val="19"/>
              </w:rPr>
              <w:t>EU-02</w:t>
            </w:r>
          </w:p>
        </w:tc>
        <w:tc>
          <w:tcPr>
            <w:tcW w:type="dxa" w:w="5159"/>
          </w:tcPr>
          <w:p>
            <w:pPr>
              <w:spacing w:after="40"/>
              <w:jc w:val="center"/>
            </w:pPr>
            <w:r>
              <w:rPr>
                <w:b w:val="0"/>
                <w:sz w:val="19"/>
              </w:rPr>
              <w:t>Service desk response for device incidents</w:t>
            </w:r>
          </w:p>
        </w:tc>
        <w:tc>
          <w:tcPr>
            <w:tcW w:type="dxa" w:w="2835"/>
          </w:tcPr>
          <w:p>
            <w:pPr>
              <w:spacing w:after="40"/>
              <w:jc w:val="center"/>
            </w:pPr>
            <w:r>
              <w:rPr>
                <w:b w:val="0"/>
                <w:sz w:val="19"/>
              </w:rPr>
              <w:t>2 business hours</w:t>
            </w:r>
          </w:p>
        </w:tc>
      </w:tr>
      <w:tr>
        <w:tc>
          <w:tcPr>
            <w:tcW w:type="dxa" w:w="1077"/>
          </w:tcPr>
          <w:p>
            <w:pPr>
              <w:spacing w:after="40"/>
            </w:pPr>
            <w:r>
              <w:rPr>
                <w:b/>
                <w:sz w:val="19"/>
              </w:rPr>
              <w:t>EU-03</w:t>
            </w:r>
          </w:p>
        </w:tc>
        <w:tc>
          <w:tcPr>
            <w:tcW w:type="dxa" w:w="5159"/>
          </w:tcPr>
          <w:p>
            <w:pPr>
              <w:spacing w:after="40"/>
              <w:jc w:val="center"/>
            </w:pPr>
            <w:r>
              <w:rPr>
                <w:b w:val="0"/>
                <w:sz w:val="19"/>
              </w:rPr>
              <w:t>Asset register accuracy</w:t>
            </w:r>
          </w:p>
        </w:tc>
        <w:tc>
          <w:tcPr>
            <w:tcW w:type="dxa" w:w="2835"/>
          </w:tcPr>
          <w:p>
            <w:pPr>
              <w:spacing w:after="40"/>
              <w:jc w:val="center"/>
            </w:pPr>
            <w:r>
              <w:rPr>
                <w:b w:val="0"/>
                <w:sz w:val="19"/>
              </w:rPr>
              <w:t>99% at quarterly audit</w:t>
            </w:r>
          </w:p>
        </w:tc>
      </w:tr>
      <w:tr>
        <w:tc>
          <w:tcPr>
            <w:tcW w:type="dxa" w:w="1077"/>
          </w:tcPr>
          <w:p>
            <w:pPr>
              <w:spacing w:after="40"/>
            </w:pPr>
            <w:r>
              <w:rPr>
                <w:b/>
                <w:sz w:val="19"/>
              </w:rPr>
              <w:t>EU-04</w:t>
            </w:r>
          </w:p>
        </w:tc>
        <w:tc>
          <w:tcPr>
            <w:tcW w:type="dxa" w:w="5159"/>
          </w:tcPr>
          <w:p>
            <w:pPr>
              <w:spacing w:after="40"/>
              <w:jc w:val="center"/>
            </w:pPr>
            <w:r>
              <w:rPr>
                <w:b w:val="0"/>
                <w:sz w:val="19"/>
              </w:rPr>
              <w:t>Standard build applied to all delivered devices</w:t>
            </w:r>
          </w:p>
        </w:tc>
        <w:tc>
          <w:tcPr>
            <w:tcW w:type="dxa" w:w="2835"/>
          </w:tcPr>
          <w:p>
            <w:pPr>
              <w:spacing w:after="40"/>
              <w:jc w:val="center"/>
            </w:pPr>
            <w:r>
              <w:rPr>
                <w:b w:val="0"/>
                <w:sz w:val="19"/>
              </w:rPr>
              <w:t>100%</w:t>
            </w:r>
          </w:p>
        </w:tc>
      </w:tr>
      <w:tr>
        <w:tc>
          <w:tcPr>
            <w:tcW w:type="dxa" w:w="1077"/>
          </w:tcPr>
          <w:p>
            <w:pPr>
              <w:spacing w:after="40"/>
            </w:pPr>
            <w:r>
              <w:rPr>
                <w:b/>
                <w:sz w:val="19"/>
              </w:rPr>
              <w:t>EU-05</w:t>
            </w:r>
          </w:p>
        </w:tc>
        <w:tc>
          <w:tcPr>
            <w:tcW w:type="dxa" w:w="5159"/>
          </w:tcPr>
          <w:p>
            <w:pPr>
              <w:spacing w:after="40"/>
              <w:jc w:val="center"/>
            </w:pPr>
            <w:r>
              <w:rPr>
                <w:b w:val="0"/>
                <w:sz w:val="19"/>
              </w:rPr>
              <w:t>Data destruction certification on collected devices</w:t>
            </w:r>
          </w:p>
        </w:tc>
        <w:tc>
          <w:tcPr>
            <w:tcW w:type="dxa" w:w="2835"/>
          </w:tcPr>
          <w:p>
            <w:pPr>
              <w:spacing w:after="40"/>
              <w:jc w:val="center"/>
            </w:pPr>
            <w:r>
              <w:rPr>
                <w:b w:val="0"/>
                <w:sz w:val="19"/>
              </w:rPr>
              <w:t>Required</w:t>
            </w:r>
          </w:p>
        </w:tc>
      </w:tr>
      <w:tr>
        <w:tc>
          <w:tcPr>
            <w:tcW w:type="dxa" w:w="1077"/>
          </w:tcPr>
          <w:p>
            <w:pPr>
              <w:spacing w:after="40"/>
            </w:pPr>
            <w:r>
              <w:rPr>
                <w:b/>
                <w:sz w:val="19"/>
              </w:rPr>
              <w:t>EU-06</w:t>
            </w:r>
          </w:p>
        </w:tc>
        <w:tc>
          <w:tcPr>
            <w:tcW w:type="dxa" w:w="5159"/>
          </w:tcPr>
          <w:p>
            <w:pPr>
              <w:spacing w:after="40"/>
              <w:jc w:val="center"/>
            </w:pPr>
            <w:r>
              <w:rPr>
                <w:b w:val="0"/>
                <w:sz w:val="19"/>
              </w:rPr>
              <w:t>Monthly fleet and lifecycle reporting</w:t>
            </w:r>
          </w:p>
        </w:tc>
        <w:tc>
          <w:tcPr>
            <w:tcW w:type="dxa" w:w="2835"/>
          </w:tcPr>
          <w:p>
            <w:pPr>
              <w:spacing w:after="40"/>
              <w:jc w:val="center"/>
            </w:pPr>
            <w:r>
              <w:rPr>
                <w:b w:val="0"/>
                <w:sz w:val="19"/>
              </w:rPr>
              <w:t>Within 5 business days of month end</w:t>
            </w:r>
          </w:p>
        </w:tc>
      </w:tr>
    </w:tbl>
    <w:p>
      <w:pPr>
        <w:spacing w:after="120"/>
      </w:pPr>
      <w:r>
        <w:rPr>
          <w:b w:val="0"/>
          <w:i/>
          <w:sz w:val="21"/>
        </w:rPr>
        <w:t>Note on EU-01: Aurelian has not fixed a replacement time. Suppliers should propose a commitment appropriate to a distributed European estate and price accordingly, stating clearly what their proposal assumes.</w:t>
      </w:r>
    </w:p>
    <w:p>
      <w:pPr>
        <w:spacing w:before="280" w:after="140"/>
      </w:pPr>
      <w:r>
        <w:rPr>
          <w:b/>
          <w:color w:val="1F3556"/>
          <w:sz w:val="30"/>
        </w:rPr>
        <w:t>5.  Deployment</w:t>
      </w:r>
    </w:p>
    <w:p>
      <w:pPr>
        <w:spacing w:after="120"/>
      </w:pPr>
      <w:r>
        <w:rPr>
          <w:b w:val="0"/>
          <w:i w:val="0"/>
          <w:sz w:val="21"/>
        </w:rPr>
        <w:t>The outgoing estate must be replaced within 6 months of contract commencement. Aurelian's locations range from single-floor sales offices to distribution centres operating extended shifts.</w:t>
      </w:r>
    </w:p>
    <w:p>
      <w:pPr>
        <w:spacing w:after="120"/>
      </w:pPr>
      <w:r>
        <w:rPr>
          <w:b w:val="0"/>
          <w:i w:val="0"/>
          <w:sz w:val="21"/>
        </w:rPr>
        <w:t>Aurelian has no fixed position on how devices should reach users and invites suppliers to propose an approach. Suppliers should note that approximately 18% of the workforce is field-based and attends a company location infrequently.</w:t>
      </w:r>
    </w:p>
    <w:p>
      <w:pPr>
        <w:spacing w:after="120"/>
      </w:pPr>
      <w:r>
        <w:rPr>
          <w:b w:val="0"/>
          <w:i w:val="0"/>
          <w:sz w:val="21"/>
        </w:rPr>
        <w:t>The Group currently maintains a single standard build. Several business units have requested role-specific configurations; no decision has been taken.</w:t>
      </w:r>
    </w:p>
    <w:p>
      <w:pPr>
        <w:spacing w:before="280" w:after="140"/>
      </w:pPr>
      <w:r>
        <w:rPr>
          <w:b/>
          <w:color w:val="1F3556"/>
          <w:sz w:val="30"/>
        </w:rPr>
        <w:t>6.  Commercial requirements</w:t>
      </w:r>
    </w:p>
    <w:p>
      <w:pPr>
        <w:spacing w:after="120"/>
      </w:pPr>
      <w:r>
        <w:rPr>
          <w:b w:val="0"/>
          <w:i w:val="0"/>
          <w:sz w:val="21"/>
        </w:rPr>
        <w:t>The contract will be awarded for an initial term of 4 years.</w:t>
      </w:r>
    </w:p>
    <w:p>
      <w:pPr>
        <w:spacing w:after="120"/>
      </w:pPr>
      <w:r>
        <w:rPr>
          <w:b w:val="0"/>
          <w:i w:val="0"/>
          <w:sz w:val="21"/>
        </w:rPr>
        <w:t>Pricing shall be expressed as a charge per device per month, with transition costs shown separately. Suppliers should also state the total contract value over the initial term.</w:t>
      </w:r>
    </w:p>
    <w:p>
      <w:pPr>
        <w:spacing w:after="120"/>
      </w:pPr>
      <w:r>
        <w:rPr>
          <w:b w:val="0"/>
          <w:i w:val="0"/>
          <w:sz w:val="21"/>
        </w:rPr>
        <w:t>Aurelian holds no position on the treatment of the outgoing fleet. Suppliers may propose retention, recycling or a buyback arrangement, and should show the effect of their proposal on the monthly charge.</w:t>
      </w:r>
    </w:p>
    <w:p>
      <w:r>
        <w:br w:type="page"/>
      </w:r>
    </w:p>
    <w:p>
      <w:pPr>
        <w:spacing w:before="280" w:after="140"/>
      </w:pPr>
      <w:r>
        <w:rPr>
          <w:b/>
          <w:color w:val="1F3556"/>
          <w:sz w:val="30"/>
        </w:rPr>
        <w:t>Annex A  —  Device schedule</w:t>
      </w:r>
    </w:p>
    <w:p>
      <w:pPr>
        <w:spacing w:after="120"/>
      </w:pPr>
      <w:r>
        <w:rPr>
          <w:b w:val="0"/>
          <w:i w:val="0"/>
          <w:sz w:val="21"/>
        </w:rPr>
        <w:t>The following is the authoritative statement of the in-scope fleet.</w:t>
      </w:r>
    </w:p>
    <w:tbl>
      <w:tblPr>
        <w:tblStyle w:val="TableGrid"/>
        <w:tblW w:type="auto" w:w="0"/>
        <w:jc w:val="left"/>
        <w:tblLook w:firstColumn="1" w:firstRow="1" w:lastColumn="0" w:lastRow="0" w:noHBand="0" w:noVBand="1" w:val="04A0"/>
      </w:tblPr>
      <w:tblGrid>
        <w:gridCol w:w="1408"/>
        <w:gridCol w:w="1408"/>
        <w:gridCol w:w="1408"/>
        <w:gridCol w:w="1408"/>
        <w:gridCol w:w="1408"/>
        <w:gridCol w:w="1408"/>
        <w:gridCol w:w="1408"/>
      </w:tblGrid>
      <w:tr>
        <w:tc>
          <w:tcPr>
            <w:tcW w:type="dxa" w:w="2268"/>
            <w:shd w:val="clear" w:fill="1F3556"/>
          </w:tcPr>
          <w:p>
            <w:pPr>
              <w:spacing w:after="40"/>
              <w:jc w:val="center"/>
            </w:pPr>
            <w:r>
              <w:rPr>
                <w:b/>
                <w:color w:val="FFFFFF"/>
                <w:sz w:val="19"/>
              </w:rPr>
              <w:t>Device type</w:t>
            </w:r>
          </w:p>
        </w:tc>
        <w:tc>
          <w:tcPr>
            <w:tcW w:type="dxa" w:w="1191"/>
            <w:shd w:val="clear" w:fill="1F3556"/>
          </w:tcPr>
          <w:p>
            <w:pPr>
              <w:spacing w:after="40"/>
              <w:jc w:val="center"/>
            </w:pPr>
            <w:r>
              <w:rPr>
                <w:b/>
                <w:color w:val="FFFFFF"/>
                <w:sz w:val="19"/>
              </w:rPr>
              <w:t>UK</w:t>
            </w:r>
          </w:p>
        </w:tc>
        <w:tc>
          <w:tcPr>
            <w:tcW w:type="dxa" w:w="1191"/>
            <w:shd w:val="clear" w:fill="1F3556"/>
          </w:tcPr>
          <w:p>
            <w:pPr>
              <w:spacing w:after="40"/>
              <w:jc w:val="center"/>
            </w:pPr>
            <w:r>
              <w:rPr>
                <w:b/>
                <w:color w:val="FFFFFF"/>
                <w:sz w:val="19"/>
              </w:rPr>
              <w:t>DE</w:t>
            </w:r>
          </w:p>
        </w:tc>
        <w:tc>
          <w:tcPr>
            <w:tcW w:type="dxa" w:w="1191"/>
            <w:shd w:val="clear" w:fill="1F3556"/>
          </w:tcPr>
          <w:p>
            <w:pPr>
              <w:spacing w:after="40"/>
              <w:jc w:val="center"/>
            </w:pPr>
            <w:r>
              <w:rPr>
                <w:b/>
                <w:color w:val="FFFFFF"/>
                <w:sz w:val="19"/>
              </w:rPr>
              <w:t>FR</w:t>
            </w:r>
          </w:p>
        </w:tc>
        <w:tc>
          <w:tcPr>
            <w:tcW w:type="dxa" w:w="1191"/>
            <w:shd w:val="clear" w:fill="1F3556"/>
          </w:tcPr>
          <w:p>
            <w:pPr>
              <w:spacing w:after="40"/>
              <w:jc w:val="center"/>
            </w:pPr>
            <w:r>
              <w:rPr>
                <w:b/>
                <w:color w:val="FFFFFF"/>
                <w:sz w:val="19"/>
              </w:rPr>
              <w:t>NL</w:t>
            </w:r>
          </w:p>
        </w:tc>
        <w:tc>
          <w:tcPr>
            <w:tcW w:type="dxa" w:w="1191"/>
            <w:shd w:val="clear" w:fill="1F3556"/>
          </w:tcPr>
          <w:p>
            <w:pPr>
              <w:spacing w:after="40"/>
              <w:jc w:val="center"/>
            </w:pPr>
            <w:r>
              <w:rPr>
                <w:b/>
                <w:color w:val="FFFFFF"/>
                <w:sz w:val="19"/>
              </w:rPr>
              <w:t>PL</w:t>
            </w:r>
          </w:p>
        </w:tc>
        <w:tc>
          <w:tcPr>
            <w:tcW w:type="dxa" w:w="1304"/>
            <w:shd w:val="clear" w:fill="1F3556"/>
          </w:tcPr>
          <w:p>
            <w:pPr>
              <w:spacing w:after="40"/>
              <w:jc w:val="center"/>
            </w:pPr>
            <w:r>
              <w:rPr>
                <w:b/>
                <w:color w:val="FFFFFF"/>
                <w:sz w:val="19"/>
              </w:rPr>
              <w:t>Total</w:t>
            </w:r>
          </w:p>
        </w:tc>
      </w:tr>
      <w:tr>
        <w:tc>
          <w:tcPr>
            <w:tcW w:type="dxa" w:w="2268"/>
          </w:tcPr>
          <w:p>
            <w:pPr>
              <w:spacing w:after="40"/>
            </w:pPr>
            <w:r>
              <w:rPr>
                <w:b/>
                <w:sz w:val="19"/>
              </w:rPr>
              <w:t>Standard laptop</w:t>
            </w:r>
          </w:p>
        </w:tc>
        <w:tc>
          <w:tcPr>
            <w:tcW w:type="dxa" w:w="1191"/>
          </w:tcPr>
          <w:p>
            <w:pPr>
              <w:spacing w:after="40"/>
              <w:jc w:val="center"/>
            </w:pPr>
            <w:r>
              <w:rPr>
                <w:b w:val="0"/>
                <w:sz w:val="19"/>
              </w:rPr>
              <w:t>4410</w:t>
            </w:r>
          </w:p>
        </w:tc>
        <w:tc>
          <w:tcPr>
            <w:tcW w:type="dxa" w:w="1191"/>
          </w:tcPr>
          <w:p>
            <w:pPr>
              <w:spacing w:after="40"/>
              <w:jc w:val="center"/>
            </w:pPr>
            <w:r>
              <w:rPr>
                <w:b w:val="0"/>
                <w:sz w:val="19"/>
              </w:rPr>
              <w:t>2450</w:t>
            </w:r>
          </w:p>
        </w:tc>
        <w:tc>
          <w:tcPr>
            <w:tcW w:type="dxa" w:w="1191"/>
          </w:tcPr>
          <w:p>
            <w:pPr>
              <w:spacing w:after="40"/>
              <w:jc w:val="center"/>
            </w:pPr>
            <w:r>
              <w:rPr>
                <w:b w:val="0"/>
                <w:sz w:val="19"/>
              </w:rPr>
              <w:t>1470</w:t>
            </w:r>
          </w:p>
        </w:tc>
        <w:tc>
          <w:tcPr>
            <w:tcW w:type="dxa" w:w="1191"/>
          </w:tcPr>
          <w:p>
            <w:pPr>
              <w:spacing w:after="40"/>
              <w:jc w:val="center"/>
            </w:pPr>
            <w:r>
              <w:rPr>
                <w:b w:val="0"/>
                <w:sz w:val="19"/>
              </w:rPr>
              <w:t>980</w:t>
            </w:r>
          </w:p>
        </w:tc>
        <w:tc>
          <w:tcPr>
            <w:tcW w:type="dxa" w:w="1191"/>
          </w:tcPr>
          <w:p>
            <w:pPr>
              <w:spacing w:after="40"/>
              <w:jc w:val="center"/>
            </w:pPr>
            <w:r>
              <w:rPr>
                <w:b w:val="0"/>
                <w:sz w:val="19"/>
              </w:rPr>
              <w:t>490</w:t>
            </w:r>
          </w:p>
        </w:tc>
        <w:tc>
          <w:tcPr>
            <w:tcW w:type="dxa" w:w="1304"/>
          </w:tcPr>
          <w:p>
            <w:pPr>
              <w:spacing w:after="40"/>
              <w:jc w:val="center"/>
            </w:pPr>
            <w:r>
              <w:rPr>
                <w:b w:val="0"/>
                <w:sz w:val="19"/>
              </w:rPr>
              <w:t>9800</w:t>
            </w:r>
          </w:p>
        </w:tc>
      </w:tr>
      <w:tr>
        <w:tc>
          <w:tcPr>
            <w:tcW w:type="dxa" w:w="2268"/>
          </w:tcPr>
          <w:p>
            <w:pPr>
              <w:spacing w:after="40"/>
            </w:pPr>
            <w:r>
              <w:rPr>
                <w:b/>
                <w:sz w:val="19"/>
              </w:rPr>
              <w:t>Performance laptop</w:t>
            </w:r>
          </w:p>
        </w:tc>
        <w:tc>
          <w:tcPr>
            <w:tcW w:type="dxa" w:w="1191"/>
          </w:tcPr>
          <w:p>
            <w:pPr>
              <w:spacing w:after="40"/>
              <w:jc w:val="center"/>
            </w:pPr>
            <w:r>
              <w:rPr>
                <w:b w:val="0"/>
                <w:sz w:val="19"/>
              </w:rPr>
              <w:t>630</w:t>
            </w:r>
          </w:p>
        </w:tc>
        <w:tc>
          <w:tcPr>
            <w:tcW w:type="dxa" w:w="1191"/>
          </w:tcPr>
          <w:p>
            <w:pPr>
              <w:spacing w:after="40"/>
              <w:jc w:val="center"/>
            </w:pPr>
            <w:r>
              <w:rPr>
                <w:b w:val="0"/>
                <w:sz w:val="19"/>
              </w:rPr>
              <w:t>350</w:t>
            </w:r>
          </w:p>
        </w:tc>
        <w:tc>
          <w:tcPr>
            <w:tcW w:type="dxa" w:w="1191"/>
          </w:tcPr>
          <w:p>
            <w:pPr>
              <w:spacing w:after="40"/>
              <w:jc w:val="center"/>
            </w:pPr>
            <w:r>
              <w:rPr>
                <w:b w:val="0"/>
                <w:sz w:val="19"/>
              </w:rPr>
              <w:t>210</w:t>
            </w:r>
          </w:p>
        </w:tc>
        <w:tc>
          <w:tcPr>
            <w:tcW w:type="dxa" w:w="1191"/>
          </w:tcPr>
          <w:p>
            <w:pPr>
              <w:spacing w:after="40"/>
              <w:jc w:val="center"/>
            </w:pPr>
            <w:r>
              <w:rPr>
                <w:b w:val="0"/>
                <w:sz w:val="19"/>
              </w:rPr>
              <w:t>140</w:t>
            </w:r>
          </w:p>
        </w:tc>
        <w:tc>
          <w:tcPr>
            <w:tcW w:type="dxa" w:w="1191"/>
          </w:tcPr>
          <w:p>
            <w:pPr>
              <w:spacing w:after="40"/>
              <w:jc w:val="center"/>
            </w:pPr>
            <w:r>
              <w:rPr>
                <w:b w:val="0"/>
                <w:sz w:val="19"/>
              </w:rPr>
              <w:t>70</w:t>
            </w:r>
          </w:p>
        </w:tc>
        <w:tc>
          <w:tcPr>
            <w:tcW w:type="dxa" w:w="1304"/>
          </w:tcPr>
          <w:p>
            <w:pPr>
              <w:spacing w:after="40"/>
              <w:jc w:val="center"/>
            </w:pPr>
            <w:r>
              <w:rPr>
                <w:b w:val="0"/>
                <w:sz w:val="19"/>
              </w:rPr>
              <w:t>1400</w:t>
            </w:r>
          </w:p>
        </w:tc>
      </w:tr>
      <w:tr>
        <w:tc>
          <w:tcPr>
            <w:tcW w:type="dxa" w:w="2268"/>
          </w:tcPr>
          <w:p>
            <w:pPr>
              <w:spacing w:after="40"/>
            </w:pPr>
            <w:r>
              <w:rPr>
                <w:b/>
                <w:sz w:val="19"/>
              </w:rPr>
              <w:t>Desktop</w:t>
            </w:r>
          </w:p>
        </w:tc>
        <w:tc>
          <w:tcPr>
            <w:tcW w:type="dxa" w:w="1191"/>
          </w:tcPr>
          <w:p>
            <w:pPr>
              <w:spacing w:after="40"/>
              <w:jc w:val="center"/>
            </w:pPr>
            <w:r>
              <w:rPr>
                <w:b w:val="0"/>
                <w:sz w:val="19"/>
              </w:rPr>
              <w:t>405</w:t>
            </w:r>
          </w:p>
        </w:tc>
        <w:tc>
          <w:tcPr>
            <w:tcW w:type="dxa" w:w="1191"/>
          </w:tcPr>
          <w:p>
            <w:pPr>
              <w:spacing w:after="40"/>
              <w:jc w:val="center"/>
            </w:pPr>
            <w:r>
              <w:rPr>
                <w:b w:val="0"/>
                <w:sz w:val="19"/>
              </w:rPr>
              <w:t>225</w:t>
            </w:r>
          </w:p>
        </w:tc>
        <w:tc>
          <w:tcPr>
            <w:tcW w:type="dxa" w:w="1191"/>
          </w:tcPr>
          <w:p>
            <w:pPr>
              <w:spacing w:after="40"/>
              <w:jc w:val="center"/>
            </w:pPr>
            <w:r>
              <w:rPr>
                <w:b w:val="0"/>
                <w:sz w:val="19"/>
              </w:rPr>
              <w:t>135</w:t>
            </w:r>
          </w:p>
        </w:tc>
        <w:tc>
          <w:tcPr>
            <w:tcW w:type="dxa" w:w="1191"/>
          </w:tcPr>
          <w:p>
            <w:pPr>
              <w:spacing w:after="40"/>
              <w:jc w:val="center"/>
            </w:pPr>
            <w:r>
              <w:rPr>
                <w:b w:val="0"/>
                <w:sz w:val="19"/>
              </w:rPr>
              <w:t>90</w:t>
            </w:r>
          </w:p>
        </w:tc>
        <w:tc>
          <w:tcPr>
            <w:tcW w:type="dxa" w:w="1191"/>
          </w:tcPr>
          <w:p>
            <w:pPr>
              <w:spacing w:after="40"/>
              <w:jc w:val="center"/>
            </w:pPr>
            <w:r>
              <w:rPr>
                <w:b w:val="0"/>
                <w:sz w:val="19"/>
              </w:rPr>
              <w:t>45</w:t>
            </w:r>
          </w:p>
        </w:tc>
        <w:tc>
          <w:tcPr>
            <w:tcW w:type="dxa" w:w="1304"/>
          </w:tcPr>
          <w:p>
            <w:pPr>
              <w:spacing w:after="40"/>
              <w:jc w:val="center"/>
            </w:pPr>
            <w:r>
              <w:rPr>
                <w:b w:val="0"/>
                <w:sz w:val="19"/>
              </w:rPr>
              <w:t>900</w:t>
            </w:r>
          </w:p>
        </w:tc>
      </w:tr>
      <w:tr>
        <w:tc>
          <w:tcPr>
            <w:tcW w:type="dxa" w:w="2268"/>
          </w:tcPr>
          <w:p>
            <w:pPr>
              <w:spacing w:after="40"/>
            </w:pPr>
            <w:r>
              <w:rPr>
                <w:b/>
                <w:sz w:val="19"/>
              </w:rPr>
              <w:t>Tablet</w:t>
            </w:r>
          </w:p>
        </w:tc>
        <w:tc>
          <w:tcPr>
            <w:tcW w:type="dxa" w:w="1191"/>
          </w:tcPr>
          <w:p>
            <w:pPr>
              <w:spacing w:after="40"/>
              <w:jc w:val="center"/>
            </w:pPr>
            <w:r>
              <w:rPr>
                <w:b w:val="0"/>
                <w:sz w:val="19"/>
              </w:rPr>
              <w:t>293</w:t>
            </w:r>
          </w:p>
        </w:tc>
        <w:tc>
          <w:tcPr>
            <w:tcW w:type="dxa" w:w="1191"/>
          </w:tcPr>
          <w:p>
            <w:pPr>
              <w:spacing w:after="40"/>
              <w:jc w:val="center"/>
            </w:pPr>
            <w:r>
              <w:rPr>
                <w:b w:val="0"/>
                <w:sz w:val="19"/>
              </w:rPr>
              <w:t>162</w:t>
            </w:r>
          </w:p>
        </w:tc>
        <w:tc>
          <w:tcPr>
            <w:tcW w:type="dxa" w:w="1191"/>
          </w:tcPr>
          <w:p>
            <w:pPr>
              <w:spacing w:after="40"/>
              <w:jc w:val="center"/>
            </w:pPr>
            <w:r>
              <w:rPr>
                <w:b w:val="0"/>
                <w:sz w:val="19"/>
              </w:rPr>
              <w:t>98</w:t>
            </w:r>
          </w:p>
        </w:tc>
        <w:tc>
          <w:tcPr>
            <w:tcW w:type="dxa" w:w="1191"/>
          </w:tcPr>
          <w:p>
            <w:pPr>
              <w:spacing w:after="40"/>
              <w:jc w:val="center"/>
            </w:pPr>
            <w:r>
              <w:rPr>
                <w:b w:val="0"/>
                <w:sz w:val="19"/>
              </w:rPr>
              <w:t>65</w:t>
            </w:r>
          </w:p>
        </w:tc>
        <w:tc>
          <w:tcPr>
            <w:tcW w:type="dxa" w:w="1191"/>
          </w:tcPr>
          <w:p>
            <w:pPr>
              <w:spacing w:after="40"/>
              <w:jc w:val="center"/>
            </w:pPr>
            <w:r>
              <w:rPr>
                <w:b w:val="0"/>
                <w:sz w:val="19"/>
              </w:rPr>
              <w:t>32</w:t>
            </w:r>
          </w:p>
        </w:tc>
        <w:tc>
          <w:tcPr>
            <w:tcW w:type="dxa" w:w="1304"/>
          </w:tcPr>
          <w:p>
            <w:pPr>
              <w:spacing w:after="40"/>
              <w:jc w:val="center"/>
            </w:pPr>
            <w:r>
              <w:rPr>
                <w:b w:val="0"/>
                <w:sz w:val="19"/>
              </w:rPr>
              <w:t>650</w:t>
            </w:r>
          </w:p>
        </w:tc>
      </w:tr>
      <w:tr>
        <w:tc>
          <w:tcPr>
            <w:tcW w:type="dxa" w:w="2268"/>
          </w:tcPr>
          <w:p>
            <w:pPr>
              <w:spacing w:after="40"/>
            </w:pPr>
            <w:r>
              <w:rPr>
                <w:b/>
                <w:sz w:val="19"/>
              </w:rPr>
              <w:t>Smartphone</w:t>
            </w:r>
          </w:p>
        </w:tc>
        <w:tc>
          <w:tcPr>
            <w:tcW w:type="dxa" w:w="1191"/>
          </w:tcPr>
          <w:p>
            <w:pPr>
              <w:spacing w:after="40"/>
              <w:jc w:val="center"/>
            </w:pPr>
            <w:r>
              <w:rPr>
                <w:b w:val="0"/>
                <w:sz w:val="19"/>
              </w:rPr>
              <w:t>1890</w:t>
            </w:r>
          </w:p>
        </w:tc>
        <w:tc>
          <w:tcPr>
            <w:tcW w:type="dxa" w:w="1191"/>
          </w:tcPr>
          <w:p>
            <w:pPr>
              <w:spacing w:after="40"/>
              <w:jc w:val="center"/>
            </w:pPr>
            <w:r>
              <w:rPr>
                <w:b w:val="0"/>
                <w:sz w:val="19"/>
              </w:rPr>
              <w:t>1050</w:t>
            </w:r>
          </w:p>
        </w:tc>
        <w:tc>
          <w:tcPr>
            <w:tcW w:type="dxa" w:w="1191"/>
          </w:tcPr>
          <w:p>
            <w:pPr>
              <w:spacing w:after="40"/>
              <w:jc w:val="center"/>
            </w:pPr>
            <w:r>
              <w:rPr>
                <w:b w:val="0"/>
                <w:sz w:val="19"/>
              </w:rPr>
              <w:t>630</w:t>
            </w:r>
          </w:p>
        </w:tc>
        <w:tc>
          <w:tcPr>
            <w:tcW w:type="dxa" w:w="1191"/>
          </w:tcPr>
          <w:p>
            <w:pPr>
              <w:spacing w:after="40"/>
              <w:jc w:val="center"/>
            </w:pPr>
            <w:r>
              <w:rPr>
                <w:b w:val="0"/>
                <w:sz w:val="19"/>
              </w:rPr>
              <w:t>420</w:t>
            </w:r>
          </w:p>
        </w:tc>
        <w:tc>
          <w:tcPr>
            <w:tcW w:type="dxa" w:w="1191"/>
          </w:tcPr>
          <w:p>
            <w:pPr>
              <w:spacing w:after="40"/>
              <w:jc w:val="center"/>
            </w:pPr>
            <w:r>
              <w:rPr>
                <w:b w:val="0"/>
                <w:sz w:val="19"/>
              </w:rPr>
              <w:t>210</w:t>
            </w:r>
          </w:p>
        </w:tc>
        <w:tc>
          <w:tcPr>
            <w:tcW w:type="dxa" w:w="1304"/>
          </w:tcPr>
          <w:p>
            <w:pPr>
              <w:spacing w:after="40"/>
              <w:jc w:val="center"/>
            </w:pPr>
            <w:r>
              <w:rPr>
                <w:b w:val="0"/>
                <w:sz w:val="19"/>
              </w:rPr>
              <w:t>4200</w:t>
            </w:r>
          </w:p>
        </w:tc>
      </w:tr>
      <w:tr>
        <w:tc>
          <w:tcPr>
            <w:tcW w:type="dxa" w:w="2268"/>
          </w:tcPr>
          <w:p>
            <w:pPr>
              <w:spacing w:after="40"/>
            </w:pPr>
            <w:r>
              <w:rPr>
                <w:b/>
                <w:sz w:val="19"/>
              </w:rPr>
              <w:t>Total</w:t>
            </w:r>
          </w:p>
        </w:tc>
        <w:tc>
          <w:tcPr>
            <w:tcW w:type="dxa" w:w="1191"/>
          </w:tcPr>
          <w:p>
            <w:pPr>
              <w:spacing w:after="40"/>
              <w:jc w:val="center"/>
            </w:pPr>
            <w:r>
              <w:rPr>
                <w:b w:val="0"/>
                <w:sz w:val="19"/>
              </w:rPr>
              <w:t>7628</w:t>
            </w:r>
          </w:p>
        </w:tc>
        <w:tc>
          <w:tcPr>
            <w:tcW w:type="dxa" w:w="1191"/>
          </w:tcPr>
          <w:p>
            <w:pPr>
              <w:spacing w:after="40"/>
              <w:jc w:val="center"/>
            </w:pPr>
            <w:r>
              <w:rPr>
                <w:b w:val="0"/>
                <w:sz w:val="19"/>
              </w:rPr>
              <w:t>4237</w:t>
            </w:r>
          </w:p>
        </w:tc>
        <w:tc>
          <w:tcPr>
            <w:tcW w:type="dxa" w:w="1191"/>
          </w:tcPr>
          <w:p>
            <w:pPr>
              <w:spacing w:after="40"/>
              <w:jc w:val="center"/>
            </w:pPr>
            <w:r>
              <w:rPr>
                <w:b w:val="0"/>
                <w:sz w:val="19"/>
              </w:rPr>
              <w:t>2543</w:t>
            </w:r>
          </w:p>
        </w:tc>
        <w:tc>
          <w:tcPr>
            <w:tcW w:type="dxa" w:w="1191"/>
          </w:tcPr>
          <w:p>
            <w:pPr>
              <w:spacing w:after="40"/>
              <w:jc w:val="center"/>
            </w:pPr>
            <w:r>
              <w:rPr>
                <w:b w:val="0"/>
                <w:sz w:val="19"/>
              </w:rPr>
              <w:t>1695</w:t>
            </w:r>
          </w:p>
        </w:tc>
        <w:tc>
          <w:tcPr>
            <w:tcW w:type="dxa" w:w="1191"/>
          </w:tcPr>
          <w:p>
            <w:pPr>
              <w:spacing w:after="40"/>
              <w:jc w:val="center"/>
            </w:pPr>
            <w:r>
              <w:rPr>
                <w:b w:val="0"/>
                <w:sz w:val="19"/>
              </w:rPr>
              <w:t>847</w:t>
            </w:r>
          </w:p>
        </w:tc>
        <w:tc>
          <w:tcPr>
            <w:tcW w:type="dxa" w:w="1304"/>
          </w:tcPr>
          <w:p>
            <w:pPr>
              <w:spacing w:after="40"/>
              <w:jc w:val="center"/>
            </w:pPr>
            <w:r>
              <w:rPr>
                <w:b w:val="0"/>
                <w:sz w:val="19"/>
              </w:rPr>
              <w:t>16950</w:t>
            </w:r>
          </w:p>
        </w:tc>
      </w:tr>
    </w:tbl>
    <w:p>
      <w:pPr>
        <w:spacing w:after="120"/>
      </w:pPr>
      <w:r>
        <w:rPr>
          <w:b w:val="0"/>
          <w:i w:val="0"/>
          <w:sz w:val="21"/>
        </w:rPr>
      </w:r>
    </w:p>
    <w:p>
      <w:pPr>
        <w:spacing w:after="120"/>
      </w:pPr>
      <w:r>
        <w:rPr>
          <w:b w:val="0"/>
          <w:i w:val="0"/>
          <w:sz w:val="19"/>
        </w:rPr>
        <w:t>Total supported user population is 14,330 as at 1 July 2026.</w:t>
      </w:r>
    </w:p>
    <w:p>
      <w:pPr>
        <w:spacing w:after="120"/>
      </w:pPr>
      <w:r>
        <w:rPr>
          <w:b w:val="0"/>
          <w:i/>
          <w:sz w:val="19"/>
        </w:rPr>
        <w:t>Note: peripheral and accessory requirements have not been specified. Suppliers should state what their price includes.</w:t>
      </w:r>
    </w:p>
    <w:sectPr w:rsidR="00FC693F" w:rsidRPr="0006063C" w:rsidSect="00034616">
      <w:pgSz w:w="12240" w:h="15840"/>
      <w:pgMar w:top="1191" w:right="1191" w:bottom="1191"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