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KorrekturKumpel vs. Gradias</w:t>
      </w:r>
    </w:p>
    <w:p>
      <w:pPr>
        <w:spacing w:after="160"/>
      </w:pPr>
      <w:r>
        <w:rPr>
          <w:i/>
          <w:iCs/>
        </w:rPr>
        <w:t xml:space="preserve">Vergleich von Konzept, Lösung sowie Rechts- und Datenschutz-Ansatz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Stand: 10. Juni 2026 · Quellen: korrekturkumpel.de und gradias.ai (jeweils Website, Datenschutzerklärungen, Nutzungsbedingungen bzw. Compliance-Dokumentation)</w:t>
      </w:r>
    </w:p>
    <w:p>
      <w:pPr>
        <w:pStyle w:val="Heading1"/>
      </w:pPr>
      <w:r>
        <w:t xml:space="preserve">1. Konzept und Lösung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KorrekturKumpel (KorrekturKumpel GmbH, Bad Wildbad)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Gradias (NEW DIGITAL INTELLIGENCE GmbH, Köln)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Kernidee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End-to-End-Plattform für den gesamten Aufgaben-Lebenszyklus: Arbeitsblatt-Editor → Erwartungshorizont/Kriterien → Austeilen (PDF oder QR-Code) → digitale Abgabe durch Schüler → KI-Vorkorrektur → Dashboard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KI-Korrekturassistent für bestehende Papier-Klausuren: Scannen → Handschrifterkennung → KI-generierte Musterlösung + Bewertungsschema → Bewertung mit Bounding-Boxes → Eingreifen/Chat → Notenexport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Schüler-Interaktion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– Schüler geben digital über die Plattform ab (Smartphone/QR-Code)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 – nur die Lehrkraft nutzt das System, Schüler bleiben komplett außerhalb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Fokus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Textbasierte Aufgaben, Übungen/Hausaufgaben/Prüfungen; Feedback-Generierung pro Kriterium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Klassische Klausurkorrektur inkl. schwer lesbarer Handschriften und Rechenwege; Statistiken/Notenschnitt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Zielgruppe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Lehrkräfte einzeln + Schulen (Pilotschulen-Programm, EU-kofinanziert)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Schulen und Hochschulen (bis Uni-Niveau als Roadmap)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Reifegrad / Preis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&amp; kostenpflichtig: 19,90 €/Monat bzw. 199 €/Jahr; Schullizenzen 1.500–6.000 €/Jahr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Kostenlose Pilotphase; Pro- und Schullizenz „Coming Soon“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Roadmap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Naturwissenschaftliche Fächer, automatische Aufgabenblatt-Erstellung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MC/Zuordnungen/Lückentexte, fachspezifische Agenten, Niveaustufen bis Universität</w:t>
            </w:r>
          </w:p>
        </w:tc>
      </w:tr>
    </w:tbl>
    <w:p>
      <w:pPr>
        <w:pStyle w:val="Heading1"/>
      </w:pPr>
      <w:r>
        <w:t xml:space="preserve">2. Ansatz Datenschutz &amp; Compliance</w:t>
      </w:r>
    </w:p>
    <w:p>
      <w:pPr>
        <w:spacing w:after="160"/>
      </w:pPr>
      <w:r>
        <w:t xml:space="preserve">Die beiden Anbieter verfolgen fast entgegengesetzte Philosophien:</w:t>
      </w:r>
    </w:p>
    <w:p>
      <w:pPr>
        <w:spacing w:after="160"/>
      </w:pPr>
      <w:r>
        <w:rPr>
          <w:b/>
          <w:bCs/>
        </w:rPr>
        <w:t xml:space="preserve">KorrekturKumpel: „Compliance durch Datenvermeidung“. </w:t>
      </w:r>
      <w:r>
        <w:t xml:space="preserve">Das Unternehmen versucht, sich für Schülerdaten aus dem Anwendungsbereich der DSGVO herauszukonstruieren: Schüler-Nutzernamen und Schulzugehörigkeit werden clientseitig asymmetrisch verschlüsselt (Curve25519), der Private Key wird aus einer Seed-Phrase nur bei der Lehrkraft abgeleitet, Nutzernamen werden per Pattern-Matching vor dem Upload aus Lösungstexten entfernt, und es werden keine Schüler-Metadaten erfasst (keine IP-Adressen, Geräte-IDs, Zeitstempel). Daraus folgert KorrekturKumpel: wirksame Anonymisierung nach ErwGr. 26 DSGVO – bei Einzellizenzen liege keine Verarbeitung personenbezogener Schülerdaten vor, ein AVV sei nicht nötig. Bei Schullizenzen gibt es einen AVV nach Art. 28 DSGVO – aber nur wegen der Lehrkraftdaten.</w:t>
      </w:r>
    </w:p>
    <w:p>
      <w:pPr>
        <w:spacing w:after="160"/>
      </w:pPr>
      <w:r>
        <w:rPr>
          <w:b/>
          <w:bCs/>
        </w:rPr>
        <w:t xml:space="preserve">Gradias: „Compliance durch Institutionalisierung“. </w:t>
      </w:r>
      <w:r>
        <w:t xml:space="preserve">Gradias akzeptiert die volle regulatorische Last und macht daraus das Vertriebsargument: Schule/Hochschule ist Verantwortlicher, gradias Auftragsverarbeiter mit AVV nach Art. 28 DSGVO; Hosting ausschließlich bei Hetzner in Deutschland (kein US-Konzern, keine CLOUD-Act-Exposition), KI-Inferenz über Google Vertex AI in Frankfurt (europe-west3) mit CDPA, TIA, SCCs und CMEK; kein Training mit Kundendaten; empfohlener Pseudonym-Modus (Schüler-IDs, Realname bleibt in der Schule); definierte Löschfristen, Betroffenenrechte-Tooling, TOMs (RBAC, MFA, SSO, Audit-Trail, Pentests, RTO/RPO).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KorrekturKumpel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Gradias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Rollenmodell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Verantwortlicher (Einzellizenz-Lehrkräfte); AVV nur bei Schullizenz; für Schüler: angeblich gar keine DSGVO-Verarbeitung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Immer Auftragsverarbeiter, AVV mit jeder Einrichtung; Rechtsgrundlagen über Schulgesetze/Einwilligung (Art. 8 DSGVO bei Minderjährigen)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Schülerdaten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Anonymisierung per Kryptographie (Curve25519, clientseitig); Lösungstexte selbst aber unverschlüsselt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Pseudonymisierung (Schüler-ID); Namensersetzung vor KI-Versand; Realname-Zuordnung verbleibt in der Schule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Inc. (USA, gestützt auf DPF-Angemessenheitsbeschluss)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Hetzner DE (Falkenstein/Nürnberg), ISO 27001, C5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KI-Inferenz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Nicht offengelegt – weder Anbieter noch Standort des Sprachmodells genannt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Vertex AI Frankfurt (europe-west3), kein US-Routing, CDPA + SCCs + TIA + CMEK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 AI Act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Erwähnung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Explizite Selbsteinstufung als Hochrisiko-KI (Anhang III Nr. 3), Anbieter-Pflichten Art. 9–15 gemappt, CE-Kennzeichnung/EU-Datenbank, FRIA-Vorlage, Art.-4-Schulungen, Art.-5-Negativerklärung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Menschliche Aufsicht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Vertraglich: nur Vorkorrekturvorschläge, keine automatische Notengebung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Technisch erzwungen: Vollautomatisierung „absichtlich unmöglich“, Freigabe nur durch Lehrkraft (Art. 22 DSGVO / Art. 14 KI-VO)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Löschfristen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Jahre nach Abo-Ende; Handschrift-Scans sofort nach OCR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Nach Schul-/Prüfungsordnung; Logs 90 Tage, Backups 30 Tage, Löschung 30 Tage nach Vertragsende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Beigestellte Dokumente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Datenschutzerklärung + „Erklärung zur Nicht-Verarbeitung“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Komplettpaket: AVV, TOMs, VVT-Vorlage, DSFA/FRIA-Vorlagen, Elternbriefe, Zertifikate, CE-Erklärung</w:t>
            </w:r>
          </w:p>
        </w:tc>
      </w:tr>
    </w:tbl>
    <w:p>
      <w:pPr>
        <w:pStyle w:val="Heading1"/>
      </w:pPr>
      <w:r>
        <w:t xml:space="preserve">3. Bewertung der beiden Ansätze</w:t>
      </w:r>
    </w:p>
    <w:p>
      <w:pPr>
        <w:pStyle w:val="Heading2"/>
      </w:pPr>
      <w:r>
        <w:t xml:space="preserve">Stärken KorrekturKumpel</w:t>
      </w:r>
    </w:p>
    <w:p>
      <w:pPr>
        <w:spacing w:after="160"/>
      </w:pPr>
      <w:r>
        <w:t xml:space="preserve">Elegant für den Einzellizenz-Vertrieb: Eine Lehrkraft kann ohne Schulleitung und ohne AVV kaufen, weil angeblich keine Schülerdaten anfallen. Die Krypto-Architektur (Zero-Knowledge gegenüber dem Server, Seed-Phrase-Recovery) ist technisch durchdacht und ausführlich dokumentiert.</w:t>
      </w:r>
    </w:p>
    <w:p>
      <w:pPr>
        <w:pStyle w:val="Heading2"/>
      </w:pPr>
      <w:r>
        <w:t xml:space="preserve">Schwächen KorrekturKumpel</w:t>
      </w:r>
    </w:p>
    <w:p>
      <w:pPr>
        <w:spacing w:after="160"/>
      </w:pPr>
      <w:r>
        <w:t xml:space="preserve">Die Anonymisierungs-These ist rechtlich angreifbar – drei Punkte: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Lösungs-Freitexte werden unverschlüsselt gespeichert. Das Pattern-Matching entfernt nur den Nutzernamen, nicht andere identifizierende Inhalte im Text. Aufsichtsbehörden würden das eher als Pseudonymisierung werten, denn die Lehrkraft kann re-identifizieren.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 fehlt jede Angabe, welches KI-Modell wo die Schülertexte verarbeitet – für ein EdTech eine auffällige Lücke.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 EU AI Act wird komplett ignoriert, obwohl „Bewertung von Lernergebnissen“ ausdrücklich in Anhang III steht. KorrekturKumpel wäre nach derselben Logik wie gradias ein Hochrisiko-System.</w:t>
      </w:r>
    </w:p>
    <w:p>
      <w:pPr>
        <w:pStyle w:val="Heading2"/>
      </w:pPr>
      <w:r>
        <w:t xml:space="preserve">Stärken Gradias</w:t>
      </w:r>
    </w:p>
    <w:p>
      <w:pPr>
        <w:spacing w:after="160"/>
      </w:pPr>
      <w:r>
        <w:t xml:space="preserve">Der Compliance-Stack ist exakt auf die Beschaffungslogik öffentlicher Träger zugeschnitten (Datenschutzbeauftragte, Schulträger, FRIA-Pflicht öffentlicher Stellen). Die offensive AI-Act-Positionierung inkl. CE-/Konformitätsbewertung ist im Markt selten – ein echtes Differenzierungsmerkmal. Deutsche Datenresidenz ohne US-Speicherkette ist ein starkes Argument.</w:t>
      </w:r>
    </w:p>
    <w:p>
      <w:pPr>
        <w:pStyle w:val="Heading2"/>
      </w:pPr>
      <w:r>
        <w:t xml:space="preserve">Schwächen Gradias</w:t>
      </w:r>
    </w:p>
    <w:p>
      <w:pPr>
        <w:spacing w:after="160"/>
      </w:pPr>
      <w:r>
        <w:t xml:space="preserve">Schwergewichtigerer Vertriebsweg (Institution statt Einzellehrkraft); Google als KI-Subprozessor bleibt trotz TIA/SCC/CMEK ein US-Mutterkonzern-Thema, das KK-artige Architekturen vermeiden; Pro-/Schullizenz und Preise sind noch nicht verfügbar. Wo KorrekturKumpel kryptographisch garantiert, dass der Betreiber selbst nichts lesen kann, beruht der gradias-Schutz auf organisatorisch-vertraglichen Maßnahmen – bei einem Server-Breach wären pseudonymisierte Klausurdaten lesbar.</w:t>
      </w:r>
    </w:p>
    <w:p>
      <w:pPr>
        <w:pStyle w:val="Heading1"/>
      </w:pPr>
      <w:r>
        <w:t xml:space="preserve">4. Fazit</w:t>
      </w:r>
    </w:p>
    <w:p>
      <w:pPr>
        <w:spacing w:after="160"/>
      </w:pPr>
      <w:r>
        <w:t xml:space="preserve">KorrekturKumpel optimiert auf </w:t>
      </w:r>
      <w:r>
        <w:rPr>
          <w:b/>
          <w:bCs/>
        </w:rPr>
        <w:t xml:space="preserve">minimale Datenexposition und reibungslosen Einzelvertrieb</w:t>
      </w:r>
      <w:r>
        <w:t xml:space="preserve"> mit einer mutigen, aber juristisch dünnen „keine DSGVO anwendbar“-These und blinden Flecken bei KI-Transparenz und AI Act. Gradias optimiert auf </w:t>
      </w:r>
      <w:r>
        <w:rPr>
          <w:b/>
          <w:bCs/>
        </w:rPr>
        <w:t xml:space="preserve">institutionelle Beschaffbarkeit</w:t>
      </w:r>
      <w:r>
        <w:t xml:space="preserve"> mit dem vollständigsten DSGVO-und-AI-Act-Paket, trägt dafür aber mehr regulatorische Last und die Google-Abhängigkeit.</w:t>
      </w:r>
    </w:p>
    <w:p>
      <w:pPr>
        <w:spacing w:after="160"/>
      </w:pPr>
      <w:r>
        <w:t xml:space="preserve">Für gradias wäre ein clientseitiger Pseudonymisierungs-/Verschlüsselungsbaustein nach dem Vorbild von KorrekturKumpel eine sinnvolle Ergänzung; umgekehrt fehlt KorrekturKumpel genau das AI-Act- und Subprozessor-Transparenzpaket, das gradias bereits hat.</w:t>
      </w:r>
    </w:p>
    <w:p>
      <w:pPr>
        <w:pStyle w:val="Heading1"/>
      </w:pPr>
      <w:r>
        <w:t xml:space="preserve">Quellen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e4mexottzc4mygaii56vw">
        <w:r>
          <w:rPr>
            <w:rStyle w:val="Hyperlink"/>
          </w:rPr>
          <w:t xml:space="preserve">korrekturkumpel.de (Website)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gyr7gzuq9yaqdaa9jl74">
        <w:r>
          <w:rPr>
            <w:rStyle w:val="Hyperlink"/>
          </w:rPr>
          <w:t xml:space="preserve">KorrekturKumpel – Datenschutzerklärung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xmdbc2hygg3th8turjby">
        <w:r>
          <w:rPr>
            <w:rStyle w:val="Hyperlink"/>
          </w:rPr>
          <w:t xml:space="preserve">KorrekturKumpel – Datenschutz für Lernende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r_au7jsxijbrxybzz2bmn">
        <w:r>
          <w:rPr>
            <w:rStyle w:val="Hyperlink"/>
          </w:rPr>
          <w:t xml:space="preserve">KorrekturKumpel – Nutzungsbedingungen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zphx6ded9idyvfreijo20">
        <w:r>
          <w:rPr>
            <w:rStyle w:val="Hyperlink"/>
          </w:rPr>
          <w:t xml:space="preserve">gradias.ai (Website)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2ye0muxrk95pc5iohshoz">
        <w:r>
          <w:rPr>
            <w:rStyle w:val="Hyperlink"/>
          </w:rPr>
          <w:t xml:space="preserve">gradias – Datenschutz und KI-Compliance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xrd9zbqeytviwmxq--b3h">
        <w:r>
          <w:rPr>
            <w:rStyle w:val="Hyperlink"/>
          </w:rPr>
          <w:t xml:space="preserve">gradias – Imprint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4mexottzc4mygaii56vw" Type="http://schemas.openxmlformats.org/officeDocument/2006/relationships/hyperlink" Target="https://korrekturkumpel.de/" TargetMode="External"/><Relationship Id="rIdggyr7gzuq9yaqdaa9jl74" Type="http://schemas.openxmlformats.org/officeDocument/2006/relationships/hyperlink" Target="https://korrekturkumpel.de/privacy" TargetMode="External"/><Relationship Id="rIdnxmdbc2hygg3th8turjby" Type="http://schemas.openxmlformats.org/officeDocument/2006/relationships/hyperlink" Target="https://korrekturkumpel.de/students_privacy" TargetMode="External"/><Relationship Id="rIdr_au7jsxijbrxybzz2bmn" Type="http://schemas.openxmlformats.org/officeDocument/2006/relationships/hyperlink" Target="https://korrekturkumpel.de/agb" TargetMode="External"/><Relationship Id="rIdzphx6ded9idyvfreijo20" Type="http://schemas.openxmlformats.org/officeDocument/2006/relationships/hyperlink" Target="https://www.gradias.ai/" TargetMode="External"/><Relationship Id="rId2ye0muxrk95pc5iohshoz" Type="http://schemas.openxmlformats.org/officeDocument/2006/relationships/hyperlink" Target="https://www.gradias.ai/compliance" TargetMode="External"/><Relationship Id="rIdxrd9zbqeytviwmxq--b3h" Type="http://schemas.openxmlformats.org/officeDocument/2006/relationships/hyperlink" Target="https://www.gradias.ai/imprin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2026-06-10T16:22:02.996Z</dcterms:created>
  <dcterms:modified xsi:type="dcterms:W3CDTF">2026-06-10T16:22:02.996Z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