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9b If real submissions are genuinely anonymised before upload, does a teacher still need school approval for a free, non-production product test or development trial?</w:t>
      </w:r>
    </w:p>
    <w:p>
      <w:pPr>
        <w:keepLines/>
      </w:pPr>
      <w:r>
        <w:rPr>
          <w:b w:val="0"/>
        </w:rPr>
      </w:r>
      <w:r>
        <w:rPr>
          <w:b/>
        </w:rPr>
        <w:t>A new approval can be unnecessary, but true anonymisation alone does not remove every approval requirement.</w:t>
      </w:r>
      <w:r>
        <w:rPr>
          <w:b w:val="0"/>
        </w:rPr>
        <w:t xml:space="preserve"> Assuming the scrambling achieves genuine anonymisation, the teacher can conduct the trial without an additional school approval if existing authority already permits preparing and reusing that material and no applicable rule requires separate approval for the trial.</w:t>
      </w:r>
    </w:p>
    <w:p>
      <w:pPr>
        <w:keepLines/>
      </w:pPr>
      <w:r>
        <w:rPr>
          <w:b w:val="0"/>
        </w:rPr>
      </w:r>
      <w:r>
        <w:rPr>
          <w:b/>
        </w:rPr>
        <w:t>The anonymity standard is contextual, not a fixed probability percentage.</w:t>
      </w:r>
      <w:r>
        <w:rPr>
          <w:b w:val="0"/>
        </w:rPr>
        <w:t xml:space="preserve"> Identification must not be reasonably likely using available means, considering other information, time, cost and technology. The assessment includes matching against original scripts, retained links and metadata. The answer below assumes that the relevant legal standard is actually met before the provider receives the trial material.</w:t>
      </w:r>
    </w:p>
    <w:p>
      <w:pPr>
        <w:keepLines/>
      </w:pPr>
      <w:r>
        <w:rPr>
          <w:b w:val="0"/>
        </w:rPr>
      </w:r>
      <w:r>
        <w:rPr>
          <w:b/>
        </w:rPr>
        <w:t>Germany and UK: the subsequent anonymous-data trial falls outside GDPR for those inputs.</w:t>
      </w:r>
      <w:r>
        <w:rPr>
          <w:b w:val="0"/>
        </w:rPr>
        <w:t xml:space="preserve"> Processing genuinely anonymous submissions does not itself require a GDPR lawful basis, student consent or an Article 28 DPA for those submissions. GDPR does not impose a separate school-approval requirement for that anonymous processing. Personal data used elsewhere in the service, such as account details, must be assessed separately.</w:t>
      </w:r>
    </w:p>
    <w:p>
      <w:pPr>
        <w:keepLines/>
      </w:pPr>
      <w:r>
        <w:rPr>
          <w:b w:val="0"/>
        </w:rPr>
      </w:r>
      <w:r>
        <w:rPr>
          <w:b/>
        </w:rPr>
        <w:t>The earlier anonymisation step remains regulated.</w:t>
      </w:r>
      <w:r>
        <w:rPr>
          <w:b w:val="0"/>
        </w:rPr>
        <w:t xml:space="preserve"> Accessing, copying and scrambling identifiable school records is personal-data processing. It needs a lawful basis and must stay within the responsible controller’s instructions. Existing instructions or delegated authority can cover this; a new signature is not automatically necessary. However, permission to mark scripts does not automatically include extracting and anonymising them for an external product-development trial. If that activity is outside the teacher’s authority, approval is still needed before that step. Later anonymity does not cure an unauthorised use of the originals.</w:t>
      </w:r>
    </w:p>
    <w:p>
      <w:pPr>
        <w:keepLines/>
      </w:pPr>
      <w:r>
        <w:rPr>
          <w:b w:val="0"/>
        </w:rPr>
      </w:r>
      <w:r>
        <w:rPr>
          <w:b/>
        </w:rPr>
        <w:t>US: FERPA permits properly de-identified disclosure without student or parental consent.</w:t>
      </w:r>
      <w:r>
        <w:rPr>
          <w:b w:val="0"/>
        </w:rPr>
        <w:t xml:space="preserve"> Under 34 CFR 99.31(b)(1), the institution or other authorised releasing party must reasonably determine that identification is not possible from the release, multiple releases and other reasonably available information. This removes the relevant FERPA consent requirement; it does not independently grant a teacher authority to release institutional records.</w:t>
      </w:r>
    </w:p>
    <w:p>
      <w:pPr>
        <w:keepLines/>
      </w:pPr>
      <w:r>
        <w:rPr>
          <w:b w:val="0"/>
        </w:rPr>
      </w:r>
      <w:r>
        <w:rPr>
          <w:b/>
        </w:rPr>
        <w:t>Other approval rules can still apply.</w:t>
      </w:r>
      <w:r>
        <w:rPr>
          <w:b w:val="0"/>
        </w:rPr>
        <w:t xml:space="preserve"> Confidentiality, copyright, employment duties, school or university IT policies and rules for external research or product trials may require permission even for anonymous material. Free access and trial-only use do not override them. If preparation and reuse are already lawfully permitted and none of these rules requires a further decision, the teacher need not obtain a new school approval solely because the trial uses AI.</w:t>
      </w:r>
    </w:p>
    <w:p>
      <w:pPr>
        <w:spacing w:after="80" w:line="240" w:lineRule="auto"/>
      </w:pPr>
      <w:hyperlink r:id="rId9">
        <w:r>
          <w:rPr>
            <w:color w:val="444444"/>
            <w:sz w:val="17"/>
            <w:u w:val="single"/>
          </w:rPr>
          <w:t>EU GDPR, recital 26 and Articles 5–6 and 29</w:t>
        </w:r>
      </w:hyperlink>
    </w:p>
    <w:p>
      <w:pPr>
        <w:spacing w:after="80" w:line="240" w:lineRule="auto"/>
      </w:pPr>
      <w:hyperlink r:id="rId40">
        <w:r>
          <w:rPr>
            <w:color w:val="444444"/>
            <w:sz w:val="17"/>
            <w:u w:val="single"/>
          </w:rPr>
          <w:t>ICO, anonymous information and anonymisation as personal-data processing</w:t>
        </w:r>
      </w:hyperlink>
    </w:p>
    <w:p>
      <w:pPr>
        <w:spacing w:after="80" w:line="240" w:lineRule="auto"/>
      </w:pPr>
      <w:hyperlink r:id="rId41">
        <w:r>
          <w:rPr>
            <w:color w:val="444444"/>
            <w:sz w:val="17"/>
            <w:u w:val="single"/>
          </w:rPr>
          <w:t>ICO, the contextual test for effective anonymisation</w:t>
        </w:r>
      </w:hyperlink>
    </w:p>
    <w:p>
      <w:pPr>
        <w:spacing w:after="80" w:line="240" w:lineRule="auto"/>
      </w:pPr>
      <w:hyperlink r:id="rId34">
        <w:r>
          <w:rPr>
            <w:color w:val="444444"/>
            <w:sz w:val="17"/>
            <w:u w:val="single"/>
          </w:rPr>
          <w:t>NRW education guidance, legal requirements for anonymising original records</w:t>
        </w:r>
      </w:hyperlink>
    </w:p>
    <w:p>
      <w:pPr>
        <w:spacing w:after="80" w:line="240" w:lineRule="auto"/>
      </w:pPr>
      <w:hyperlink r:id="rId15">
        <w:r>
          <w:rPr>
            <w:color w:val="444444"/>
            <w:sz w:val="17"/>
            <w:u w:val="single"/>
          </w:rPr>
          <w:t>FERPA, 34 CFR 99.31(b)(1), de-identified records and information</w:t>
        </w:r>
      </w:hyperlink>
    </w:p>
    <w:p>
      <w:pPr>
        <w:pStyle w:val="Heading1"/>
        <w:pageBreakBefore/>
      </w:pPr>
      <w:r>
        <w:t>9c Do university professors need university approval to use an AI exam grading service, or may they choose the software independently?</w:t>
      </w:r>
    </w:p>
    <w:p>
      <w:pPr>
        <w:keepLines/>
      </w:pPr>
      <w:r>
        <w:rPr>
          <w:b w:val="0"/>
        </w:rPr>
      </w:r>
      <w:r>
        <w:rPr>
          <w:b/>
        </w:rPr>
        <w:t>A separate approval is not automatically required for every software choice, but professorial status is not a general exemption.</w:t>
      </w:r>
      <w:r>
        <w:rPr>
          <w:b w:val="0"/>
        </w:rPr>
        <w:t xml:space="preserve"> A professor may choose tools within the applicable university rules and their actual authority. Discretion over teaching or marking does not automatically authorise external disclosure of student work or acceptance of contracts on the university’s behalf.</w:t>
      </w:r>
    </w:p>
    <w:p>
      <w:pPr>
        <w:keepLines/>
      </w:pPr>
      <w:r>
        <w:rPr>
          <w:b w:val="0"/>
        </w:rPr>
      </w:r>
      <w:r>
        <w:rPr>
          <w:b/>
        </w:rPr>
        <w:t>Germany and UK:</w:t>
      </w:r>
      <w:r>
        <w:rPr>
          <w:b w:val="0"/>
        </w:rPr>
        <w:t xml:space="preserve"> Where the university is the controller, the service must fit its lawful processing arrangements, documented instructions and required processor terms. Existing approval, a central agreement or delegated authority may cover the professor’s use. If the proposed service or purpose falls outside that authority, the professor must obtain the required institutional decision before uploading identifiable scripts. University examination rules also continue to govern the professor’s own assessment responsibility.</w:t>
      </w:r>
    </w:p>
    <w:p>
      <w:pPr>
        <w:keepLines/>
      </w:pPr>
      <w:r>
        <w:rPr>
          <w:b w:val="0"/>
        </w:rPr>
      </w:r>
      <w:r>
        <w:rPr>
          <w:b/>
        </w:rPr>
        <w:t>US:</w:t>
      </w:r>
      <w:r>
        <w:rPr>
          <w:b w:val="0"/>
        </w:rPr>
        <w:t xml:space="preserve"> A FERPA-covered university must meet the applicable disclosure conditions. Under the school-official exception, the vendor must perform the qualifying institutional function and remain under the university’s direct control over use and maintenance of records. A professor’s personal registration alone does not establish this. Applicable state law and university contracting, IT and assessment rules may impose further requirements.</w:t>
      </w:r>
    </w:p>
    <w:p>
      <w:pPr>
        <w:keepLines/>
      </w:pPr>
      <w:r>
        <w:rPr>
          <w:b w:val="0"/>
        </w:rPr>
      </w:r>
      <w:r>
        <w:rPr>
          <w:b/>
        </w:rPr>
        <w:t>Independent use can be permissible</w:t>
      </w:r>
      <w:r>
        <w:rPr>
          <w:b w:val="0"/>
        </w:rPr>
        <w:t xml:space="preserve"> where university rules allow that choice and existing arrangements cover the actual data, provider and purpose. Private testing with self-created examples, or a lawfully authorised trial using genuinely anonymous material, can avoid particular student-data requirements; confidentiality, copyright and applicable institutional rules still matter. See Questions 9a and 9b. A personal account or payment from the professor’s own funds does not itself remove these obligations.</w:t>
      </w:r>
    </w:p>
    <w:p>
      <w:pPr>
        <w:keepLines/>
      </w:pPr>
      <w:r>
        <w:rPr>
          <w:b w:val="0"/>
        </w:rPr>
      </w:r>
      <w:r>
        <w:rPr>
          <w:b/>
        </w:rPr>
        <w:t>Apply higher-education rules to the actual institution.</w:t>
      </w:r>
      <w:r>
        <w:rPr>
          <w:b w:val="0"/>
        </w:rPr>
        <w:t xml:space="preserve"> A school-specific approval rule or a K–12 statute does not automatically apply to universities. In England, OfS condition B4 governs assessment at registered higher-education providers; Ofqual’s rules apply within the scope of its regulated qualifications. Neither professorial discretion nor an institution-approved tool permits disregarding applicable examination requirements.</w:t>
      </w:r>
    </w:p>
    <w:p>
      <w:pPr>
        <w:spacing w:after="80" w:line="240" w:lineRule="auto"/>
      </w:pPr>
      <w:hyperlink r:id="rId9">
        <w:r>
          <w:rPr>
            <w:color w:val="444444"/>
            <w:sz w:val="17"/>
            <w:u w:val="single"/>
          </w:rPr>
          <w:t>EU GDPR, Articles 5–6, 24 and 28–29</w:t>
        </w:r>
      </w:hyperlink>
    </w:p>
    <w:p>
      <w:pPr>
        <w:spacing w:after="80" w:line="240" w:lineRule="auto"/>
      </w:pPr>
      <w:hyperlink r:id="rId16">
        <w:r>
          <w:rPr>
            <w:color w:val="444444"/>
            <w:sz w:val="17"/>
            <w:u w:val="single"/>
          </w:rPr>
          <w:t>UK GDPR, Articles 5–6, 24 and 28–29</w:t>
        </w:r>
      </w:hyperlink>
    </w:p>
    <w:p>
      <w:pPr>
        <w:spacing w:after="80" w:line="240" w:lineRule="auto"/>
      </w:pPr>
      <w:hyperlink r:id="rId15">
        <w:r>
          <w:rPr>
            <w:color w:val="444444"/>
            <w:sz w:val="17"/>
            <w:u w:val="single"/>
          </w:rPr>
          <w:t>FERPA, 34 CFR §§ 99.31(a)(1) and 99.33</w:t>
        </w:r>
      </w:hyperlink>
    </w:p>
    <w:p>
      <w:pPr>
        <w:spacing w:after="80" w:line="240" w:lineRule="auto"/>
      </w:pPr>
      <w:hyperlink r:id="rId42">
        <w:r>
          <w:rPr>
            <w:color w:val="444444"/>
            <w:sz w:val="17"/>
            <w:u w:val="single"/>
          </w:rPr>
          <w:t>Office for Students, condition B4 on assessment and awards</w:t>
        </w:r>
      </w:hyperlink>
    </w:p>
    <w:p>
      <w:pPr>
        <w:pStyle w:val="Heading1"/>
        <w:pageBreakBefore/>
      </w:pPr>
      <w:r>
        <w:t>9d Once the service meets legal and regulatory requirements, can the school headmaster or university decide to use it, or are other approvals required?</w:t>
      </w:r>
    </w:p>
    <w:p>
      <w:pPr>
        <w:keepLines/>
      </w:pPr>
      <w:r>
        <w:rPr>
          <w:b w:val="0"/>
        </w:rPr>
      </w:r>
      <w:r>
        <w:rPr>
          <w:b/>
        </w:rPr>
        <w:t>Yes, if the decision falls within its authority and all requirements for the actual deployment have been met.</w:t>
      </w:r>
      <w:r>
        <w:rPr>
          <w:b w:val="0"/>
        </w:rPr>
        <w:t xml:space="preserve"> The existing documents identify no universal additional ministry or regulator approval merely because grading assistance uses AI. However, confirming the provider’s compliance does not establish that the institution has completed its own required decisions and procedures.</w:t>
      </w:r>
    </w:p>
    <w:p>
      <w:pPr>
        <w:keepLines/>
      </w:pPr>
      <w:r>
        <w:rPr>
          <w:b w:val="0"/>
        </w:rPr>
      </w:r>
      <w:r>
        <w:rPr>
          <w:b/>
        </w:rPr>
        <w:t>The authorised decision-maker matters.</w:t>
      </w:r>
      <w:r>
        <w:rPr>
          <w:b w:val="0"/>
        </w:rPr>
        <w:t xml:space="preserve"> A headmaster may decide within delegated powers; a school board, district, trust, education authority or other responsible body may hold the relevant authority instead. A university must follow its own allocation of contracting, IT and examination powers. Existing institutional approval or a central agreement can already cover the proposed use. Any applicable purchasing procedure concerns acquiring the service; it is not a general permission requirement for marking with software.</w:t>
      </w:r>
    </w:p>
    <w:p>
      <w:pPr>
        <w:keepLines/>
      </w:pPr>
      <w:r>
        <w:rPr>
          <w:b w:val="0"/>
        </w:rPr>
      </w:r>
      <w:r>
        <w:rPr>
          <w:b/>
        </w:rPr>
        <w:t>Germany:</w:t>
      </w:r>
      <w:r>
        <w:rPr>
          <w:b w:val="0"/>
        </w:rPr>
        <w:t xml:space="preserve"> Applicable Land and examination rules still govern who may approve the use and how assessment is conducted. A headmaster or university cannot waive a prescribed examiner or marking procedure. Required staff participation must also be completed: for example, § 72 LPVG NRW for covered technical monitoring of employees, or § 87(1) no. 6 BetrVG for covered private employers. These requirements depend on their scope and the system’s functions; they do not apply to every AI tool automatically.</w:t>
      </w:r>
    </w:p>
    <w:p>
      <w:pPr>
        <w:keepLines/>
      </w:pPr>
      <w:r>
        <w:rPr>
          <w:b w:val="0"/>
        </w:rPr>
      </w:r>
      <w:r>
        <w:rPr>
          <w:b/>
        </w:rPr>
        <w:t>UK:</w:t>
      </w:r>
      <w:r>
        <w:rPr>
          <w:b w:val="0"/>
        </w:rPr>
        <w:t xml:space="preserve"> For regulated qualifications, obtain any permission required by the awarding organisation’s assessment arrangements. Institutional approval alone cannot change those arrangements or permit sole AI marking of Ofqual-regulated assessments in England. University use must also remain within applicable examination rules; OfS condition B4 applies to registered higher-education providers in England.</w:t>
      </w:r>
    </w:p>
    <w:p>
      <w:pPr>
        <w:keepLines/>
      </w:pPr>
      <w:r>
        <w:rPr>
          <w:b w:val="0"/>
        </w:rPr>
      </w:r>
      <w:r>
        <w:rPr>
          <w:b/>
        </w:rPr>
        <w:t>US:</w:t>
      </w:r>
      <w:r>
        <w:rPr>
          <w:b w:val="0"/>
        </w:rPr>
        <w:t xml:space="preserve"> Follow applicable state and district assessment policies and institutional contracting authority. For FERPA-covered records disclosed under the school-official exception, the institution must retain the required direct control over the vendor. A principal’s decision cannot replace a board or other institutional decision where the applicable arrangements reserve that authority.</w:t>
      </w:r>
    </w:p>
    <w:p>
      <w:pPr>
        <w:keepLines/>
      </w:pPr>
      <w:r>
        <w:rPr>
          <w:b w:val="0"/>
        </w:rPr>
      </w:r>
      <w:r>
        <w:rPr>
          <w:b/>
        </w:rPr>
        <w:t>Regulator consultation is exceptional, not routine.</w:t>
      </w:r>
      <w:r>
        <w:rPr>
          <w:b w:val="0"/>
        </w:rPr>
        <w:t xml:space="preserve"> Under EU and UK GDPR Articles 35–36, consult the supervisory authority before processing where a required data-protection impact assessment leaves a high risk that cannot be adequately mitigated. If the competent institution has completed all triggered approvals and procedures, the materials identify no further general AI-use approval to obtain.</w:t>
      </w:r>
    </w:p>
    <w:p>
      <w:pPr>
        <w:spacing w:after="80" w:line="240" w:lineRule="auto"/>
      </w:pPr>
      <w:hyperlink r:id="rId9">
        <w:r>
          <w:rPr>
            <w:color w:val="444444"/>
            <w:sz w:val="17"/>
            <w:u w:val="single"/>
          </w:rPr>
          <w:t>EU GDPR, Articles 24, 28 and 35–36</w:t>
        </w:r>
      </w:hyperlink>
    </w:p>
    <w:p>
      <w:pPr>
        <w:spacing w:after="80" w:line="240" w:lineRule="auto"/>
      </w:pPr>
      <w:hyperlink r:id="rId16">
        <w:r>
          <w:rPr>
            <w:color w:val="444444"/>
            <w:sz w:val="17"/>
            <w:u w:val="single"/>
          </w:rPr>
          <w:t>UK GDPR, Articles 24, 28 and 35–36</w:t>
        </w:r>
      </w:hyperlink>
    </w:p>
    <w:p>
      <w:pPr>
        <w:spacing w:after="80" w:line="240" w:lineRule="auto"/>
      </w:pPr>
      <w:hyperlink r:id="rId43">
        <w:r>
          <w:rPr>
            <w:color w:val="444444"/>
            <w:sz w:val="17"/>
            <w:u w:val="single"/>
          </w:rPr>
          <w:t>LPVG NRW, § 72</w:t>
        </w:r>
      </w:hyperlink>
    </w:p>
    <w:p>
      <w:pPr>
        <w:spacing w:after="80" w:line="240" w:lineRule="auto"/>
      </w:pPr>
      <w:hyperlink r:id="rId44">
        <w:r>
          <w:rPr>
            <w:color w:val="444444"/>
            <w:sz w:val="17"/>
            <w:u w:val="single"/>
          </w:rPr>
          <w:t>BetrVG, § 87(1) no. 6</w:t>
        </w:r>
      </w:hyperlink>
    </w:p>
    <w:p>
      <w:pPr>
        <w:spacing w:after="80" w:line="240" w:lineRule="auto"/>
      </w:pPr>
      <w:hyperlink r:id="rId45">
        <w:r>
          <w:rPr>
            <w:color w:val="444444"/>
            <w:sz w:val="17"/>
            <w:u w:val="single"/>
          </w:rPr>
          <w:t>Ofqual General Conditions and assessment arrangements</w:t>
        </w:r>
      </w:hyperlink>
    </w:p>
    <w:p>
      <w:pPr>
        <w:spacing w:after="80" w:line="240" w:lineRule="auto"/>
      </w:pPr>
      <w:hyperlink r:id="rId42">
        <w:r>
          <w:rPr>
            <w:color w:val="444444"/>
            <w:sz w:val="17"/>
            <w:u w:val="single"/>
          </w:rPr>
          <w:t>Office for Students, condition B4</w:t>
        </w:r>
      </w:hyperlink>
    </w:p>
    <w:p>
      <w:pPr>
        <w:spacing w:after="80" w:line="240" w:lineRule="auto"/>
      </w:pPr>
      <w:hyperlink r:id="rId15">
        <w:r>
          <w:rPr>
            <w:color w:val="444444"/>
            <w:sz w:val="17"/>
            <w:u w:val="single"/>
          </w:rPr>
          <w:t>FERPA, 34 CFR §§ 99.31(a)(1) and 99.33</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 Id="rId38" Type="http://schemas.openxmlformats.org/officeDocument/2006/relationships/hyperlink" Target="https://ico.org.uk/for-organisations/uk-gdpr-guidance-and-resources/artificial-intelligence/guidance-on-ai-and-data-protection/how-do-we-ensure-lawfulness-in-ai/" TargetMode="External"/><Relationship Id="rId39" Type="http://schemas.openxmlformats.org/officeDocument/2006/relationships/hyperlink" Target="https://studentprivacy.ed.gov/faq/may-educational-agency-or-institution-disclose-personally-identifiable-information-students" TargetMode="External"/><Relationship Id="rId40" Type="http://schemas.openxmlformats.org/officeDocument/2006/relationships/hyperlink" Target="https://ico.org.uk/for-organisations/uk-gdpr-guidance-and-resources/data-sharing/anonymisation/introduction-to-anonymisation/" TargetMode="External"/><Relationship Id="rId41" Type="http://schemas.openxmlformats.org/officeDocument/2006/relationships/hyperlink" Target="https://ico.org.uk/for-organisations/uk-gdpr-guidance-and-resources/data-sharing/anonymisation/how-do-we-ensure-anonymisation-is-effective/" TargetMode="External"/><Relationship Id="rId42" Type="http://schemas.openxmlformats.org/officeDocument/2006/relationships/hyperlink" Target="https://www.officeforstudents.org.uk/for-providers/quality-and-standards/how-we-regulate-quality-and-standards/conditions-of-registration/condition-b4-assessment-and-awards/" TargetMode="External"/><Relationship Id="rId43" Type="http://schemas.openxmlformats.org/officeDocument/2006/relationships/hyperlink" Target="https://recht.nrw.de/lmi/owa/pl_text_anzeigen?v_id=720031009101436847" TargetMode="External"/><Relationship Id="rId44" Type="http://schemas.openxmlformats.org/officeDocument/2006/relationships/hyperlink" Target="https://www.gesetze-im-internet.de/betrvg/__87.html" TargetMode="External"/><Relationship Id="rId45" Type="http://schemas.openxmlformats.org/officeDocument/2006/relationships/hyperlink" Target="https://www.gov.uk/guidance/ofqual-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