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Rechtliche Anforderungen an KI-gestützte Prüfungsbewertung in Deutschland</w:t>
      </w:r>
    </w:p>
    <w:p>
      <w:pPr>
        <w:pStyle w:val="Subtitle"/>
      </w:pPr>
      <w:r>
        <w:t>Stand 12. September 2026</w:t>
      </w:r>
    </w:p>
    <w:p>
      <w:pPr>
        <w:pStyle w:val="Heading1"/>
      </w:pPr>
      <w:r>
        <w:t>1 Datenschutz-Grundverordnung</w:t>
      </w:r>
    </w:p>
    <w:p>
      <w:pPr>
        <w:keepNext/>
        <w:spacing w:after="80" w:line="240" w:lineRule="auto"/>
      </w:pPr>
      <w:hyperlink r:id="rId9">
        <w:r>
          <w:rPr>
            <w:color w:val="444444"/>
            <w:sz w:val="17"/>
            <w:u w:val="single"/>
          </w:rPr>
          <w:t>Verordnung (EU) 2016/679, insbesondere Art. 4–6, 9, 12–22, 24–39 und 44–49</w:t>
        </w:r>
      </w:hyperlink>
    </w:p>
    <w:p>
      <w:r>
        <w:rPr>
          <w:b w:val="0"/>
        </w:rPr>
      </w:r>
      <w:r>
        <w:rPr>
          <w:b/>
        </w:rPr>
        <w:t>Schule oder Hochschule als Verantwortlicher – Art. 5, 6 und 24:</w:t>
      </w:r>
      <w:r>
        <w:rPr>
          <w:b w:val="0"/>
        </w:rPr>
        <w:t xml:space="preserve"> Vor dem Hochladen festlegen und dokumentieren, welche Prüfungsarbeiten, Bewertungskriterien und Ergebnisse für welchen schulischen Zweck verarbeitet werden, wer zugreifen darf und auf welcher Rechtsgrundlage dies geschieht. Bei öffentlichen Einrichtungen kommt Art. 6 Abs. 1 Buchst. e in Verbindung mit der einschlägigen landesrechtlichen Aufgaben- und Datenverarbeitungsvorschrift in Betracht. Diese muss auch die konkrete externe Verarbeitung tragen; die bloße Nützlichkeit der KI genügt nicht. Art. 6 Abs. 1 Buchst. f steht Behörden für ihre Aufgabenerfüllung nicht zur Verfügung.</w:t>
      </w:r>
    </w:p>
    <w:p>
      <w:r>
        <w:rPr>
          <w:b w:val="0"/>
        </w:rPr>
      </w:r>
      <w:r>
        <w:rPr>
          <w:b/>
        </w:rPr>
        <w:t>Anbieter und Einrichtung – Art. 4 Nr. 1 und 5 sowie Art. 5:</w:t>
      </w:r>
      <w:r>
        <w:rPr>
          <w:b w:val="0"/>
        </w:rPr>
        <w:t xml:space="preserve"> Prüfungsantworten, Randbemerkungen, Noten und zuordenbare KI-Ausgaben als personenbezogene Daten behandeln. Namen möglichst vor Übermittlung entfernen und Zuordnungsschlüssel getrennt halten. Solange eine Person mit vernünftigerweise einsetzbaren Mitteln identifizierbar bleibt, gelten die Datenschutzpflichten weiter. Handschriftentranskription ist nicht schon deshalb biometrische Identifizierung nach Art. 9.</w:t>
      </w:r>
    </w:p>
    <w:p>
      <w:r>
        <w:rPr>
          <w:b/>
        </w:rPr>
        <w:t xml:space="preserve">Einrichtung und Lehrkraft – Art. 5, 6 und 29 sowie Erwägungsgrund 26: </w:t>
      </w:r>
      <w:r>
        <w:rPr>
          <w:b w:val="0"/>
        </w:rPr>
        <w:t>Originalarbeiten nur auf einer tragfähigen Rechtsgrundlage und innerhalb der Weisungen des Verantwortlichen für einen externen Test kopieren oder anonymisieren. Bereits erteilte Befugnisse können dies abdecken; die Befugnis zur Benotung umfasst nicht automatisch einen Produktentwicklungstest. Für anschließend tatsächlich anonyme Eingaben entfallen die DSGVO-Pflichten einschließlich einer Auftragsverarbeitungsvereinbarung für diese Eingaben. Kontodaten und andere personenbezogene Daten gesondert prüfen. Vertraulichkeits-, Urheberrechts- und dienstliche Nutzungsregeln weiter einhalten; kostenlose Testnutzung ersetzt eine danach erforderliche Freigabe nicht.</w:t>
      </w:r>
    </w:p>
    <w:p>
      <w:r>
        <w:rPr>
          <w:b w:val="0"/>
        </w:rPr>
      </w:r>
      <w:r>
        <w:rPr>
          <w:b/>
        </w:rPr>
        <w:t>Einrichtung – Art. 6, 7 und 8:</w:t>
      </w:r>
      <w:r>
        <w:rPr>
          <w:b w:val="0"/>
        </w:rPr>
        <w:t xml:space="preserve"> Wird Einwilligung verwendet, muss sie informiert, nachweisbar, zweckbezogen, freiwillig und widerruflich sein. Die Verweigerung darf keinen unangemessenen Nachteil auslösen. Art. 8 betrifft nur unmittelbar einem Kind angebotene Dienste der Informationsgesellschaft auf Einwilligungsbasis; in Deutschland ist dann unter 16 Jahren die Zustimmung des Sorgeberechtigten erforderlich. Art. 8 ist keine allgemeine Zustimmungspflicht für jede Verarbeitung von Schülerdaten.</w:t>
      </w:r>
    </w:p>
    <w:p>
      <w:r>
        <w:rPr>
          <w:b w:val="0"/>
        </w:rPr>
      </w:r>
      <w:r>
        <w:rPr>
          <w:b/>
        </w:rPr>
        <w:t>Einrichtung und Anbieter – Art. 9:</w:t>
      </w:r>
      <w:r>
        <w:rPr>
          <w:b w:val="0"/>
        </w:rPr>
        <w:t xml:space="preserve"> Werden etwa Gesundheitsdaten, Angaben zu Religion oder ethnischer Herkunft verarbeitet, zusätzlich zur Rechtsgrundlage nach Art. 6 eine passende Ausnahme nach Art. 9 Abs. 2 und gegebenenfalls die dazugehörige gesetzliche Grundlage feststellen. Für die Korrektur nicht erforderliche Angaben vor der Übermittlung entfernen. Ein Nachteilsausgleich rechtfertigt nicht automatisch die Übermittlung einer Diagnose.</w:t>
      </w:r>
    </w:p>
    <w:p>
      <w:r>
        <w:rPr>
          <w:b w:val="0"/>
        </w:rPr>
      </w:r>
      <w:r>
        <w:rPr>
          <w:b/>
        </w:rPr>
        <w:t>Einrichtung und Anbieter – Art. 28 Abs. 1, 3 und 9:</w:t>
      </w:r>
      <w:r>
        <w:rPr>
          <w:b w:val="0"/>
        </w:rPr>
        <w:t xml:space="preserve"> Vor Auftragsverarbeitung einen bindenden schriftlichen Vertrag, auch in elektronischer Form, schließen oder einen anderen zulässigen bindenden Rechtsakt zugrunde legen. Er muss Gegenstand und Dauer, Art und Zweck, Datenarten, betroffene Personen und Rechte der Einrichtung festlegen. Zusätzlich regeln: dokumentierte Weisungen einschließlich Übermittlungen, Vertraulichkeit der Beschäftigten, Sicherheit, Unterauftragnehmer, Unterstützung bei Betroffenenrechten und Art. 32–36, Rückgabe oder Löschung bei Vertragsende sowie Informationen und Prüfungsrechte zum Compliance-Nachweis. Der Anbieter muss auf rechtswidrige Weisungen hinweisen.</w:t>
      </w:r>
      <w:r>
        <w:rPr>
          <w:b w:val="0"/>
        </w:rPr>
        <w:t xml:space="preserve"> Standardbedingungen des Anbieters können genügen, wenn sie sämtliche Pflichtinhalte abdecken und die Einrichtung wirksam binden. Bei elektronischer Annahme muss die handelnde Person die Einrichtung wirksam vertreten können. Die bloße Nutzung oder private Registrierung einer unbefugten Lehrkraft genügt nicht; ein bestehender Vertrag kann bereits zur Nutzung befugte Lehrkräfte abdecken.</w:t>
      </w:r>
    </w:p>
    <w:p>
      <w:r>
        <w:rPr>
          <w:b w:val="0"/>
        </w:rPr>
      </w:r>
      <w:r>
        <w:rPr>
          <w:b/>
        </w:rPr>
        <w:t>Anbieter – Art. 28 Abs. 2, 4 und 9 sowie Art. 29:</w:t>
      </w:r>
      <w:r>
        <w:rPr>
          <w:b w:val="0"/>
        </w:rPr>
        <w:t xml:space="preserve"> OCR-, Hosting- und Modellanbieter nur mit vorheriger besonderer oder allgemeiner schriftlicher Genehmigung als Unterauftragnehmer einsetzen. Bei allgemeiner Genehmigung Änderungen vorher mitteilen und Widerspruch ermöglichen. Vor Beginn der Unterauftragsverarbeitung gleiche Datenschutzpflichten durch bindende schriftliche, auch elektronische Bedingungen oder einen anderen zulässigen Rechtsakt weitergeben; gegenüber der Einrichtung für die Erfüllung durch den Unterauftragnehmer einstehen. Lehrkräfte dürfen Daten nur im Rahmen der Weisungen des Verantwortlichen verarbeiten.</w:t>
      </w:r>
    </w:p>
    <w:p>
      <w:r>
        <w:rPr>
          <w:b w:val="0"/>
        </w:rPr>
      </w:r>
      <w:r>
        <w:rPr>
          <w:b/>
        </w:rPr>
        <w:t>Anbieter und Einrichtung – Art. 5 Abs. 1 Buchst. b, Art. 6 Abs. 4 und Art. 28 Abs. 10:</w:t>
      </w:r>
      <w:r>
        <w:rPr>
          <w:b w:val="0"/>
        </w:rPr>
        <w:t xml:space="preserve"> Prüfungsarbeiten nicht außerhalb der vereinbarten Zwecke für eigenes Modelltraining oder andere Kunden verwenden. Eigene Zwecke erfordern eine eigenständige datenschutzrechtliche Prüfung einschließlich Rechtsgrundlage, Zweckvereinbarkeit, Transparenz und gegebenenfalls Art. 9. Wer Zwecke und Mittel selbst bestimmt, wird insoweit Verantwortlicher; die Bezeichnung als Auftragsverarbeiter im Vertrag ändert daran nichts.</w:t>
      </w:r>
    </w:p>
    <w:p>
      <w:r>
        <w:rPr>
          <w:b w:val="0"/>
        </w:rPr>
      </w:r>
      <w:r>
        <w:rPr>
          <w:b/>
        </w:rPr>
        <w:t>Anbieter und Einrichtung – Art. 25 und 32:</w:t>
      </w:r>
      <w:r>
        <w:rPr>
          <w:b w:val="0"/>
        </w:rPr>
        <w:t xml:space="preserve"> Dem Risiko angemessene Maßnahmen tatsächlich umsetzen: Berechtigungen auf zuständige Personen beschränken, Mandanten trennen, Vertraulichkeit bei Übertragung und Speicherung schützen, Wiederherstellung und Verfügbarkeit sicherstellen, Schutzmaßnahmen regelmäßig prüfen und nicht benötigte Daten löschen. Eingaben, Zwischendateien, Ausgaben, Protokolle und Sicherungskopien in das Schutz- und Löschkonzept einbeziehen. Die Vorschriften verlangen wirksamen Schutz, aber nicht ausnahmslos eine bestimmte Verschlüsselungstechnik oder ausschließlich deutsche Server.</w:t>
      </w:r>
    </w:p>
    <w:p>
      <w:r>
        <w:rPr>
          <w:b w:val="0"/>
        </w:rPr>
      </w:r>
      <w:r>
        <w:rPr>
          <w:b/>
        </w:rPr>
        <w:t>Einrichtung – Art. 5 Abs. 1 Buchst. d und e sowie Art. 16–19:</w:t>
      </w:r>
      <w:r>
        <w:rPr>
          <w:b w:val="0"/>
        </w:rPr>
        <w:t xml:space="preserve"> Falsche Zuordnungen, Transkriptionsfehler und sachlich unrichtige gespeicherte Angaben berichtigen. Für jede Datenkategorie die erforderliche Aufbewahrungsdauer festlegen und nach Ablauf löschen; gesetzliche Prüfungs- und Archivfristen sowie laufende Rechtsbehelfe berücksichtigen. Eine fachliche Meinungsverschiedenheit über eine Note ist nicht automatisch ein Anspruch auf eine bessere Note nach Art. 16.</w:t>
      </w:r>
    </w:p>
    <w:p>
      <w:r>
        <w:rPr>
          <w:b w:val="0"/>
        </w:rPr>
      </w:r>
      <w:r>
        <w:rPr>
          <w:b/>
        </w:rPr>
        <w:t>Einrichtung, unterstützt durch den Anbieter – Art. 12–15 und 21:</w:t>
      </w:r>
      <w:r>
        <w:rPr>
          <w:b w:val="0"/>
        </w:rPr>
        <w:t xml:space="preserve"> Verständlich über Verantwortlichen, Datenschutzbeauftragten, Zwecke, Rechtsgrundlagen, Empfänger, Drittlandtransfers, Speicherdauer, Rechte und Beschwerdemöglichkeit informieren. Auskunft und Kopie der personenbezogenen Daten ermöglichen, Rechte Dritter berücksichtigen und grundsätzlich innerhalb eines Monats reagieren; eine zulässige Verlängerung um bis zu zwei Monate rechtzeitig begründen. Widersprüche bei Verarbeitung nach Art. 6 Abs. 1 Buchst. e oder f individuell prüfen. Keine pauschale Auskunftsverweigerung für KI-Ausgaben oder Prüfungsarbeiten.</w:t>
      </w:r>
    </w:p>
    <w:p>
      <w:r>
        <w:rPr>
          <w:b w:val="0"/>
        </w:rPr>
      </w:r>
      <w:r>
        <w:rPr>
          <w:b/>
        </w:rPr>
        <w:t>Einrichtung und Lehrkraft – Art. 22:</w:t>
      </w:r>
      <w:r>
        <w:rPr>
          <w:b w:val="0"/>
        </w:rPr>
        <w:t xml:space="preserve"> Eine ausschließlich automatisierte Entscheidung mit rechtlicher oder ähnlich erheblicher Wirkung nur unter einer Ausnahme des Art. 22 Abs. 2 treffen. Die allgemeine Befugnis zur schulischen Datenverarbeitung ersetzt keine besondere Erlaubnis für automatisierte Entscheidungen. Soll die Entscheidung menschlich bleiben, muss eine befugte, sachkundige Person den konkreten Fall inhaltlich prüfen und das Ergebnis tatsächlich ändern können. Eine bloße Bestätigung des KI-Vorschlags genügt nicht. Bei zulässiger Automation die jeweils vorgeschriebenen Schutzrechte, insbesondere menschliches Eingreifen und Anfechtung, gewährleisten; Art. 22 Abs. 4 begrenzt die Verwendung besonderer Datenkategorien zusätzlich.</w:t>
      </w:r>
    </w:p>
    <w:p>
      <w:r>
        <w:rPr>
          <w:b w:val="0"/>
        </w:rPr>
      </w:r>
      <w:r>
        <w:rPr>
          <w:b/>
        </w:rPr>
        <w:t>Einrichtung – Art. 35 und 36:</w:t>
      </w:r>
      <w:r>
        <w:rPr>
          <w:b w:val="0"/>
        </w:rPr>
        <w:t xml:space="preserve"> Vor einer voraussichtlich risikoreichen Verarbeitung eine Datenschutz-Folgenabschätzung durchführen, insbesondere bei systematischer umfassender automatisierter Bewertung mit erheblichen Entscheidungsfolgen. Verarbeitung und Zwecke, Erforderlichkeit und Verhältnismäßigkeit, Risiken für Betroffene und Gegenmaßnahmen dokumentieren; den Datenschutzbeauftragten beteiligen. Bleibt ein hohes Risiko ohne ausreichende Abhilfe, vor Beginn die Aufsicht konsultieren. Bei wesentlichen Änderungen die Bewertung aktualisieren. Der Auftragsverarbeiter muss die notwendigen Informationen und Unterstützung liefern.</w:t>
      </w:r>
    </w:p>
    <w:p>
      <w:r>
        <w:rPr>
          <w:b w:val="0"/>
        </w:rPr>
      </w:r>
      <w:r>
        <w:rPr>
          <w:b/>
        </w:rPr>
        <w:t>Einrichtung und Anbieter – Art. 30 und 37:</w:t>
      </w:r>
      <w:r>
        <w:rPr>
          <w:b w:val="0"/>
        </w:rPr>
        <w:t xml:space="preserve"> Die jeweils vorgeschriebenen Verarbeitungsverzeichnisse führen. Die Ausnahme für weniger als 250 Beschäftigte greift insbesondere bei nicht nur gelegentlicher oder risikoreicher Verarbeitung nicht. Öffentliche Schulen und Hochschulen müssen einen Datenschutzbeauftragten benennen; der Anbieter bei Erfüllung der Voraussetzungen des Art. 37, etwa umfangreicher Verarbeitung besonderer Datenkategorien als Kerntätigkeit.</w:t>
      </w:r>
    </w:p>
    <w:p>
      <w:r>
        <w:rPr>
          <w:b w:val="0"/>
        </w:rPr>
      </w:r>
      <w:r>
        <w:rPr>
          <w:b/>
        </w:rPr>
        <w:t>Anbieter und Einrichtung – Art. 33 und 34:</w:t>
      </w:r>
      <w:r>
        <w:rPr>
          <w:b w:val="0"/>
        </w:rPr>
        <w:t xml:space="preserve"> Der Auftragsverarbeiter meldet Verletzungen personenbezogener Daten dem Verantwortlichen unverzüglich. Der Verantwortliche dokumentiert jede Verletzung und meldet sie der Aufsicht grundsätzlich innerhalb von 72 Stunden ab Kenntnis, soweit ein Risiko für Betroffene nicht unwahrscheinlich ist. Bei voraussichtlich hohem Risiko Betroffene unverzüglich benachrichtigen, soweit keine gesetzliche Ausnahme greift.</w:t>
      </w:r>
    </w:p>
    <w:p>
      <w:r>
        <w:rPr>
          <w:b w:val="0"/>
        </w:rPr>
      </w:r>
      <w:r>
        <w:rPr>
          <w:b/>
        </w:rPr>
        <w:t>Anbieter und Einrichtung – Art. 44–49:</w:t>
      </w:r>
      <w:r>
        <w:rPr>
          <w:b w:val="0"/>
        </w:rPr>
        <w:t xml:space="preserve"> Für Drittlandübermittlungen, einschließlich entsprechender Fernzugriffe, ein zulässiges Übermittlungsinstrument verwenden. Bei Angemessenheitsbeschlüssen den konkreten Empfänger und deren Reichweite prüfen; bei Standardvertragsklauseln das Schutzniveau im Empfängerland bewerten und nötige zusätzliche Maßnahmen treffen. Art. 49-Ausnahmen sind kein pauschaler Ersatz für dauerhaftes Cloud-Outsourcing.</w:t>
      </w:r>
    </w:p>
    <w:p>
      <w:pPr>
        <w:pStyle w:val="Heading1"/>
      </w:pPr>
      <w:r>
        <w:t>2 EU-Verordnung über künstliche Intelligenz</w:t>
      </w:r>
    </w:p>
    <w:p>
      <w:pPr>
        <w:keepNext/>
        <w:spacing w:after="80" w:line="240" w:lineRule="auto"/>
      </w:pPr>
      <w:hyperlink r:id="rId10">
        <w:r>
          <w:rPr>
            <w:color w:val="444444"/>
            <w:sz w:val="17"/>
            <w:u w:val="single"/>
          </w:rPr>
          <w:t>Verordnung (EU) 2024/1689, insbesondere Art. 3–6, 8–27, 43–50, 72–73, 86, 111 und 113 sowie Anhang III Nr. 3 Buchst. b</w:t>
        </w:r>
      </w:hyperlink>
    </w:p>
    <w:p>
      <w:pPr>
        <w:keepNext/>
        <w:spacing w:after="80" w:line="240" w:lineRule="auto"/>
      </w:pPr>
      <w:hyperlink r:id="rId11">
        <w:r>
          <w:rPr>
            <w:color w:val="444444"/>
            <w:sz w:val="17"/>
            <w:u w:val="single"/>
          </w:rPr>
          <w:t>Änderung durch Verordnung (EU) 2026/1744</w:t>
        </w:r>
      </w:hyperlink>
    </w:p>
    <w:p>
      <w:r>
        <w:rPr>
          <w:b w:val="0"/>
        </w:rPr>
      </w:r>
      <w:r>
        <w:rPr>
          <w:b/>
        </w:rPr>
        <w:t>Anbieter – Art. 3 und 6:</w:t>
      </w:r>
      <w:r>
        <w:rPr>
          <w:b w:val="0"/>
        </w:rPr>
        <w:t xml:space="preserve"> Die tatsächliche Zweckbestimmung einschließlich Anleitung und Werbung festlegen. Ein zur Bewertung von Lernergebnissen bestimmtes System fällt grundsätzlich unter Anhang III Nr. 3 Buchst. b. Bei beanspruchter Ausnahme nach Art. 6 Abs. 3 nachweisen, dass kein erhebliches Risiko für Gesundheit, Sicherheit oder Grundrechte entsteht und eine der dort genannten begrenzten Tätigkeiten vorliegt. Personenbezogenes Profiling schließt die Ausnahme aus. Die Ausnahmeprüfung vor Vermarktung dokumentieren, auf Verlangen vorlegen und die Registrierung nach Art. 49 Abs. 2 erfüllen, sobald die einschlägigen Pflichten greifen.</w:t>
      </w:r>
    </w:p>
    <w:p>
      <w:r>
        <w:rPr>
          <w:b w:val="0"/>
        </w:rPr>
      </w:r>
      <w:r>
        <w:rPr>
          <w:b/>
        </w:rPr>
        <w:t>Anbieter und Einrichtung – Art. 111 und 113:</w:t>
      </w:r>
      <w:r>
        <w:rPr>
          <w:b w:val="0"/>
        </w:rPr>
        <w:t xml:space="preserve"> Die Anwendungsfristen getrennt beachten. Für Anhang-III-Systeme gelten Kapitel III Abschnitte 1–3 nach der Änderung ab 2. Dezember 2027. Art. 4 und die bereits anwendbaren Verbote des Art. 5 gelten schon jetzt; Art. 50 grundsätzlich seit 2. August 2026. Die Verschiebung nennt Abschnitt 5 mit Konformitätsbewertung und Registrierung nicht ausdrücklich. Die Übergangsfrage ist daher nicht als pauschale Befreiung von allen Marktzugangspflichten zu behandeln. Für vor dem maßgeblichen Stichtag in Verkehr gebrachte Systeme Art. 111 Abs. 2 einschließlich erheblicher Designänderungen und der Frist 2. August 2030 für Systeme zur Nutzung durch Behörden prüfen.</w:t>
      </w:r>
    </w:p>
    <w:p>
      <w:r>
        <w:rPr>
          <w:b w:val="0"/>
        </w:rPr>
      </w:r>
      <w:r>
        <w:rPr>
          <w:b/>
        </w:rPr>
        <w:t>Anbieter und Einrichtung – Art. 4 und 5:</w:t>
      </w:r>
      <w:r>
        <w:rPr>
          <w:b w:val="0"/>
        </w:rPr>
        <w:t xml:space="preserve"> Maßnahmen zur Förderung der KI-Kompetenz der mit Betrieb und Nutzung befassten Personen treffen, abgestimmt auf Kenntnisse, Einsatzkontext und betroffene Personengruppen. Nach dem geänderten Art. 4 ist kein bestimmtes individuelles Kompetenzniveau zu garantieren. Keine Emotionserkennung in Bildungseinrichtungen einsetzen, außer für die gesetzlich ausgenommenen medizinischen oder Sicherheitszwecke; weitere einschlägige Verbote des Art. 5 beachten.</w:t>
      </w:r>
    </w:p>
    <w:p>
      <w:r>
        <w:rPr>
          <w:b w:val="0"/>
        </w:rPr>
      </w:r>
      <w:r>
        <w:rPr>
          <w:b/>
        </w:rPr>
        <w:t>Anbieter – Art. 9 und 10, bei Anwendung der Hochrisikopflichten:</w:t>
      </w:r>
      <w:r>
        <w:rPr>
          <w:b w:val="0"/>
        </w:rPr>
        <w:t xml:space="preserve"> Ein dokumentiertes, fortlaufendes Risikomanagement betreiben. Risiken einschließlich vorhersehbarer Fehlanwendung und besonderer Risiken für Minderjährige bewerten, mindern und das System vor Bereitstellung gegen vorher festgelegte geeignete Kriterien testen. Trainings-, Validierungs- und Testdaten müssen zweckgeeignet, hinreichend repräsentativ und soweit möglich fehlerfrei und vollständig sein. Relevante Verzerrungen untersuchen und mindern; Datenherkunft, Aufbereitung, Annahmen und Datenlücken dokumentieren.</w:t>
      </w:r>
    </w:p>
    <w:p>
      <w:r>
        <w:rPr>
          <w:b w:val="0"/>
        </w:rPr>
      </w:r>
      <w:r>
        <w:rPr>
          <w:b/>
        </w:rPr>
        <w:t>Anbieter – Art. 11–15:</w:t>
      </w:r>
      <w:r>
        <w:rPr>
          <w:b w:val="0"/>
        </w:rPr>
        <w:t xml:space="preserve"> Aktuelle technische Dokumentation nach Anhang IV erstellen. Automatische Protokollierung zur Rückverfolgbarkeit vorsehen. Verständliche Anweisungen mit Zweck, Leistungsgrenzen, Genauigkeitsmaßen, Eingabeanforderungen, Fehlerrisiken und Aufsichtsmaßnahmen liefern. Menschliche Aufsicht technisch ermöglichen: Ausgaben verstehen, Übervertrauen erkennen, Ergebnisse verwerfen oder überschreiben und den Betrieb nötigenfalls anhalten. Angemessene Genauigkeit, Robustheit und Cybersicherheit über den Lebenszyklus sicherstellen.</w:t>
      </w:r>
    </w:p>
    <w:p>
      <w:r>
        <w:rPr>
          <w:b w:val="0"/>
        </w:rPr>
      </w:r>
      <w:r>
        <w:rPr>
          <w:b/>
        </w:rPr>
        <w:t>Anbieter – Art. 16–21, 25 und 43–49:</w:t>
      </w:r>
      <w:r>
        <w:rPr>
          <w:b w:val="0"/>
        </w:rPr>
        <w:t xml:space="preserve"> Qualitätsmanagementsystem unterhalten, Zuständigkeiten und Änderungsverfahren dokumentieren und erforderliche Informationen mit Komponentenlieferanten vertraglich absichern. Für Bildungssysteme nach Anhang III Nr. 3 die interne Kontrolle nach Anhang VI durchführen; grundsätzlich ist dafür keine benannte Stelle vorgesehen. EU-Konformitätserklärung, CE-Kennzeichnung und Registrierung erfüllen. Wesentliche Änderungen erfordern erneute Konformitätsbewertung, soweit sie nicht bereits zulässig abgedeckt sind. Technische Dokumentation und vorgeschriebene Unterlagen zehn Jahre aufbewahren; automatisch erzeugte kontrollierte Protokolle grundsätzlich mindestens sechs Monate, vorbehaltlich anderer einschlägiger Vorschriften.</w:t>
      </w:r>
    </w:p>
    <w:p>
      <w:r>
        <w:rPr>
          <w:b w:val="0"/>
        </w:rPr>
      </w:r>
      <w:r>
        <w:rPr>
          <w:b/>
        </w:rPr>
        <w:t>Einrichtung als Betreiber und Lehrkraft – Art. 26:</w:t>
      </w:r>
      <w:r>
        <w:rPr>
          <w:b w:val="0"/>
        </w:rPr>
        <w:t xml:space="preserve"> System nach Anleitung verwenden. Aufsicht einer Person mit Kompetenz, Schulung, Befugnissen und Unterstützung zuweisen. Kontrollierbare Eingabedaten müssen zweckrelevant und hinreichend repräsentativ sein. Betrieb überwachen, bei erkannten Risiken Nutzung aussetzen und Anbieter sowie erforderlichenfalls Behörden informieren. Kontrollierte Protokolle grundsätzlich mindestens sechs Monate aufbewahren. Betroffene Personen über den Einsatz eines zur Entscheidung oder Entscheidungsunterstützung bestimmten Hochrisikosystems informieren. Öffentliche Betreiber erfüllen die erforderliche EU-Datenbankregistrierung. Vor Einsatz am Arbeitsplatz betroffene Beschäftigte und ihre Vertretung informieren.</w:t>
      </w:r>
    </w:p>
    <w:p>
      <w:r>
        <w:rPr>
          <w:b w:val="0"/>
        </w:rPr>
      </w:r>
      <w:r>
        <w:rPr>
          <w:b/>
        </w:rPr>
        <w:t>Öffentliche Einrichtung oder privater Erbringer öffentlicher Dienstleistungen – Art. 27:</w:t>
      </w:r>
      <w:r>
        <w:rPr>
          <w:b w:val="0"/>
        </w:rPr>
        <w:t xml:space="preserve"> Vor dem ersten erfassten Hochrisikoeinsatz eine Grundrechte-Folgenabschätzung durchführen. Einsatzprozesse, Dauer, Häufigkeit, betroffene Gruppen, spezifische Schadensrisiken, menschliche Aufsicht und Abhilfemaßnahmen einschließlich Beschwerden festhalten, der Marktüberwachung mitteilen und bei Änderungen aktualisieren. Eine Datenschutz-Folgenabschätzung darf einschlägige Teile abdecken; verbleibende Grundrechtsrisiken müssen zusätzlich geprüft werden.</w:t>
      </w:r>
    </w:p>
    <w:p>
      <w:r>
        <w:rPr>
          <w:b w:val="0"/>
        </w:rPr>
      </w:r>
      <w:r>
        <w:rPr>
          <w:b/>
        </w:rPr>
        <w:t>Anbieter – Art. 72 und 73:</w:t>
      </w:r>
      <w:r>
        <w:rPr>
          <w:b w:val="0"/>
        </w:rPr>
        <w:t xml:space="preserve"> Nach dem Inverkehrbringen Leistung und Risiken systematisch beobachten. Schwerwiegende Vorfälle innerhalb der gesetzlichen Fristen melden: grundsätzlich unverzüglich nach Feststellung eines Zusammenhangs oder seiner begründeten Wahrscheinlichkeit, spätestens 15 Tage nach Kenntnis; für die besonderen Fälle gelten kürzere Höchstfristen von zwei beziehungsweise zehn Tagen. Vorfälle untersuchen, dokumentieren und Korrekturmaßnahmen treffen.</w:t>
      </w:r>
    </w:p>
    <w:p>
      <w:r>
        <w:rPr>
          <w:b w:val="0"/>
        </w:rPr>
      </w:r>
      <w:r>
        <w:rPr>
          <w:b/>
        </w:rPr>
        <w:t>Anbieter – Art. 50:</w:t>
      </w:r>
      <w:r>
        <w:rPr>
          <w:b w:val="0"/>
        </w:rPr>
        <w:t xml:space="preserve"> Bei direkter Interaktion mit Personen den KI-Charakter erkennbar machen, soweit er nicht ohnehin offensichtlich ist. Synthetische Inhalte im gesetzlich erfassten Umfang technisch in maschinenlesbarer Form als künstlich erzeugt oder manipuliert erkennbar machen; eine bloße redaktionelle Unterstützungsfunktion kann ausgenommen sein. Für vor 2. August 2026 vermarktete Systeme läuft die Übergangsfrist des Art. 111 Abs. 4 für Art. 50 Abs. 2 bis 2. Dezember 2026.</w:t>
      </w:r>
    </w:p>
    <w:p>
      <w:r>
        <w:rPr>
          <w:b w:val="0"/>
        </w:rPr>
      </w:r>
      <w:r>
        <w:rPr>
          <w:b/>
        </w:rPr>
        <w:t>Einrichtung – Art. 86:</w:t>
      </w:r>
      <w:r>
        <w:rPr>
          <w:b w:val="0"/>
        </w:rPr>
        <w:t xml:space="preserve"> Bei erfassten, auf Hochrisikoausgaben beruhenden Entscheidungen mit nachteiligen rechtlichen oder vergleichbar erheblichen Wirkungen eine klare, aussagekräftige Erklärung der Rolle der KI und der wesentlichen Entscheidungselemente geben. Das gilt nach den Voraussetzungen dieser Vorschrift und unabhängig davon, ob eine reine Datenschutz-Auskunft beantragt wird.</w:t>
      </w:r>
    </w:p>
    <w:p>
      <w:pPr>
        <w:pStyle w:val="Heading1"/>
      </w:pPr>
      <w:r>
        <w:t>3 Grundgesetz und verfassungsrechtliches Prüfungsrecht</w:t>
      </w:r>
    </w:p>
    <w:p>
      <w:pPr>
        <w:keepNext/>
        <w:spacing w:after="80" w:line="240" w:lineRule="auto"/>
      </w:pPr>
      <w:hyperlink r:id="rId12">
        <w:r>
          <w:rPr>
            <w:color w:val="444444"/>
            <w:sz w:val="17"/>
            <w:u w:val="single"/>
          </w:rPr>
          <w:t>Art. 3 Abs. 1, 12 Abs. 1 und 19 Abs. 4 GG; BVerwG 6 B 1.16, Rn. 12–14</w:t>
        </w:r>
      </w:hyperlink>
    </w:p>
    <w:p>
      <w:pPr>
        <w:keepNext/>
        <w:spacing w:after="80" w:line="240" w:lineRule="auto"/>
      </w:pPr>
      <w:hyperlink r:id="rId13">
        <w:r>
          <w:rPr>
            <w:color w:val="444444"/>
            <w:sz w:val="17"/>
            <w:u w:val="single"/>
          </w:rPr>
          <w:t>BVerwG 6 C 19.18 zur rechtlichen Festlegung des Bewertungsverfahrens</w:t>
        </w:r>
      </w:hyperlink>
    </w:p>
    <w:p>
      <w:r>
        <w:rPr>
          <w:b w:val="0"/>
        </w:rPr>
      </w:r>
      <w:r>
        <w:rPr>
          <w:b/>
        </w:rPr>
        <w:t>Prüfer und Einrichtung:</w:t>
      </w:r>
      <w:r>
        <w:rPr>
          <w:b w:val="0"/>
        </w:rPr>
        <w:t xml:space="preserve"> Die vorgeschriebene eigenständige Bewertung durch die zuständigen menschlichen Prüfer erhalten. Jeder vorgeschriebene Prüfer muss die maßgebliche Leistung selbst vollständig erfassen und verantwortlich bewerten. Vergleichbare Leistungen nach konsistenten, sachgerechten Maßstäben beurteilen und zulässige Nachteilsausgleiche beachten. KI darf weder einen vorgeschriebenen Prüfer noch dessen Urteil ersetzen.</w:t>
      </w:r>
    </w:p>
    <w:p>
      <w:r>
        <w:rPr>
          <w:b w:val="0"/>
        </w:rPr>
      </w:r>
      <w:r>
        <w:rPr>
          <w:b/>
        </w:rPr>
        <w:t>Prüfer und Einrichtung:</w:t>
      </w:r>
      <w:r>
        <w:rPr>
          <w:b w:val="0"/>
        </w:rPr>
        <w:t xml:space="preserve"> Die geltenden Regeln über Prüferzahl, Bewertung, Bestehen und Behandlung abweichender Bewertungen einhalten. Eine technische Assistenz darf diese Regeln nicht eigenmächtig ändern. Entscheidungsgrundlagen und erforderliche Begründungen für Einsicht, Einwendungen und Rechtsbehelfe erhalten. Im Überdenkensverfahren konkrete Einwendungen nach den ursprünglichen Bewertungsmaßstäben prüfen und die Entscheidung begründen.</w:t>
      </w:r>
    </w:p>
    <w:p>
      <w:pPr>
        <w:pStyle w:val="Heading1"/>
      </w:pPr>
      <w:r>
        <w:t>4 Verwaltungsverfahrensgesetz</w:t>
      </w:r>
    </w:p>
    <w:p>
      <w:pPr>
        <w:keepNext/>
        <w:spacing w:after="80" w:line="240" w:lineRule="auto"/>
      </w:pPr>
      <w:hyperlink r:id="rId14">
        <w:r>
          <w:rPr>
            <w:color w:val="444444"/>
            <w:sz w:val="17"/>
            <w:u w:val="single"/>
          </w:rPr>
          <w:t>§ 35a VwVfG</w:t>
        </w:r>
      </w:hyperlink>
    </w:p>
    <w:p>
      <w:r>
        <w:rPr>
          <w:b w:val="0"/>
        </w:rPr>
      </w:r>
      <w:r>
        <w:rPr>
          <w:b/>
        </w:rPr>
        <w:t>Behörde, soweit diese Vorschrift oder eine entsprechende Landesregel gilt:</w:t>
      </w:r>
      <w:r>
        <w:rPr>
          <w:b w:val="0"/>
        </w:rPr>
        <w:t xml:space="preserve"> Einen Verwaltungsakt nur dann vollständig automatisch erlassen, wenn eine Rechtsvorschrift dies erlaubt und weder Ermessen noch Beurteilungsspielraum besteht. Für Prüfungsentscheidungen mit Beurteilungsspielraum trägt § 35a keine Vollautomatisierung. Bei Landesprüfungen die jeweilige Landesvorschrift und das spezielle Prüfungsrecht anwenden; nicht jede einzelne Unterrichtsnote ist ein Verwaltungsakt.</w:t>
      </w:r>
    </w:p>
    <w:p>
      <w:pPr>
        <w:pStyle w:val="Heading1"/>
      </w:pPr>
      <w:r>
        <w:t>5 Beamtenstatusgesetz</w:t>
      </w:r>
    </w:p>
    <w:p>
      <w:pPr>
        <w:keepNext/>
        <w:spacing w:after="80" w:line="240" w:lineRule="auto"/>
      </w:pPr>
      <w:hyperlink r:id="rId15">
        <w:r>
          <w:rPr>
            <w:color w:val="444444"/>
            <w:sz w:val="17"/>
            <w:u w:val="single"/>
          </w:rPr>
          <w:t>§ 37 BeamtStG</w:t>
        </w:r>
      </w:hyperlink>
    </w:p>
    <w:p>
      <w:r>
        <w:rPr>
          <w:b w:val="0"/>
        </w:rPr>
      </w:r>
      <w:r>
        <w:rPr>
          <w:b/>
        </w:rPr>
        <w:t>Verbeamtete Lehrkraft:</w:t>
      </w:r>
      <w:r>
        <w:rPr>
          <w:b w:val="0"/>
        </w:rPr>
        <w:t xml:space="preserve"> Dienstlich bekannt gewordene geschützte Schüler- und Prüfungsinformationen nicht unbefugt offenbaren. Uploads nur im dienstlich zugelassenen Verfahren und gegenüber befugten Empfängern vornehmen. Die Verschwiegenheitspflicht gilt auch außerhalb des Dienstes und nach Beendigung des Beamtenverhältnisses.</w:t>
      </w:r>
    </w:p>
    <w:p>
      <w:pPr>
        <w:pStyle w:val="Heading1"/>
      </w:pPr>
      <w:r>
        <w:t>6 Strafgesetzbuch</w:t>
      </w:r>
    </w:p>
    <w:p>
      <w:pPr>
        <w:keepNext/>
        <w:spacing w:after="80" w:line="240" w:lineRule="auto"/>
      </w:pPr>
      <w:hyperlink r:id="rId16">
        <w:r>
          <w:rPr>
            <w:color w:val="444444"/>
            <w:sz w:val="17"/>
            <w:u w:val="single"/>
          </w:rPr>
          <w:t>§ 203 Abs. 2–4 StGB</w:t>
        </w:r>
      </w:hyperlink>
    </w:p>
    <w:p>
      <w:r>
        <w:rPr>
          <w:b w:val="0"/>
        </w:rPr>
      </w:r>
      <w:r>
        <w:rPr>
          <w:b/>
        </w:rPr>
        <w:t>Erfasste Amtsträger und besonders Verpflichtete:</w:t>
      </w:r>
      <w:r>
        <w:rPr>
          <w:b w:val="0"/>
        </w:rPr>
        <w:t xml:space="preserve"> Fremde Geheimnisse nicht unbefugt offenbaren. Bei Mitwirkung externer Personen Offenlegung auf das für deren Tätigkeit Erforderliche begrenzen und die gesetzlich erforderliche Verpflichtung zur Geheimhaltung sicherstellen. Nicht jeder Datenschutzverstoß erfüllt automatisch den Straftatbestand; die persönlichen und sachlichen Voraussetzungen müssen vorliegen.</w:t>
      </w:r>
    </w:p>
    <w:p>
      <w:pPr>
        <w:pStyle w:val="Heading1"/>
      </w:pPr>
      <w:r>
        <w:t>7 Urheberrechtsgesetz</w:t>
      </w:r>
    </w:p>
    <w:p>
      <w:pPr>
        <w:keepNext/>
        <w:spacing w:after="80" w:line="240" w:lineRule="auto"/>
      </w:pPr>
      <w:hyperlink r:id="rId17">
        <w:r>
          <w:rPr>
            <w:color w:val="444444"/>
            <w:sz w:val="17"/>
            <w:u w:val="single"/>
          </w:rPr>
          <w:t>§§ 2, 15, 16, 31, 44b, 60a und 60d UrhG</w:t>
        </w:r>
      </w:hyperlink>
    </w:p>
    <w:p>
      <w:r>
        <w:rPr>
          <w:b w:val="0"/>
        </w:rPr>
      </w:r>
      <w:r>
        <w:rPr>
          <w:b/>
        </w:rPr>
        <w:t>Anbieter und Einrichtung:</w:t>
      </w:r>
      <w:r>
        <w:rPr>
          <w:b w:val="0"/>
        </w:rPr>
        <w:t xml:space="preserve"> Für urheberrechtlich geschützte Prüfungsantworten, Aufgaben, Lehrbuchauszüge und Bewertungsunterlagen die benötigten Nutzungsrechte oder eine tatsächlich einschlägige gesetzliche Erlaubnis besitzen. Die Unterrichtsschranke erlaubt kein unbegrenztes kommerzielles Modelltraining. Bei Text und Data Mining die Voraussetzungen des § 44b einschließlich rechtmäßigem Zugang, Nutzungsvorbehalt und Löschung prüfen; § 60d ist auf die dort genannten Forschungsberechtigten und Zwecke begrenzt.</w:t>
      </w:r>
    </w:p>
    <w:p>
      <w:pPr>
        <w:pStyle w:val="Heading1"/>
      </w:pPr>
      <w:r>
        <w:t>8 Bundesdatenschutzgesetz</w:t>
      </w:r>
    </w:p>
    <w:p>
      <w:pPr>
        <w:keepNext/>
        <w:spacing w:after="80" w:line="240" w:lineRule="auto"/>
      </w:pPr>
      <w:hyperlink r:id="rId18">
        <w:r>
          <w:rPr>
            <w:color w:val="444444"/>
            <w:sz w:val="17"/>
            <w:u w:val="single"/>
          </w:rPr>
          <w:t>§ 38 BDSG</w:t>
        </w:r>
      </w:hyperlink>
    </w:p>
    <w:p>
      <w:r>
        <w:rPr>
          <w:b w:val="0"/>
        </w:rPr>
      </w:r>
      <w:r>
        <w:rPr>
          <w:b/>
        </w:rPr>
        <w:t>Nichtöffentlicher Anbieter:</w:t>
      </w:r>
      <w:r>
        <w:rPr>
          <w:b w:val="0"/>
        </w:rPr>
        <w:t xml:space="preserve"> Zusätzlich zu Art. 37 DSGVO einen Datenschutzbeauftragten benennen, wenn regelmäßig mindestens 20 Personen ständig mit automatisierter personenbezogener Datenverarbeitung beschäftigt sind. Unabhängig von der Personenzahl gilt dies unter anderem bei Verarbeitungen, die einer Datenschutz-Folgenabschätzung nach Art. 35 unterliegen. Die Schuldatenschutzregeln öffentlicher Landesschulen ergeben sich dagegen aus dem einschlägigen Landesrecht.</w:t>
      </w:r>
    </w:p>
    <w:p>
      <w:pPr>
        <w:pStyle w:val="Heading1"/>
      </w:pPr>
      <w:r>
        <w:t>9 Schulgesetz Nordrhein-Westfalen</w:t>
      </w:r>
    </w:p>
    <w:p>
      <w:pPr>
        <w:keepNext/>
        <w:spacing w:after="80" w:line="240" w:lineRule="auto"/>
      </w:pPr>
      <w:hyperlink r:id="rId19">
        <w:r>
          <w:rPr>
            <w:color w:val="444444"/>
            <w:sz w:val="17"/>
            <w:u w:val="single"/>
          </w:rPr>
          <w:t>§§ 48, 57, 120 und 121 SchulG NRW</w:t>
        </w:r>
      </w:hyperlink>
    </w:p>
    <w:p>
      <w:r>
        <w:rPr>
          <w:b w:val="0"/>
        </w:rPr>
      </w:r>
      <w:r>
        <w:rPr>
          <w:b/>
        </w:rPr>
        <w:t>Schule und Lehrkraft in NRW:</w:t>
      </w:r>
      <w:r>
        <w:rPr>
          <w:b w:val="0"/>
        </w:rPr>
        <w:t xml:space="preserve"> Leistungsbewertung im Rahmen der geltenden Vorgaben durch die zuständige Lehrkraft durchführen. Personenbezogene Schülerdaten nur soweit zur gesetzlichen Aufgabenerfüllung erforderlich verarbeiten und nur zuständigen Personen zugänglich machen. Weitere Daten nur mit zulässiger, freiwilliger Einwilligung erheben. Für Lehrerdaten, etwa personenbezogene Korrekturzeiten oder Abweichungsstatistiken, die eigenständige Zweck- und Erforderlichkeitsbegrenzung des § 121 beachten.</w:t>
      </w:r>
    </w:p>
    <w:p>
      <w:pPr>
        <w:pStyle w:val="Heading1"/>
      </w:pPr>
      <w:r>
        <w:t>10 Schülerdatenverordnung Nordrhein-Westfalen</w:t>
      </w:r>
    </w:p>
    <w:p>
      <w:pPr>
        <w:keepNext/>
        <w:spacing w:after="80" w:line="240" w:lineRule="auto"/>
      </w:pPr>
      <w:hyperlink r:id="rId20">
        <w:r>
          <w:rPr>
            <w:color w:val="444444"/>
            <w:sz w:val="17"/>
            <w:u w:val="single"/>
          </w:rPr>
          <w:t>§§ 1–3 und 9 sowie Anlagen der VO-DV I</w:t>
        </w:r>
      </w:hyperlink>
    </w:p>
    <w:p>
      <w:r>
        <w:rPr>
          <w:b w:val="0"/>
        </w:rPr>
      </w:r>
      <w:r>
        <w:rPr>
          <w:b/>
        </w:rPr>
        <w:t>Schule und Anbieter:</w:t>
      </w:r>
      <w:r>
        <w:rPr>
          <w:b w:val="0"/>
        </w:rPr>
        <w:t xml:space="preserve"> Die in den Anlagen zugelassenen Datenarten, Zwecke und Aufbewahrungsregeln einhalten. Auftragsverarbeitung nach Art. 28 DSGVO nur auf Weisung der Schule oder Schulaufsicht durchführen. Schulische Geräte und Netze so konfigurieren, dass Vertraulichkeit, Integrität und Verfügbarkeit gesichert sind.</w:t>
      </w:r>
    </w:p>
    <w:p>
      <w:r>
        <w:rPr>
          <w:b w:val="0"/>
        </w:rPr>
      </w:r>
      <w:r>
        <w:rPr>
          <w:b/>
        </w:rPr>
        <w:t>Lehrkraft:</w:t>
      </w:r>
      <w:r>
        <w:rPr>
          <w:b w:val="0"/>
        </w:rPr>
        <w:t xml:space="preserve"> Verarbeitung auf privaten Geräten nur im ausdrücklich genehmigten Umfang, mit den zugelassenen Daten und den vorgeschriebenen Nachweisen vornehmen. Die schriftliche Genehmigung der Schulleitung und die Einschränkungen bei bereitgestellten dienstlichen Geräten beachten. Eine Erlaubnis zur lokalen Verarbeitung umfasst nicht automatisch die Übermittlung an einen externen KI-Dienst.</w:t>
      </w:r>
    </w:p>
    <w:p>
      <w:pPr>
        <w:pStyle w:val="Heading1"/>
      </w:pPr>
      <w:r>
        <w:t>11 Landespersonalvertretungsgesetz Nordrhein-Westfalen</w:t>
      </w:r>
    </w:p>
    <w:p>
      <w:pPr>
        <w:keepNext/>
        <w:spacing w:after="80" w:line="240" w:lineRule="auto"/>
      </w:pPr>
      <w:hyperlink r:id="rId21">
        <w:r>
          <w:rPr>
            <w:color w:val="444444"/>
            <w:sz w:val="17"/>
            <w:u w:val="single"/>
          </w:rPr>
          <w:t>§ 72 LPVG NRW</w:t>
        </w:r>
      </w:hyperlink>
    </w:p>
    <w:p>
      <w:r>
        <w:rPr>
          <w:b w:val="0"/>
        </w:rPr>
      </w:r>
      <w:r>
        <w:rPr>
          <w:b/>
        </w:rPr>
        <w:t>Dienststelle in NRW:</w:t>
      </w:r>
      <w:r>
        <w:rPr>
          <w:b w:val="0"/>
        </w:rPr>
        <w:t xml:space="preserve"> Vor Einführung, Anwendung oder Erweiterung einer erfassten technischen Einrichtung das gesetzliche Mitbestimmungsverfahren durchführen, soweit die Eignung zur Überwachung von Verhalten oder Leistung der Beschäftigten nicht ausgeschlossen ist. Personenbezogene Nutzungsprotokolle und Korrekturstatistiken bei dieser Prüfung berücksichtigen. Eine Freigabe durch die Schulleitung ersetzt erforderliche Personalratsbeteiligung nicht.</w:t>
      </w:r>
    </w:p>
    <w:p>
      <w:pPr>
        <w:pStyle w:val="Heading1"/>
      </w:pPr>
      <w:r>
        <w:t>12 Bayerisches Gesetz über das Erziehungs- und Unterrichtswesen</w:t>
      </w:r>
    </w:p>
    <w:p>
      <w:pPr>
        <w:keepNext/>
        <w:spacing w:after="80" w:line="240" w:lineRule="auto"/>
      </w:pPr>
      <w:hyperlink r:id="rId22">
        <w:r>
          <w:rPr>
            <w:color w:val="444444"/>
            <w:sz w:val="17"/>
            <w:u w:val="single"/>
          </w:rPr>
          <w:t>Art. 52 und 85 BayEUG</w:t>
        </w:r>
      </w:hyperlink>
    </w:p>
    <w:p>
      <w:r>
        <w:rPr>
          <w:b w:val="0"/>
        </w:rPr>
      </w:r>
      <w:r>
        <w:rPr>
          <w:b/>
        </w:rPr>
        <w:t>Bayerische Schule und Lehrkraft:</w:t>
      </w:r>
      <w:r>
        <w:rPr>
          <w:b w:val="0"/>
        </w:rPr>
        <w:t xml:space="preserve"> Leistungen nach den gesetzlichen und schulartspezifischen Bewertungsregeln erheben und beurteilen. Schülerdaten nur im für gesetzliche Aufgaben erforderlichen Umfang verarbeiten. Schülerunterlagen nach den gesetzlichen Vorgaben führen und Datenzugriffe sowie Übermittlungen auf berechtigte Zwecke begrenzen. Die Regeln über zentrale Schulverwaltung in Art. 85a sind keine allgemeine Freigabe eines kommerziellen KI-Korrekturdienstes.</w:t>
      </w:r>
    </w:p>
    <w:p>
      <w:pPr>
        <w:pStyle w:val="Heading1"/>
      </w:pPr>
      <w:r>
        <w:t>13 Bayerische Schulordnung</w:t>
      </w:r>
    </w:p>
    <w:p>
      <w:pPr>
        <w:keepNext/>
        <w:spacing w:after="80" w:line="240" w:lineRule="auto"/>
      </w:pPr>
      <w:hyperlink r:id="rId23">
        <w:r>
          <w:rPr>
            <w:color w:val="444444"/>
            <w:sz w:val="17"/>
            <w:u w:val="single"/>
          </w:rPr>
          <w:t>§ 46 und Anlage 2 BaySchO</w:t>
        </w:r>
      </w:hyperlink>
    </w:p>
    <w:p>
      <w:r>
        <w:rPr>
          <w:b w:val="0"/>
        </w:rPr>
      </w:r>
      <w:r>
        <w:rPr>
          <w:b/>
        </w:rPr>
        <w:t>Bayerische Schule:</w:t>
      </w:r>
      <w:r>
        <w:rPr>
          <w:b w:val="0"/>
        </w:rPr>
        <w:t xml:space="preserve"> Personenbezogene Daten nur in Verfahren verarbeiten, deren Zweck, Umfang und Art den Vorgaben der Anlage 2 entsprechen; bei kombinierten Verfahren die jeweiligen Vorgaben weiter einhalten. Vorgeschriebene Schulverwaltungsverfahren verwenden, soweit § 46 Abs. 3 dies verlangt. Die externe KI-Anwendung gesondert anhand des einschlägigen Verfahrens prüfen.</w:t>
      </w:r>
    </w:p>
    <w:p>
      <w:pPr>
        <w:pStyle w:val="Heading1"/>
      </w:pPr>
      <w:r>
        <w:t>14 Niedersächsisches Schulgesetz</w:t>
      </w:r>
    </w:p>
    <w:p>
      <w:pPr>
        <w:keepNext/>
        <w:spacing w:after="80" w:line="240" w:lineRule="auto"/>
      </w:pPr>
      <w:hyperlink r:id="rId24">
        <w:r>
          <w:rPr>
            <w:color w:val="444444"/>
            <w:sz w:val="17"/>
            <w:u w:val="single"/>
          </w:rPr>
          <w:t>§ 31 NSchG</w:t>
        </w:r>
      </w:hyperlink>
    </w:p>
    <w:p>
      <w:r>
        <w:rPr>
          <w:b w:val="0"/>
        </w:rPr>
      </w:r>
      <w:r>
        <w:rPr>
          <w:b/>
        </w:rPr>
        <w:t>Schule und Lehrkraft in Niedersachsen:</w:t>
      </w:r>
      <w:r>
        <w:rPr>
          <w:b w:val="0"/>
        </w:rPr>
        <w:t xml:space="preserve"> Schülerdaten nur im gesetzlich zugelassenen, erforderlichen Umfang verarbeiten. Für den Einsatz digitaler Lehr- und Lernsysteme sowie schulischer Arbeits- und Kommunikationsplattformen die Voraussetzungen des § 31 Abs. 5 erfüllen, insbesondere die Zustimmung der Schulleitung. Nur die für das jeweilige Verfahren erforderlichen Daten übermitteln und die festgelegten schulischen Zugriffs- und Verwendungsgrenzen einhalten.</w:t>
      </w:r>
    </w:p>
    <w:p>
      <w:pPr>
        <w:pStyle w:val="Heading1"/>
      </w:pPr>
      <w:r>
        <w:t>15 Hessisches Schulgesetz</w:t>
      </w:r>
    </w:p>
    <w:p>
      <w:pPr>
        <w:keepNext/>
        <w:spacing w:after="80" w:line="240" w:lineRule="auto"/>
      </w:pPr>
      <w:hyperlink r:id="rId25">
        <w:r>
          <w:rPr>
            <w:color w:val="444444"/>
            <w:sz w:val="17"/>
            <w:u w:val="single"/>
          </w:rPr>
          <w:t>§§ 73 und 83 HSchG</w:t>
        </w:r>
      </w:hyperlink>
    </w:p>
    <w:p>
      <w:r>
        <w:rPr>
          <w:b w:val="0"/>
        </w:rPr>
      </w:r>
      <w:r>
        <w:rPr>
          <w:b/>
        </w:rPr>
        <w:t>Hessische Schule und Lehrkraft:</w:t>
      </w:r>
      <w:r>
        <w:rPr>
          <w:b w:val="0"/>
        </w:rPr>
        <w:t xml:space="preserve"> Leistungsbewertung nach den gesetzlichen und prüfungsrechtlichen Vorgaben durchführen. Personenbezogene Daten nur für die übertragenen schulischen Aufgaben im erforderlichen Umfang erheben und verarbeiten. Für externe Verarbeitung eine die konkrete Nutzung tragende Befugnis und das erforderliche Auftragsverhältnis sicherstellen; dienstliche Vorgaben zur Nutzung externer KI-Angebote einhalten. Die allgemeine Bewertungskompetenz erlaubt keine beliebige Weitergabe von Prüfungsarbeiten.</w:t>
      </w:r>
    </w:p>
    <w:p>
      <w:pPr>
        <w:pStyle w:val="Heading1"/>
      </w:pPr>
      <w:r>
        <w:t>16 Schulgesetz Baden-Württemberg</w:t>
      </w:r>
    </w:p>
    <w:p>
      <w:pPr>
        <w:keepNext/>
        <w:spacing w:after="80" w:line="240" w:lineRule="auto"/>
      </w:pPr>
      <w:hyperlink r:id="rId26">
        <w:r>
          <w:rPr>
            <w:color w:val="444444"/>
            <w:sz w:val="17"/>
            <w:u w:val="single"/>
          </w:rPr>
          <w:t>§ 115b SchG</w:t>
        </w:r>
      </w:hyperlink>
    </w:p>
    <w:p>
      <w:r>
        <w:rPr>
          <w:b w:val="0"/>
        </w:rPr>
      </w:r>
      <w:r>
        <w:rPr>
          <w:b/>
        </w:rPr>
        <w:t>Schule in Baden-Württemberg:</w:t>
      </w:r>
      <w:r>
        <w:rPr>
          <w:b w:val="0"/>
        </w:rPr>
        <w:t xml:space="preserve"> Digitale Lehr- und Lernformen nur im gesetzlich bestimmten Zweck- und Erforderlichkeitsrahmen einsetzen und Vertraulichkeit sichern. Automatisierte adaptive Verfahren nach Abs. 9 nur zur technischen Unterstützung und Förderung des individuellen Lernwegs im Rahmen der Digitalunterrichtsverordnung verwenden. Diese besondere Lernförderungsbefugnis nicht als eigenständige Erlaubnis für verbindliche KI-Noten verwenden.</w:t>
      </w:r>
    </w:p>
    <w:p>
      <w:pPr>
        <w:pStyle w:val="Heading1"/>
      </w:pPr>
      <w:r>
        <w:t>17 Notenbildungsverordnung Baden-Württemberg</w:t>
      </w:r>
    </w:p>
    <w:p>
      <w:pPr>
        <w:keepNext/>
        <w:spacing w:after="80" w:line="240" w:lineRule="auto"/>
      </w:pPr>
      <w:hyperlink r:id="rId27">
        <w:r>
          <w:rPr>
            <w:color w:val="444444"/>
            <w:sz w:val="17"/>
            <w:u w:val="single"/>
          </w:rPr>
          <w:t>§ 7 NVO</w:t>
        </w:r>
      </w:hyperlink>
    </w:p>
    <w:p>
      <w:r>
        <w:rPr>
          <w:b w:val="0"/>
        </w:rPr>
      </w:r>
      <w:r>
        <w:rPr>
          <w:b/>
        </w:rPr>
        <w:t>Lehrkraft in Baden-Württemberg:</w:t>
      </w:r>
      <w:r>
        <w:rPr>
          <w:b w:val="0"/>
        </w:rPr>
        <w:t xml:space="preserve"> Die Leistungsbewertung auf die eigenen schriftlichen, mündlichen und praktischen Leistungen des Schülers im Unterricht stützen, einschließlich zulässig digital erbrachter Leistungen. Die Bewertungskriterien zugrunde legen und die pädagogisch-fachliche Verantwortung selbst wahrnehmen. KI-Ausgaben müssen an der tatsächlichen Schülerleistung geprüft werden.</w:t>
      </w:r>
    </w:p>
    <w:p>
      <w:pPr>
        <w:pStyle w:val="Heading1"/>
      </w:pPr>
      <w:r>
        <w:t>18 Betriebsverfassungsgesetz</w:t>
      </w:r>
    </w:p>
    <w:p>
      <w:pPr>
        <w:keepNext/>
        <w:spacing w:after="80" w:line="240" w:lineRule="auto"/>
      </w:pPr>
      <w:hyperlink r:id="rId28">
        <w:r>
          <w:rPr>
            <w:color w:val="444444"/>
            <w:sz w:val="17"/>
            <w:u w:val="single"/>
          </w:rPr>
          <w:t>§ 87 Abs. 1 Nr. 6 BetrVG</w:t>
        </w:r>
      </w:hyperlink>
    </w:p>
    <w:p>
      <w:r>
        <w:rPr>
          <w:b w:val="0"/>
        </w:rPr>
      </w:r>
      <w:r>
        <w:rPr>
          <w:b/>
        </w:rPr>
        <w:t>Privater Arbeitgeber im Anwendungsbereich des BetrVG:</w:t>
      </w:r>
      <w:r>
        <w:rPr>
          <w:b w:val="0"/>
        </w:rPr>
        <w:t xml:space="preserve"> Bestehende Mitbestimmungsrechte des Betriebsrats bei Einführung und Anwendung technischer Einrichtungen zur Verhaltens- oder Leistungskontrolle beachten. Dies kann personenbezogene Auswertungen über Lehrkräfte oder Anbieterbeschäftigte erfassen. Vor Nutzung die erforderliche Beteiligung abschließen und vereinbarte Nutzungsgrenzen umsetzen.</w:t>
      </w:r>
    </w:p>
    <w:p>
      <w:pPr>
        <w:pStyle w:val="Heading1"/>
      </w:pPr>
      <w:r>
        <w:t>19 Telekommunikation-Digitale-Dienste-Datenschutz-Gesetz</w:t>
      </w:r>
    </w:p>
    <w:p>
      <w:pPr>
        <w:keepNext/>
        <w:spacing w:after="80" w:line="240" w:lineRule="auto"/>
      </w:pPr>
      <w:hyperlink r:id="rId29">
        <w:r>
          <w:rPr>
            <w:color w:val="444444"/>
            <w:sz w:val="17"/>
            <w:u w:val="single"/>
          </w:rPr>
          <w:t>§ 25 TDDDG</w:t>
        </w:r>
      </w:hyperlink>
    </w:p>
    <w:p>
      <w:r>
        <w:rPr>
          <w:b w:val="0"/>
        </w:rPr>
      </w:r>
      <w:r>
        <w:rPr>
          <w:b/>
        </w:rPr>
        <w:t>Anbieter:</w:t>
      </w:r>
      <w:r>
        <w:rPr>
          <w:b w:val="0"/>
        </w:rPr>
        <w:t xml:space="preserve"> Vor Speicherung von Informationen auf Endgeräten oder Zugriff darauf eine informierte Einwilligung einholen, soweit keine gesetzliche Ausnahme greift. Technisch unbedingt erforderliche Vorgänge für einen ausdrücklich gewünschten Dienst können ausgenommen sein; optionale Analyse- und Werbetracker sind nicht allein wegen ihres wirtschaftlichen Nutzens erforderlich.</w:t>
      </w:r>
    </w:p>
    <w:sectPr w:rsidR="00FC693F" w:rsidRPr="0006063C" w:rsidSect="00034616">
      <w:footerReference w:type="default" r:id="rId30"/>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DE/TXT/?uri=CELEX:32016R0679" TargetMode="External"/><Relationship Id="rId10" Type="http://schemas.openxmlformats.org/officeDocument/2006/relationships/hyperlink" Target="https://eur-lex.europa.eu/eli/reg/2024/1689/oj/deu" TargetMode="External"/><Relationship Id="rId11" Type="http://schemas.openxmlformats.org/officeDocument/2006/relationships/hyperlink" Target="https://eur-lex.europa.eu/legal-content/DE/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www.bverwg.de/100419U6C19.18.0" TargetMode="External"/><Relationship Id="rId14" Type="http://schemas.openxmlformats.org/officeDocument/2006/relationships/hyperlink" Target="https://www.gesetze-im-internet.de/vwvfg/__35a.html" TargetMode="External"/><Relationship Id="rId15" Type="http://schemas.openxmlformats.org/officeDocument/2006/relationships/hyperlink" Target="https://www.gesetze-im-internet.de/beamtstg/__37.html" TargetMode="External"/><Relationship Id="rId16" Type="http://schemas.openxmlformats.org/officeDocument/2006/relationships/hyperlink" Target="https://www.gesetze-im-internet.de/stgb/__203.html" TargetMode="External"/><Relationship Id="rId17" Type="http://schemas.openxmlformats.org/officeDocument/2006/relationships/hyperlink" Target="https://www.gesetze-im-internet.de/urhg/" TargetMode="External"/><Relationship Id="rId18" Type="http://schemas.openxmlformats.org/officeDocument/2006/relationships/hyperlink" Target="https://www.gesetze-im-internet.de/bdsg_2018/__38.html" TargetMode="External"/><Relationship Id="rId19" Type="http://schemas.openxmlformats.org/officeDocument/2006/relationships/hyperlink" Target="https://recht.nrw.de/lmi/owa/br_bes_text?anw_nr=2&amp;bes_id=7345" TargetMode="External"/><Relationship Id="rId20" Type="http://schemas.openxmlformats.org/officeDocument/2006/relationships/hyperlink" Target="https://recht.nrw.de/lrgv/rechtsverordnung/01082022-verordnung-ueber-die-zur-verarbeitung-zugelassenen-daten-von/" TargetMode="External"/><Relationship Id="rId21" Type="http://schemas.openxmlformats.org/officeDocument/2006/relationships/hyperlink" Target="https://recht.nrw.de/lmi/owa/pl_text_anzeigen?v_id=720031009101436847" TargetMode="External"/><Relationship Id="rId22" Type="http://schemas.openxmlformats.org/officeDocument/2006/relationships/hyperlink" Target="https://www.gesetze-bayern.de/Content/Document/BayEUG/true" TargetMode="External"/><Relationship Id="rId23" Type="http://schemas.openxmlformats.org/officeDocument/2006/relationships/hyperlink" Target="https://www.gesetze-bayern.de/Content/Document/BaySchO2016-46" TargetMode="External"/><Relationship Id="rId24" Type="http://schemas.openxmlformats.org/officeDocument/2006/relationships/hyperlink" Target="https://www.mk.niedersachsen.de/download/231335/Nds._Schulgesetz_zuletzt_geaendert_durch_Artikel_2_des_Gesetzes_vom_23._Juni_2026.pdf" TargetMode="External"/><Relationship Id="rId25" Type="http://schemas.openxmlformats.org/officeDocument/2006/relationships/hyperlink" Target="https://www.rv.hessenrecht.hessen.de/bshe/document/jlr-SchulGHE2017V5IVZ" TargetMode="External"/><Relationship Id="rId26" Type="http://schemas.openxmlformats.org/officeDocument/2006/relationships/hyperlink" Target="https://www.landesrecht-bw.de/bsbw/?query=DOKNR%3Ajlr-NNLBW00007DD4NN00000000514&amp;source=PermaLink" TargetMode="External"/><Relationship Id="rId27" Type="http://schemas.openxmlformats.org/officeDocument/2006/relationships/hyperlink" Target="https://www.landesrecht-bw.de/bsbw/?docId=jlr-NNLBW00007BBDNN00000000032&amp;query=JURISLINK%3A%22NotBildV+BW+%C2%A7+7%22" TargetMode="External"/><Relationship Id="rId28" Type="http://schemas.openxmlformats.org/officeDocument/2006/relationships/hyperlink" Target="https://www.gesetze-im-internet.de/betrvg/__87.html" TargetMode="External"/><Relationship Id="rId29" Type="http://schemas.openxmlformats.org/officeDocument/2006/relationships/hyperlink" Target="https://www.gesetze-im-internet.de/tdddg/__25.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Rechtliche Anforderungen an KI-gestützte Prüfungsbewertung in Deutschland</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