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5CE95" w14:textId="77777777" w:rsidR="0090768F" w:rsidRDefault="00000000">
      <w:pPr>
        <w:pStyle w:val="Title"/>
      </w:pPr>
      <w:r>
        <w:t>Legal and Regulatory Requirements for AI-Supported Exam Grading</w:t>
      </w:r>
    </w:p>
    <w:p w14:paraId="4042FBA7" w14:textId="77777777" w:rsidR="0090768F" w:rsidRDefault="00000000">
      <w:pPr>
        <w:pStyle w:val="Author"/>
      </w:pPr>
      <w:r>
        <w:t>New Digital Intelligence · GRADIAS — Internal decision paper</w:t>
      </w:r>
    </w:p>
    <w:p w14:paraId="64BD011E" w14:textId="77777777" w:rsidR="0090768F" w:rsidRDefault="00000000">
      <w:pPr>
        <w:pStyle w:val="Date"/>
      </w:pPr>
      <w:r>
        <w:t>11 September 2026 · Version 1.0</w:t>
      </w:r>
    </w:p>
    <w:sdt>
      <w:sdtPr>
        <w:rPr>
          <w:rFonts w:asciiTheme="minorHAnsi" w:eastAsiaTheme="minorHAnsi" w:hAnsiTheme="minorHAnsi" w:cstheme="minorBidi"/>
          <w:color w:val="auto"/>
          <w:sz w:val="24"/>
          <w:szCs w:val="24"/>
        </w:rPr>
        <w:id w:val="1990281654"/>
        <w:docPartObj>
          <w:docPartGallery w:val="Table of Contents"/>
          <w:docPartUnique/>
        </w:docPartObj>
      </w:sdtPr>
      <w:sdtContent>
        <w:p w14:paraId="41E0D8BB" w14:textId="77777777" w:rsidR="0090768F" w:rsidRDefault="00000000">
          <w:pPr>
            <w:pStyle w:val="TOCHeading"/>
          </w:pPr>
          <w:r>
            <w:t>Table of Contents</w:t>
          </w:r>
        </w:p>
        <w:p w14:paraId="69E748EF" w14:textId="77777777" w:rsidR="00941615" w:rsidRDefault="00000000">
          <w:pPr>
            <w:pStyle w:val="TOC1"/>
            <w:tabs>
              <w:tab w:val="right" w:leader="dot" w:pos="9350"/>
            </w:tabs>
            <w:rPr>
              <w:noProof/>
            </w:rPr>
          </w:pPr>
          <w:r>
            <w:fldChar w:fldCharType="begin"/>
          </w:r>
          <w:r>
            <w:instrText>TOC \o "1-2" \h \z \u</w:instrText>
          </w:r>
          <w:r>
            <w:fldChar w:fldCharType="separate"/>
          </w:r>
          <w:hyperlink w:anchor="_Toc240060395" w:history="1">
            <w:r w:rsidR="00941615" w:rsidRPr="00670612">
              <w:rPr>
                <w:rStyle w:val="Hyperlink"/>
                <w:noProof/>
              </w:rPr>
              <w:t>PART I — ENGLISH</w:t>
            </w:r>
            <w:r w:rsidR="00941615">
              <w:rPr>
                <w:noProof/>
                <w:webHidden/>
              </w:rPr>
              <w:tab/>
            </w:r>
            <w:r w:rsidR="00941615">
              <w:rPr>
                <w:noProof/>
                <w:webHidden/>
              </w:rPr>
              <w:fldChar w:fldCharType="begin"/>
            </w:r>
            <w:r w:rsidR="00941615">
              <w:rPr>
                <w:noProof/>
                <w:webHidden/>
              </w:rPr>
              <w:instrText xml:space="preserve"> PAGEREF _Toc240060395 \h </w:instrText>
            </w:r>
            <w:r w:rsidR="00941615">
              <w:rPr>
                <w:noProof/>
                <w:webHidden/>
              </w:rPr>
            </w:r>
            <w:r w:rsidR="00941615">
              <w:rPr>
                <w:noProof/>
                <w:webHidden/>
              </w:rPr>
              <w:fldChar w:fldCharType="separate"/>
            </w:r>
            <w:r w:rsidR="00941615">
              <w:rPr>
                <w:noProof/>
                <w:webHidden/>
              </w:rPr>
              <w:t>1</w:t>
            </w:r>
            <w:r w:rsidR="00941615">
              <w:rPr>
                <w:noProof/>
                <w:webHidden/>
              </w:rPr>
              <w:fldChar w:fldCharType="end"/>
            </w:r>
          </w:hyperlink>
        </w:p>
        <w:p w14:paraId="68E5F235" w14:textId="77777777" w:rsidR="00941615" w:rsidRDefault="00941615">
          <w:pPr>
            <w:pStyle w:val="TOC2"/>
            <w:tabs>
              <w:tab w:val="right" w:leader="dot" w:pos="9350"/>
            </w:tabs>
            <w:rPr>
              <w:noProof/>
            </w:rPr>
          </w:pPr>
          <w:hyperlink w:anchor="_Toc240060396" w:history="1">
            <w:r w:rsidRPr="00670612">
              <w:rPr>
                <w:rStyle w:val="Hyperlink"/>
                <w:noProof/>
              </w:rPr>
              <w:t>0. How to read this document</w:t>
            </w:r>
            <w:r>
              <w:rPr>
                <w:noProof/>
                <w:webHidden/>
              </w:rPr>
              <w:tab/>
            </w:r>
            <w:r>
              <w:rPr>
                <w:noProof/>
                <w:webHidden/>
              </w:rPr>
              <w:fldChar w:fldCharType="begin"/>
            </w:r>
            <w:r>
              <w:rPr>
                <w:noProof/>
                <w:webHidden/>
              </w:rPr>
              <w:instrText xml:space="preserve"> PAGEREF _Toc240060396 \h </w:instrText>
            </w:r>
            <w:r>
              <w:rPr>
                <w:noProof/>
                <w:webHidden/>
              </w:rPr>
            </w:r>
            <w:r>
              <w:rPr>
                <w:noProof/>
                <w:webHidden/>
              </w:rPr>
              <w:fldChar w:fldCharType="separate"/>
            </w:r>
            <w:r>
              <w:rPr>
                <w:noProof/>
                <w:webHidden/>
              </w:rPr>
              <w:t>1</w:t>
            </w:r>
            <w:r>
              <w:rPr>
                <w:noProof/>
                <w:webHidden/>
              </w:rPr>
              <w:fldChar w:fldCharType="end"/>
            </w:r>
          </w:hyperlink>
        </w:p>
        <w:p w14:paraId="5889BEFB" w14:textId="77777777" w:rsidR="00941615" w:rsidRDefault="00941615">
          <w:pPr>
            <w:pStyle w:val="TOC2"/>
            <w:tabs>
              <w:tab w:val="right" w:leader="dot" w:pos="9350"/>
            </w:tabs>
            <w:rPr>
              <w:noProof/>
            </w:rPr>
          </w:pPr>
          <w:hyperlink w:anchor="_Toc240060397" w:history="1">
            <w:r w:rsidRPr="00670612">
              <w:rPr>
                <w:rStyle w:val="Hyperlink"/>
                <w:noProof/>
              </w:rPr>
              <w:t>1. Executive summary — the twelve findings that matter</w:t>
            </w:r>
            <w:r>
              <w:rPr>
                <w:noProof/>
                <w:webHidden/>
              </w:rPr>
              <w:tab/>
            </w:r>
            <w:r>
              <w:rPr>
                <w:noProof/>
                <w:webHidden/>
              </w:rPr>
              <w:fldChar w:fldCharType="begin"/>
            </w:r>
            <w:r>
              <w:rPr>
                <w:noProof/>
                <w:webHidden/>
              </w:rPr>
              <w:instrText xml:space="preserve"> PAGEREF _Toc240060397 \h </w:instrText>
            </w:r>
            <w:r>
              <w:rPr>
                <w:noProof/>
                <w:webHidden/>
              </w:rPr>
            </w:r>
            <w:r>
              <w:rPr>
                <w:noProof/>
                <w:webHidden/>
              </w:rPr>
              <w:fldChar w:fldCharType="separate"/>
            </w:r>
            <w:r>
              <w:rPr>
                <w:noProof/>
                <w:webHidden/>
              </w:rPr>
              <w:t>1</w:t>
            </w:r>
            <w:r>
              <w:rPr>
                <w:noProof/>
                <w:webHidden/>
              </w:rPr>
              <w:fldChar w:fldCharType="end"/>
            </w:r>
          </w:hyperlink>
        </w:p>
        <w:p w14:paraId="37709A52" w14:textId="77777777" w:rsidR="00941615" w:rsidRDefault="00941615">
          <w:pPr>
            <w:pStyle w:val="TOC2"/>
            <w:tabs>
              <w:tab w:val="right" w:leader="dot" w:pos="9350"/>
            </w:tabs>
            <w:rPr>
              <w:noProof/>
            </w:rPr>
          </w:pPr>
          <w:hyperlink w:anchor="_Toc240060398" w:history="1">
            <w:r w:rsidRPr="00670612">
              <w:rPr>
                <w:rStyle w:val="Hyperlink"/>
                <w:noProof/>
              </w:rPr>
              <w:t>2. The current slide, corrected</w:t>
            </w:r>
            <w:r>
              <w:rPr>
                <w:noProof/>
                <w:webHidden/>
              </w:rPr>
              <w:tab/>
            </w:r>
            <w:r>
              <w:rPr>
                <w:noProof/>
                <w:webHidden/>
              </w:rPr>
              <w:fldChar w:fldCharType="begin"/>
            </w:r>
            <w:r>
              <w:rPr>
                <w:noProof/>
                <w:webHidden/>
              </w:rPr>
              <w:instrText xml:space="preserve"> PAGEREF _Toc240060398 \h </w:instrText>
            </w:r>
            <w:r>
              <w:rPr>
                <w:noProof/>
                <w:webHidden/>
              </w:rPr>
            </w:r>
            <w:r>
              <w:rPr>
                <w:noProof/>
                <w:webHidden/>
              </w:rPr>
              <w:fldChar w:fldCharType="separate"/>
            </w:r>
            <w:r>
              <w:rPr>
                <w:noProof/>
                <w:webHidden/>
              </w:rPr>
              <w:t>1</w:t>
            </w:r>
            <w:r>
              <w:rPr>
                <w:noProof/>
                <w:webHidden/>
              </w:rPr>
              <w:fldChar w:fldCharType="end"/>
            </w:r>
          </w:hyperlink>
        </w:p>
        <w:p w14:paraId="75DD0E48" w14:textId="77777777" w:rsidR="00941615" w:rsidRDefault="00941615">
          <w:pPr>
            <w:pStyle w:val="TOC2"/>
            <w:tabs>
              <w:tab w:val="right" w:leader="dot" w:pos="9350"/>
            </w:tabs>
            <w:rPr>
              <w:noProof/>
            </w:rPr>
          </w:pPr>
          <w:hyperlink w:anchor="_Toc240060399" w:history="1">
            <w:r w:rsidRPr="00670612">
              <w:rPr>
                <w:rStyle w:val="Hyperlink"/>
                <w:noProof/>
              </w:rPr>
              <w:t>3. Question 1 — What does the GDPR require?</w:t>
            </w:r>
            <w:r>
              <w:rPr>
                <w:noProof/>
                <w:webHidden/>
              </w:rPr>
              <w:tab/>
            </w:r>
            <w:r>
              <w:rPr>
                <w:noProof/>
                <w:webHidden/>
              </w:rPr>
              <w:fldChar w:fldCharType="begin"/>
            </w:r>
            <w:r>
              <w:rPr>
                <w:noProof/>
                <w:webHidden/>
              </w:rPr>
              <w:instrText xml:space="preserve"> PAGEREF _Toc240060399 \h </w:instrText>
            </w:r>
            <w:r>
              <w:rPr>
                <w:noProof/>
                <w:webHidden/>
              </w:rPr>
            </w:r>
            <w:r>
              <w:rPr>
                <w:noProof/>
                <w:webHidden/>
              </w:rPr>
              <w:fldChar w:fldCharType="separate"/>
            </w:r>
            <w:r>
              <w:rPr>
                <w:noProof/>
                <w:webHidden/>
              </w:rPr>
              <w:t>1</w:t>
            </w:r>
            <w:r>
              <w:rPr>
                <w:noProof/>
                <w:webHidden/>
              </w:rPr>
              <w:fldChar w:fldCharType="end"/>
            </w:r>
          </w:hyperlink>
        </w:p>
        <w:p w14:paraId="3C79DFD6" w14:textId="77777777" w:rsidR="00941615" w:rsidRDefault="00941615">
          <w:pPr>
            <w:pStyle w:val="TOC2"/>
            <w:tabs>
              <w:tab w:val="right" w:leader="dot" w:pos="9350"/>
            </w:tabs>
            <w:rPr>
              <w:noProof/>
            </w:rPr>
          </w:pPr>
          <w:hyperlink w:anchor="_Toc240060400" w:history="1">
            <w:r w:rsidRPr="00670612">
              <w:rPr>
                <w:rStyle w:val="Hyperlink"/>
                <w:noProof/>
              </w:rPr>
              <w:t>4. Question 2 — What does the EU AI Act imply?</w:t>
            </w:r>
            <w:r>
              <w:rPr>
                <w:noProof/>
                <w:webHidden/>
              </w:rPr>
              <w:tab/>
            </w:r>
            <w:r>
              <w:rPr>
                <w:noProof/>
                <w:webHidden/>
              </w:rPr>
              <w:fldChar w:fldCharType="begin"/>
            </w:r>
            <w:r>
              <w:rPr>
                <w:noProof/>
                <w:webHidden/>
              </w:rPr>
              <w:instrText xml:space="preserve"> PAGEREF _Toc240060400 \h </w:instrText>
            </w:r>
            <w:r>
              <w:rPr>
                <w:noProof/>
                <w:webHidden/>
              </w:rPr>
            </w:r>
            <w:r>
              <w:rPr>
                <w:noProof/>
                <w:webHidden/>
              </w:rPr>
              <w:fldChar w:fldCharType="separate"/>
            </w:r>
            <w:r>
              <w:rPr>
                <w:noProof/>
                <w:webHidden/>
              </w:rPr>
              <w:t>1</w:t>
            </w:r>
            <w:r>
              <w:rPr>
                <w:noProof/>
                <w:webHidden/>
              </w:rPr>
              <w:fldChar w:fldCharType="end"/>
            </w:r>
          </w:hyperlink>
        </w:p>
        <w:p w14:paraId="2A8CDC00" w14:textId="77777777" w:rsidR="00941615" w:rsidRDefault="00941615">
          <w:pPr>
            <w:pStyle w:val="TOC2"/>
            <w:tabs>
              <w:tab w:val="right" w:leader="dot" w:pos="9350"/>
            </w:tabs>
            <w:rPr>
              <w:noProof/>
            </w:rPr>
          </w:pPr>
          <w:hyperlink w:anchor="_Toc240060401" w:history="1">
            <w:r w:rsidRPr="00670612">
              <w:rPr>
                <w:rStyle w:val="Hyperlink"/>
                <w:noProof/>
              </w:rPr>
              <w:t>5. Question 3 — What other rules exist below the EU level in Germany?</w:t>
            </w:r>
            <w:r>
              <w:rPr>
                <w:noProof/>
                <w:webHidden/>
              </w:rPr>
              <w:tab/>
            </w:r>
            <w:r>
              <w:rPr>
                <w:noProof/>
                <w:webHidden/>
              </w:rPr>
              <w:fldChar w:fldCharType="begin"/>
            </w:r>
            <w:r>
              <w:rPr>
                <w:noProof/>
                <w:webHidden/>
              </w:rPr>
              <w:instrText xml:space="preserve"> PAGEREF _Toc240060401 \h </w:instrText>
            </w:r>
            <w:r>
              <w:rPr>
                <w:noProof/>
                <w:webHidden/>
              </w:rPr>
            </w:r>
            <w:r>
              <w:rPr>
                <w:noProof/>
                <w:webHidden/>
              </w:rPr>
              <w:fldChar w:fldCharType="separate"/>
            </w:r>
            <w:r>
              <w:rPr>
                <w:noProof/>
                <w:webHidden/>
              </w:rPr>
              <w:t>1</w:t>
            </w:r>
            <w:r>
              <w:rPr>
                <w:noProof/>
                <w:webHidden/>
              </w:rPr>
              <w:fldChar w:fldCharType="end"/>
            </w:r>
          </w:hyperlink>
        </w:p>
        <w:p w14:paraId="78E0BBDF" w14:textId="77777777" w:rsidR="00941615" w:rsidRDefault="00941615">
          <w:pPr>
            <w:pStyle w:val="TOC2"/>
            <w:tabs>
              <w:tab w:val="right" w:leader="dot" w:pos="9350"/>
            </w:tabs>
            <w:rPr>
              <w:noProof/>
            </w:rPr>
          </w:pPr>
          <w:hyperlink w:anchor="_Toc240060402" w:history="1">
            <w:r w:rsidRPr="00670612">
              <w:rPr>
                <w:rStyle w:val="Hyperlink"/>
                <w:noProof/>
              </w:rPr>
              <w:t>6. Question 4 — Why is AI processing legally different from ordinary data processing?</w:t>
            </w:r>
            <w:r>
              <w:rPr>
                <w:noProof/>
                <w:webHidden/>
              </w:rPr>
              <w:tab/>
            </w:r>
            <w:r>
              <w:rPr>
                <w:noProof/>
                <w:webHidden/>
              </w:rPr>
              <w:fldChar w:fldCharType="begin"/>
            </w:r>
            <w:r>
              <w:rPr>
                <w:noProof/>
                <w:webHidden/>
              </w:rPr>
              <w:instrText xml:space="preserve"> PAGEREF _Toc240060402 \h </w:instrText>
            </w:r>
            <w:r>
              <w:rPr>
                <w:noProof/>
                <w:webHidden/>
              </w:rPr>
            </w:r>
            <w:r>
              <w:rPr>
                <w:noProof/>
                <w:webHidden/>
              </w:rPr>
              <w:fldChar w:fldCharType="separate"/>
            </w:r>
            <w:r>
              <w:rPr>
                <w:noProof/>
                <w:webHidden/>
              </w:rPr>
              <w:t>1</w:t>
            </w:r>
            <w:r>
              <w:rPr>
                <w:noProof/>
                <w:webHidden/>
              </w:rPr>
              <w:fldChar w:fldCharType="end"/>
            </w:r>
          </w:hyperlink>
        </w:p>
        <w:p w14:paraId="60944BFA" w14:textId="77777777" w:rsidR="00941615" w:rsidRDefault="00941615">
          <w:pPr>
            <w:pStyle w:val="TOC2"/>
            <w:tabs>
              <w:tab w:val="right" w:leader="dot" w:pos="9350"/>
            </w:tabs>
            <w:rPr>
              <w:noProof/>
            </w:rPr>
          </w:pPr>
          <w:hyperlink w:anchor="_Toc240060403" w:history="1">
            <w:r w:rsidRPr="00670612">
              <w:rPr>
                <w:rStyle w:val="Hyperlink"/>
                <w:noProof/>
              </w:rPr>
              <w:t>7. Question 5 — Can a teacher use the service, or must the school authorise it?</w:t>
            </w:r>
            <w:r>
              <w:rPr>
                <w:noProof/>
                <w:webHidden/>
              </w:rPr>
              <w:tab/>
            </w:r>
            <w:r>
              <w:rPr>
                <w:noProof/>
                <w:webHidden/>
              </w:rPr>
              <w:fldChar w:fldCharType="begin"/>
            </w:r>
            <w:r>
              <w:rPr>
                <w:noProof/>
                <w:webHidden/>
              </w:rPr>
              <w:instrText xml:space="preserve"> PAGEREF _Toc240060403 \h </w:instrText>
            </w:r>
            <w:r>
              <w:rPr>
                <w:noProof/>
                <w:webHidden/>
              </w:rPr>
            </w:r>
            <w:r>
              <w:rPr>
                <w:noProof/>
                <w:webHidden/>
              </w:rPr>
              <w:fldChar w:fldCharType="separate"/>
            </w:r>
            <w:r>
              <w:rPr>
                <w:noProof/>
                <w:webHidden/>
              </w:rPr>
              <w:t>1</w:t>
            </w:r>
            <w:r>
              <w:rPr>
                <w:noProof/>
                <w:webHidden/>
              </w:rPr>
              <w:fldChar w:fldCharType="end"/>
            </w:r>
          </w:hyperlink>
        </w:p>
        <w:p w14:paraId="34339A4D" w14:textId="77777777" w:rsidR="00941615" w:rsidRDefault="00941615">
          <w:pPr>
            <w:pStyle w:val="TOC2"/>
            <w:tabs>
              <w:tab w:val="right" w:leader="dot" w:pos="9350"/>
            </w:tabs>
            <w:rPr>
              <w:noProof/>
            </w:rPr>
          </w:pPr>
          <w:hyperlink w:anchor="_Toc240060404" w:history="1">
            <w:r w:rsidRPr="00670612">
              <w:rPr>
                <w:rStyle w:val="Hyperlink"/>
                <w:noProof/>
              </w:rPr>
              <w:t>8. Question 6 — Could a Land or the Bund authorise all schools at once?</w:t>
            </w:r>
            <w:r>
              <w:rPr>
                <w:noProof/>
                <w:webHidden/>
              </w:rPr>
              <w:tab/>
            </w:r>
            <w:r>
              <w:rPr>
                <w:noProof/>
                <w:webHidden/>
              </w:rPr>
              <w:fldChar w:fldCharType="begin"/>
            </w:r>
            <w:r>
              <w:rPr>
                <w:noProof/>
                <w:webHidden/>
              </w:rPr>
              <w:instrText xml:space="preserve"> PAGEREF _Toc240060404 \h </w:instrText>
            </w:r>
            <w:r>
              <w:rPr>
                <w:noProof/>
                <w:webHidden/>
              </w:rPr>
            </w:r>
            <w:r>
              <w:rPr>
                <w:noProof/>
                <w:webHidden/>
              </w:rPr>
              <w:fldChar w:fldCharType="separate"/>
            </w:r>
            <w:r>
              <w:rPr>
                <w:noProof/>
                <w:webHidden/>
              </w:rPr>
              <w:t>1</w:t>
            </w:r>
            <w:r>
              <w:rPr>
                <w:noProof/>
                <w:webHidden/>
              </w:rPr>
              <w:fldChar w:fldCharType="end"/>
            </w:r>
          </w:hyperlink>
        </w:p>
        <w:p w14:paraId="3AB345B4" w14:textId="77777777" w:rsidR="00941615" w:rsidRDefault="00941615">
          <w:pPr>
            <w:pStyle w:val="TOC2"/>
            <w:tabs>
              <w:tab w:val="right" w:leader="dot" w:pos="9350"/>
            </w:tabs>
            <w:rPr>
              <w:noProof/>
            </w:rPr>
          </w:pPr>
          <w:hyperlink w:anchor="_Toc240060405" w:history="1">
            <w:r w:rsidRPr="00670612">
              <w:rPr>
                <w:rStyle w:val="Hyperlink"/>
                <w:noProof/>
              </w:rPr>
              <w:t>9. United Kingdom</w:t>
            </w:r>
            <w:r>
              <w:rPr>
                <w:noProof/>
                <w:webHidden/>
              </w:rPr>
              <w:tab/>
            </w:r>
            <w:r>
              <w:rPr>
                <w:noProof/>
                <w:webHidden/>
              </w:rPr>
              <w:fldChar w:fldCharType="begin"/>
            </w:r>
            <w:r>
              <w:rPr>
                <w:noProof/>
                <w:webHidden/>
              </w:rPr>
              <w:instrText xml:space="preserve"> PAGEREF _Toc240060405 \h </w:instrText>
            </w:r>
            <w:r>
              <w:rPr>
                <w:noProof/>
                <w:webHidden/>
              </w:rPr>
            </w:r>
            <w:r>
              <w:rPr>
                <w:noProof/>
                <w:webHidden/>
              </w:rPr>
              <w:fldChar w:fldCharType="separate"/>
            </w:r>
            <w:r>
              <w:rPr>
                <w:noProof/>
                <w:webHidden/>
              </w:rPr>
              <w:t>1</w:t>
            </w:r>
            <w:r>
              <w:rPr>
                <w:noProof/>
                <w:webHidden/>
              </w:rPr>
              <w:fldChar w:fldCharType="end"/>
            </w:r>
          </w:hyperlink>
        </w:p>
        <w:p w14:paraId="0A85DA0B" w14:textId="77777777" w:rsidR="00941615" w:rsidRDefault="00941615">
          <w:pPr>
            <w:pStyle w:val="TOC2"/>
            <w:tabs>
              <w:tab w:val="right" w:leader="dot" w:pos="9350"/>
            </w:tabs>
            <w:rPr>
              <w:noProof/>
            </w:rPr>
          </w:pPr>
          <w:hyperlink w:anchor="_Toc240060406" w:history="1">
            <w:r w:rsidRPr="00670612">
              <w:rPr>
                <w:rStyle w:val="Hyperlink"/>
                <w:noProof/>
              </w:rPr>
              <w:t>10. United States — federal</w:t>
            </w:r>
            <w:r>
              <w:rPr>
                <w:noProof/>
                <w:webHidden/>
              </w:rPr>
              <w:tab/>
            </w:r>
            <w:r>
              <w:rPr>
                <w:noProof/>
                <w:webHidden/>
              </w:rPr>
              <w:fldChar w:fldCharType="begin"/>
            </w:r>
            <w:r>
              <w:rPr>
                <w:noProof/>
                <w:webHidden/>
              </w:rPr>
              <w:instrText xml:space="preserve"> PAGEREF _Toc240060406 \h </w:instrText>
            </w:r>
            <w:r>
              <w:rPr>
                <w:noProof/>
                <w:webHidden/>
              </w:rPr>
            </w:r>
            <w:r>
              <w:rPr>
                <w:noProof/>
                <w:webHidden/>
              </w:rPr>
              <w:fldChar w:fldCharType="separate"/>
            </w:r>
            <w:r>
              <w:rPr>
                <w:noProof/>
                <w:webHidden/>
              </w:rPr>
              <w:t>1</w:t>
            </w:r>
            <w:r>
              <w:rPr>
                <w:noProof/>
                <w:webHidden/>
              </w:rPr>
              <w:fldChar w:fldCharType="end"/>
            </w:r>
          </w:hyperlink>
        </w:p>
        <w:p w14:paraId="4C0A8EB1" w14:textId="77777777" w:rsidR="00941615" w:rsidRDefault="00941615">
          <w:pPr>
            <w:pStyle w:val="TOC2"/>
            <w:tabs>
              <w:tab w:val="right" w:leader="dot" w:pos="9350"/>
            </w:tabs>
            <w:rPr>
              <w:noProof/>
            </w:rPr>
          </w:pPr>
          <w:hyperlink w:anchor="_Toc240060407" w:history="1">
            <w:r w:rsidRPr="00670612">
              <w:rPr>
                <w:rStyle w:val="Hyperlink"/>
                <w:noProof/>
              </w:rPr>
              <w:t>11. United States — the 50-state layer</w:t>
            </w:r>
            <w:r>
              <w:rPr>
                <w:noProof/>
                <w:webHidden/>
              </w:rPr>
              <w:tab/>
            </w:r>
            <w:r>
              <w:rPr>
                <w:noProof/>
                <w:webHidden/>
              </w:rPr>
              <w:fldChar w:fldCharType="begin"/>
            </w:r>
            <w:r>
              <w:rPr>
                <w:noProof/>
                <w:webHidden/>
              </w:rPr>
              <w:instrText xml:space="preserve"> PAGEREF _Toc240060407 \h </w:instrText>
            </w:r>
            <w:r>
              <w:rPr>
                <w:noProof/>
                <w:webHidden/>
              </w:rPr>
            </w:r>
            <w:r>
              <w:rPr>
                <w:noProof/>
                <w:webHidden/>
              </w:rPr>
              <w:fldChar w:fldCharType="separate"/>
            </w:r>
            <w:r>
              <w:rPr>
                <w:noProof/>
                <w:webHidden/>
              </w:rPr>
              <w:t>1</w:t>
            </w:r>
            <w:r>
              <w:rPr>
                <w:noProof/>
                <w:webHidden/>
              </w:rPr>
              <w:fldChar w:fldCharType="end"/>
            </w:r>
          </w:hyperlink>
        </w:p>
        <w:p w14:paraId="4C110D11" w14:textId="77777777" w:rsidR="00941615" w:rsidRDefault="00941615">
          <w:pPr>
            <w:pStyle w:val="TOC2"/>
            <w:tabs>
              <w:tab w:val="right" w:leader="dot" w:pos="9350"/>
            </w:tabs>
            <w:rPr>
              <w:noProof/>
            </w:rPr>
          </w:pPr>
          <w:hyperlink w:anchor="_Toc240060408" w:history="1">
            <w:r w:rsidRPr="00670612">
              <w:rPr>
                <w:rStyle w:val="Hyperlink"/>
                <w:noProof/>
              </w:rPr>
              <w:t>12. Consolidated product and compliance requirements</w:t>
            </w:r>
            <w:r>
              <w:rPr>
                <w:noProof/>
                <w:webHidden/>
              </w:rPr>
              <w:tab/>
            </w:r>
            <w:r>
              <w:rPr>
                <w:noProof/>
                <w:webHidden/>
              </w:rPr>
              <w:fldChar w:fldCharType="begin"/>
            </w:r>
            <w:r>
              <w:rPr>
                <w:noProof/>
                <w:webHidden/>
              </w:rPr>
              <w:instrText xml:space="preserve"> PAGEREF _Toc240060408 \h </w:instrText>
            </w:r>
            <w:r>
              <w:rPr>
                <w:noProof/>
                <w:webHidden/>
              </w:rPr>
            </w:r>
            <w:r>
              <w:rPr>
                <w:noProof/>
                <w:webHidden/>
              </w:rPr>
              <w:fldChar w:fldCharType="separate"/>
            </w:r>
            <w:r>
              <w:rPr>
                <w:noProof/>
                <w:webHidden/>
              </w:rPr>
              <w:t>1</w:t>
            </w:r>
            <w:r>
              <w:rPr>
                <w:noProof/>
                <w:webHidden/>
              </w:rPr>
              <w:fldChar w:fldCharType="end"/>
            </w:r>
          </w:hyperlink>
        </w:p>
        <w:p w14:paraId="452F2D2D" w14:textId="77777777" w:rsidR="00941615" w:rsidRDefault="00941615">
          <w:pPr>
            <w:pStyle w:val="TOC2"/>
            <w:tabs>
              <w:tab w:val="right" w:leader="dot" w:pos="9350"/>
            </w:tabs>
            <w:rPr>
              <w:noProof/>
            </w:rPr>
          </w:pPr>
          <w:hyperlink w:anchor="_Toc240060409" w:history="1">
            <w:r w:rsidRPr="00670612">
              <w:rPr>
                <w:rStyle w:val="Hyperlink"/>
                <w:noProof/>
              </w:rPr>
              <w:t>13. Recommended course of action</w:t>
            </w:r>
            <w:r>
              <w:rPr>
                <w:noProof/>
                <w:webHidden/>
              </w:rPr>
              <w:tab/>
            </w:r>
            <w:r>
              <w:rPr>
                <w:noProof/>
                <w:webHidden/>
              </w:rPr>
              <w:fldChar w:fldCharType="begin"/>
            </w:r>
            <w:r>
              <w:rPr>
                <w:noProof/>
                <w:webHidden/>
              </w:rPr>
              <w:instrText xml:space="preserve"> PAGEREF _Toc240060409 \h </w:instrText>
            </w:r>
            <w:r>
              <w:rPr>
                <w:noProof/>
                <w:webHidden/>
              </w:rPr>
            </w:r>
            <w:r>
              <w:rPr>
                <w:noProof/>
                <w:webHidden/>
              </w:rPr>
              <w:fldChar w:fldCharType="separate"/>
            </w:r>
            <w:r>
              <w:rPr>
                <w:noProof/>
                <w:webHidden/>
              </w:rPr>
              <w:t>1</w:t>
            </w:r>
            <w:r>
              <w:rPr>
                <w:noProof/>
                <w:webHidden/>
              </w:rPr>
              <w:fldChar w:fldCharType="end"/>
            </w:r>
          </w:hyperlink>
        </w:p>
        <w:p w14:paraId="3DE4F5AF" w14:textId="77777777" w:rsidR="00941615" w:rsidRDefault="00941615">
          <w:pPr>
            <w:pStyle w:val="TOC2"/>
            <w:tabs>
              <w:tab w:val="right" w:leader="dot" w:pos="9350"/>
            </w:tabs>
            <w:rPr>
              <w:noProof/>
            </w:rPr>
          </w:pPr>
          <w:hyperlink w:anchor="_Toc240060410" w:history="1">
            <w:r w:rsidRPr="00670612">
              <w:rPr>
                <w:rStyle w:val="Hyperlink"/>
                <w:noProof/>
              </w:rPr>
              <w:t>14. What could not be verified</w:t>
            </w:r>
            <w:r>
              <w:rPr>
                <w:noProof/>
                <w:webHidden/>
              </w:rPr>
              <w:tab/>
            </w:r>
            <w:r>
              <w:rPr>
                <w:noProof/>
                <w:webHidden/>
              </w:rPr>
              <w:fldChar w:fldCharType="begin"/>
            </w:r>
            <w:r>
              <w:rPr>
                <w:noProof/>
                <w:webHidden/>
              </w:rPr>
              <w:instrText xml:space="preserve"> PAGEREF _Toc240060410 \h </w:instrText>
            </w:r>
            <w:r>
              <w:rPr>
                <w:noProof/>
                <w:webHidden/>
              </w:rPr>
            </w:r>
            <w:r>
              <w:rPr>
                <w:noProof/>
                <w:webHidden/>
              </w:rPr>
              <w:fldChar w:fldCharType="separate"/>
            </w:r>
            <w:r>
              <w:rPr>
                <w:noProof/>
                <w:webHidden/>
              </w:rPr>
              <w:t>1</w:t>
            </w:r>
            <w:r>
              <w:rPr>
                <w:noProof/>
                <w:webHidden/>
              </w:rPr>
              <w:fldChar w:fldCharType="end"/>
            </w:r>
          </w:hyperlink>
        </w:p>
        <w:p w14:paraId="13B2085A" w14:textId="77777777" w:rsidR="00941615" w:rsidRDefault="00941615">
          <w:pPr>
            <w:pStyle w:val="TOC2"/>
            <w:tabs>
              <w:tab w:val="right" w:leader="dot" w:pos="9350"/>
            </w:tabs>
            <w:rPr>
              <w:noProof/>
            </w:rPr>
          </w:pPr>
          <w:hyperlink w:anchor="_Toc240060411" w:history="1">
            <w:r w:rsidRPr="00670612">
              <w:rPr>
                <w:rStyle w:val="Hyperlink"/>
                <w:noProof/>
              </w:rPr>
              <w:t>15. Sources</w:t>
            </w:r>
            <w:r>
              <w:rPr>
                <w:noProof/>
                <w:webHidden/>
              </w:rPr>
              <w:tab/>
            </w:r>
            <w:r>
              <w:rPr>
                <w:noProof/>
                <w:webHidden/>
              </w:rPr>
              <w:fldChar w:fldCharType="begin"/>
            </w:r>
            <w:r>
              <w:rPr>
                <w:noProof/>
                <w:webHidden/>
              </w:rPr>
              <w:instrText xml:space="preserve"> PAGEREF _Toc240060411 \h </w:instrText>
            </w:r>
            <w:r>
              <w:rPr>
                <w:noProof/>
                <w:webHidden/>
              </w:rPr>
            </w:r>
            <w:r>
              <w:rPr>
                <w:noProof/>
                <w:webHidden/>
              </w:rPr>
              <w:fldChar w:fldCharType="separate"/>
            </w:r>
            <w:r>
              <w:rPr>
                <w:noProof/>
                <w:webHidden/>
              </w:rPr>
              <w:t>1</w:t>
            </w:r>
            <w:r>
              <w:rPr>
                <w:noProof/>
                <w:webHidden/>
              </w:rPr>
              <w:fldChar w:fldCharType="end"/>
            </w:r>
          </w:hyperlink>
        </w:p>
        <w:p w14:paraId="2FF72D01" w14:textId="77777777" w:rsidR="00941615" w:rsidRDefault="00941615">
          <w:pPr>
            <w:pStyle w:val="TOC1"/>
            <w:tabs>
              <w:tab w:val="right" w:leader="dot" w:pos="9350"/>
            </w:tabs>
            <w:rPr>
              <w:noProof/>
            </w:rPr>
          </w:pPr>
          <w:hyperlink w:anchor="_Toc240060412" w:history="1">
            <w:r w:rsidRPr="00670612">
              <w:rPr>
                <w:rStyle w:val="Hyperlink"/>
                <w:noProof/>
              </w:rPr>
              <w:t>TEIL II — DEUTSCH</w:t>
            </w:r>
            <w:r>
              <w:rPr>
                <w:noProof/>
                <w:webHidden/>
              </w:rPr>
              <w:tab/>
            </w:r>
            <w:r>
              <w:rPr>
                <w:noProof/>
                <w:webHidden/>
              </w:rPr>
              <w:fldChar w:fldCharType="begin"/>
            </w:r>
            <w:r>
              <w:rPr>
                <w:noProof/>
                <w:webHidden/>
              </w:rPr>
              <w:instrText xml:space="preserve"> PAGEREF _Toc240060412 \h </w:instrText>
            </w:r>
            <w:r>
              <w:rPr>
                <w:noProof/>
                <w:webHidden/>
              </w:rPr>
            </w:r>
            <w:r>
              <w:rPr>
                <w:noProof/>
                <w:webHidden/>
              </w:rPr>
              <w:fldChar w:fldCharType="separate"/>
            </w:r>
            <w:r>
              <w:rPr>
                <w:noProof/>
                <w:webHidden/>
              </w:rPr>
              <w:t>1</w:t>
            </w:r>
            <w:r>
              <w:rPr>
                <w:noProof/>
                <w:webHidden/>
              </w:rPr>
              <w:fldChar w:fldCharType="end"/>
            </w:r>
          </w:hyperlink>
        </w:p>
        <w:p w14:paraId="38863DB4" w14:textId="77777777" w:rsidR="00941615" w:rsidRDefault="00941615">
          <w:pPr>
            <w:pStyle w:val="TOC2"/>
            <w:tabs>
              <w:tab w:val="right" w:leader="dot" w:pos="9350"/>
            </w:tabs>
            <w:rPr>
              <w:noProof/>
            </w:rPr>
          </w:pPr>
          <w:hyperlink w:anchor="_Toc240060413" w:history="1">
            <w:r w:rsidRPr="00670612">
              <w:rPr>
                <w:rStyle w:val="Hyperlink"/>
                <w:noProof/>
              </w:rPr>
              <w:t>0. Hinweise zur Lektüre</w:t>
            </w:r>
            <w:r>
              <w:rPr>
                <w:noProof/>
                <w:webHidden/>
              </w:rPr>
              <w:tab/>
            </w:r>
            <w:r>
              <w:rPr>
                <w:noProof/>
                <w:webHidden/>
              </w:rPr>
              <w:fldChar w:fldCharType="begin"/>
            </w:r>
            <w:r>
              <w:rPr>
                <w:noProof/>
                <w:webHidden/>
              </w:rPr>
              <w:instrText xml:space="preserve"> PAGEREF _Toc240060413 \h </w:instrText>
            </w:r>
            <w:r>
              <w:rPr>
                <w:noProof/>
                <w:webHidden/>
              </w:rPr>
            </w:r>
            <w:r>
              <w:rPr>
                <w:noProof/>
                <w:webHidden/>
              </w:rPr>
              <w:fldChar w:fldCharType="separate"/>
            </w:r>
            <w:r>
              <w:rPr>
                <w:noProof/>
                <w:webHidden/>
              </w:rPr>
              <w:t>1</w:t>
            </w:r>
            <w:r>
              <w:rPr>
                <w:noProof/>
                <w:webHidden/>
              </w:rPr>
              <w:fldChar w:fldCharType="end"/>
            </w:r>
          </w:hyperlink>
        </w:p>
        <w:p w14:paraId="10FA0107" w14:textId="77777777" w:rsidR="00941615" w:rsidRDefault="00941615">
          <w:pPr>
            <w:pStyle w:val="TOC2"/>
            <w:tabs>
              <w:tab w:val="right" w:leader="dot" w:pos="9350"/>
            </w:tabs>
            <w:rPr>
              <w:noProof/>
            </w:rPr>
          </w:pPr>
          <w:hyperlink w:anchor="_Toc240060414" w:history="1">
            <w:r w:rsidRPr="00670612">
              <w:rPr>
                <w:rStyle w:val="Hyperlink"/>
                <w:noProof/>
              </w:rPr>
              <w:t>1. Zusammenfassung — die zwölf entscheidenden Befunde</w:t>
            </w:r>
            <w:r>
              <w:rPr>
                <w:noProof/>
                <w:webHidden/>
              </w:rPr>
              <w:tab/>
            </w:r>
            <w:r>
              <w:rPr>
                <w:noProof/>
                <w:webHidden/>
              </w:rPr>
              <w:fldChar w:fldCharType="begin"/>
            </w:r>
            <w:r>
              <w:rPr>
                <w:noProof/>
                <w:webHidden/>
              </w:rPr>
              <w:instrText xml:space="preserve"> PAGEREF _Toc240060414 \h </w:instrText>
            </w:r>
            <w:r>
              <w:rPr>
                <w:noProof/>
                <w:webHidden/>
              </w:rPr>
            </w:r>
            <w:r>
              <w:rPr>
                <w:noProof/>
                <w:webHidden/>
              </w:rPr>
              <w:fldChar w:fldCharType="separate"/>
            </w:r>
            <w:r>
              <w:rPr>
                <w:noProof/>
                <w:webHidden/>
              </w:rPr>
              <w:t>1</w:t>
            </w:r>
            <w:r>
              <w:rPr>
                <w:noProof/>
                <w:webHidden/>
              </w:rPr>
              <w:fldChar w:fldCharType="end"/>
            </w:r>
          </w:hyperlink>
        </w:p>
        <w:p w14:paraId="62062CD4" w14:textId="77777777" w:rsidR="00941615" w:rsidRDefault="00941615">
          <w:pPr>
            <w:pStyle w:val="TOC2"/>
            <w:tabs>
              <w:tab w:val="right" w:leader="dot" w:pos="9350"/>
            </w:tabs>
            <w:rPr>
              <w:noProof/>
            </w:rPr>
          </w:pPr>
          <w:hyperlink w:anchor="_Toc240060415" w:history="1">
            <w:r w:rsidRPr="00670612">
              <w:rPr>
                <w:rStyle w:val="Hyperlink"/>
                <w:noProof/>
              </w:rPr>
              <w:t>2. Die aktuelle Folie, korrigiert</w:t>
            </w:r>
            <w:r>
              <w:rPr>
                <w:noProof/>
                <w:webHidden/>
              </w:rPr>
              <w:tab/>
            </w:r>
            <w:r>
              <w:rPr>
                <w:noProof/>
                <w:webHidden/>
              </w:rPr>
              <w:fldChar w:fldCharType="begin"/>
            </w:r>
            <w:r>
              <w:rPr>
                <w:noProof/>
                <w:webHidden/>
              </w:rPr>
              <w:instrText xml:space="preserve"> PAGEREF _Toc240060415 \h </w:instrText>
            </w:r>
            <w:r>
              <w:rPr>
                <w:noProof/>
                <w:webHidden/>
              </w:rPr>
            </w:r>
            <w:r>
              <w:rPr>
                <w:noProof/>
                <w:webHidden/>
              </w:rPr>
              <w:fldChar w:fldCharType="separate"/>
            </w:r>
            <w:r>
              <w:rPr>
                <w:noProof/>
                <w:webHidden/>
              </w:rPr>
              <w:t>1</w:t>
            </w:r>
            <w:r>
              <w:rPr>
                <w:noProof/>
                <w:webHidden/>
              </w:rPr>
              <w:fldChar w:fldCharType="end"/>
            </w:r>
          </w:hyperlink>
        </w:p>
        <w:p w14:paraId="21F29F34" w14:textId="77777777" w:rsidR="00941615" w:rsidRDefault="00941615">
          <w:pPr>
            <w:pStyle w:val="TOC2"/>
            <w:tabs>
              <w:tab w:val="right" w:leader="dot" w:pos="9350"/>
            </w:tabs>
            <w:rPr>
              <w:noProof/>
            </w:rPr>
          </w:pPr>
          <w:hyperlink w:anchor="_Toc240060416" w:history="1">
            <w:r w:rsidRPr="00670612">
              <w:rPr>
                <w:rStyle w:val="Hyperlink"/>
                <w:noProof/>
              </w:rPr>
              <w:t>3. Frage 1 — Was verlangt die DSGVO?</w:t>
            </w:r>
            <w:r>
              <w:rPr>
                <w:noProof/>
                <w:webHidden/>
              </w:rPr>
              <w:tab/>
            </w:r>
            <w:r>
              <w:rPr>
                <w:noProof/>
                <w:webHidden/>
              </w:rPr>
              <w:fldChar w:fldCharType="begin"/>
            </w:r>
            <w:r>
              <w:rPr>
                <w:noProof/>
                <w:webHidden/>
              </w:rPr>
              <w:instrText xml:space="preserve"> PAGEREF _Toc240060416 \h </w:instrText>
            </w:r>
            <w:r>
              <w:rPr>
                <w:noProof/>
                <w:webHidden/>
              </w:rPr>
            </w:r>
            <w:r>
              <w:rPr>
                <w:noProof/>
                <w:webHidden/>
              </w:rPr>
              <w:fldChar w:fldCharType="separate"/>
            </w:r>
            <w:r>
              <w:rPr>
                <w:noProof/>
                <w:webHidden/>
              </w:rPr>
              <w:t>1</w:t>
            </w:r>
            <w:r>
              <w:rPr>
                <w:noProof/>
                <w:webHidden/>
              </w:rPr>
              <w:fldChar w:fldCharType="end"/>
            </w:r>
          </w:hyperlink>
        </w:p>
        <w:p w14:paraId="73D24DBA" w14:textId="77777777" w:rsidR="00941615" w:rsidRDefault="00941615">
          <w:pPr>
            <w:pStyle w:val="TOC2"/>
            <w:tabs>
              <w:tab w:val="right" w:leader="dot" w:pos="9350"/>
            </w:tabs>
            <w:rPr>
              <w:noProof/>
            </w:rPr>
          </w:pPr>
          <w:hyperlink w:anchor="_Toc240060417" w:history="1">
            <w:r w:rsidRPr="00670612">
              <w:rPr>
                <w:rStyle w:val="Hyperlink"/>
                <w:noProof/>
              </w:rPr>
              <w:t>4. Frage 2 — Was folgt aus der KI-VO?</w:t>
            </w:r>
            <w:r>
              <w:rPr>
                <w:noProof/>
                <w:webHidden/>
              </w:rPr>
              <w:tab/>
            </w:r>
            <w:r>
              <w:rPr>
                <w:noProof/>
                <w:webHidden/>
              </w:rPr>
              <w:fldChar w:fldCharType="begin"/>
            </w:r>
            <w:r>
              <w:rPr>
                <w:noProof/>
                <w:webHidden/>
              </w:rPr>
              <w:instrText xml:space="preserve"> PAGEREF _Toc240060417 \h </w:instrText>
            </w:r>
            <w:r>
              <w:rPr>
                <w:noProof/>
                <w:webHidden/>
              </w:rPr>
            </w:r>
            <w:r>
              <w:rPr>
                <w:noProof/>
                <w:webHidden/>
              </w:rPr>
              <w:fldChar w:fldCharType="separate"/>
            </w:r>
            <w:r>
              <w:rPr>
                <w:noProof/>
                <w:webHidden/>
              </w:rPr>
              <w:t>1</w:t>
            </w:r>
            <w:r>
              <w:rPr>
                <w:noProof/>
                <w:webHidden/>
              </w:rPr>
              <w:fldChar w:fldCharType="end"/>
            </w:r>
          </w:hyperlink>
        </w:p>
        <w:p w14:paraId="65FCCF7B" w14:textId="77777777" w:rsidR="00941615" w:rsidRDefault="00941615">
          <w:pPr>
            <w:pStyle w:val="TOC2"/>
            <w:tabs>
              <w:tab w:val="right" w:leader="dot" w:pos="9350"/>
            </w:tabs>
            <w:rPr>
              <w:noProof/>
            </w:rPr>
          </w:pPr>
          <w:hyperlink w:anchor="_Toc240060418" w:history="1">
            <w:r w:rsidRPr="00670612">
              <w:rPr>
                <w:rStyle w:val="Hyperlink"/>
                <w:noProof/>
              </w:rPr>
              <w:t>5. Frage 3 — Welche Regelungen bestehen unterhalb der EU-Ebene in Deutschland?</w:t>
            </w:r>
            <w:r>
              <w:rPr>
                <w:noProof/>
                <w:webHidden/>
              </w:rPr>
              <w:tab/>
            </w:r>
            <w:r>
              <w:rPr>
                <w:noProof/>
                <w:webHidden/>
              </w:rPr>
              <w:fldChar w:fldCharType="begin"/>
            </w:r>
            <w:r>
              <w:rPr>
                <w:noProof/>
                <w:webHidden/>
              </w:rPr>
              <w:instrText xml:space="preserve"> PAGEREF _Toc240060418 \h </w:instrText>
            </w:r>
            <w:r>
              <w:rPr>
                <w:noProof/>
                <w:webHidden/>
              </w:rPr>
            </w:r>
            <w:r>
              <w:rPr>
                <w:noProof/>
                <w:webHidden/>
              </w:rPr>
              <w:fldChar w:fldCharType="separate"/>
            </w:r>
            <w:r>
              <w:rPr>
                <w:noProof/>
                <w:webHidden/>
              </w:rPr>
              <w:t>1</w:t>
            </w:r>
            <w:r>
              <w:rPr>
                <w:noProof/>
                <w:webHidden/>
              </w:rPr>
              <w:fldChar w:fldCharType="end"/>
            </w:r>
          </w:hyperlink>
        </w:p>
        <w:p w14:paraId="2EB085B7" w14:textId="77777777" w:rsidR="00941615" w:rsidRDefault="00941615">
          <w:pPr>
            <w:pStyle w:val="TOC2"/>
            <w:tabs>
              <w:tab w:val="right" w:leader="dot" w:pos="9350"/>
            </w:tabs>
            <w:rPr>
              <w:noProof/>
            </w:rPr>
          </w:pPr>
          <w:hyperlink w:anchor="_Toc240060419" w:history="1">
            <w:r w:rsidRPr="00670612">
              <w:rPr>
                <w:rStyle w:val="Hyperlink"/>
                <w:noProof/>
              </w:rPr>
              <w:t>6. Frage 4 — Warum ist KI-Verarbeitung rechtlich etwas anderes als normale Datenverarbeitung?</w:t>
            </w:r>
            <w:r>
              <w:rPr>
                <w:noProof/>
                <w:webHidden/>
              </w:rPr>
              <w:tab/>
            </w:r>
            <w:r>
              <w:rPr>
                <w:noProof/>
                <w:webHidden/>
              </w:rPr>
              <w:fldChar w:fldCharType="begin"/>
            </w:r>
            <w:r>
              <w:rPr>
                <w:noProof/>
                <w:webHidden/>
              </w:rPr>
              <w:instrText xml:space="preserve"> PAGEREF _Toc240060419 \h </w:instrText>
            </w:r>
            <w:r>
              <w:rPr>
                <w:noProof/>
                <w:webHidden/>
              </w:rPr>
            </w:r>
            <w:r>
              <w:rPr>
                <w:noProof/>
                <w:webHidden/>
              </w:rPr>
              <w:fldChar w:fldCharType="separate"/>
            </w:r>
            <w:r>
              <w:rPr>
                <w:noProof/>
                <w:webHidden/>
              </w:rPr>
              <w:t>1</w:t>
            </w:r>
            <w:r>
              <w:rPr>
                <w:noProof/>
                <w:webHidden/>
              </w:rPr>
              <w:fldChar w:fldCharType="end"/>
            </w:r>
          </w:hyperlink>
        </w:p>
        <w:p w14:paraId="450683C3" w14:textId="77777777" w:rsidR="00941615" w:rsidRDefault="00941615">
          <w:pPr>
            <w:pStyle w:val="TOC2"/>
            <w:tabs>
              <w:tab w:val="right" w:leader="dot" w:pos="9350"/>
            </w:tabs>
            <w:rPr>
              <w:noProof/>
            </w:rPr>
          </w:pPr>
          <w:hyperlink w:anchor="_Toc240060420" w:history="1">
            <w:r w:rsidRPr="00670612">
              <w:rPr>
                <w:rStyle w:val="Hyperlink"/>
                <w:noProof/>
              </w:rPr>
              <w:t>7. Frage 5 — Darf eine Lehrkraft den Dienst nutzen, oder muss die Schule ihn genehmigen?</w:t>
            </w:r>
            <w:r>
              <w:rPr>
                <w:noProof/>
                <w:webHidden/>
              </w:rPr>
              <w:tab/>
            </w:r>
            <w:r>
              <w:rPr>
                <w:noProof/>
                <w:webHidden/>
              </w:rPr>
              <w:fldChar w:fldCharType="begin"/>
            </w:r>
            <w:r>
              <w:rPr>
                <w:noProof/>
                <w:webHidden/>
              </w:rPr>
              <w:instrText xml:space="preserve"> PAGEREF _Toc240060420 \h </w:instrText>
            </w:r>
            <w:r>
              <w:rPr>
                <w:noProof/>
                <w:webHidden/>
              </w:rPr>
            </w:r>
            <w:r>
              <w:rPr>
                <w:noProof/>
                <w:webHidden/>
              </w:rPr>
              <w:fldChar w:fldCharType="separate"/>
            </w:r>
            <w:r>
              <w:rPr>
                <w:noProof/>
                <w:webHidden/>
              </w:rPr>
              <w:t>1</w:t>
            </w:r>
            <w:r>
              <w:rPr>
                <w:noProof/>
                <w:webHidden/>
              </w:rPr>
              <w:fldChar w:fldCharType="end"/>
            </w:r>
          </w:hyperlink>
        </w:p>
        <w:p w14:paraId="25F9B838" w14:textId="77777777" w:rsidR="00941615" w:rsidRDefault="00941615">
          <w:pPr>
            <w:pStyle w:val="TOC2"/>
            <w:tabs>
              <w:tab w:val="right" w:leader="dot" w:pos="9350"/>
            </w:tabs>
            <w:rPr>
              <w:noProof/>
            </w:rPr>
          </w:pPr>
          <w:hyperlink w:anchor="_Toc240060421" w:history="1">
            <w:r w:rsidRPr="00670612">
              <w:rPr>
                <w:rStyle w:val="Hyperlink"/>
                <w:noProof/>
              </w:rPr>
              <w:t>8. Frage 6 — Könnte ein Land oder der Bund alle Schulen auf einmal freigeben?</w:t>
            </w:r>
            <w:r>
              <w:rPr>
                <w:noProof/>
                <w:webHidden/>
              </w:rPr>
              <w:tab/>
            </w:r>
            <w:r>
              <w:rPr>
                <w:noProof/>
                <w:webHidden/>
              </w:rPr>
              <w:fldChar w:fldCharType="begin"/>
            </w:r>
            <w:r>
              <w:rPr>
                <w:noProof/>
                <w:webHidden/>
              </w:rPr>
              <w:instrText xml:space="preserve"> PAGEREF _Toc240060421 \h </w:instrText>
            </w:r>
            <w:r>
              <w:rPr>
                <w:noProof/>
                <w:webHidden/>
              </w:rPr>
            </w:r>
            <w:r>
              <w:rPr>
                <w:noProof/>
                <w:webHidden/>
              </w:rPr>
              <w:fldChar w:fldCharType="separate"/>
            </w:r>
            <w:r>
              <w:rPr>
                <w:noProof/>
                <w:webHidden/>
              </w:rPr>
              <w:t>1</w:t>
            </w:r>
            <w:r>
              <w:rPr>
                <w:noProof/>
                <w:webHidden/>
              </w:rPr>
              <w:fldChar w:fldCharType="end"/>
            </w:r>
          </w:hyperlink>
        </w:p>
        <w:p w14:paraId="781CF0CA" w14:textId="77777777" w:rsidR="00941615" w:rsidRDefault="00941615">
          <w:pPr>
            <w:pStyle w:val="TOC2"/>
            <w:tabs>
              <w:tab w:val="right" w:leader="dot" w:pos="9350"/>
            </w:tabs>
            <w:rPr>
              <w:noProof/>
            </w:rPr>
          </w:pPr>
          <w:hyperlink w:anchor="_Toc240060422" w:history="1">
            <w:r w:rsidRPr="00670612">
              <w:rPr>
                <w:rStyle w:val="Hyperlink"/>
                <w:noProof/>
              </w:rPr>
              <w:t>9. Vereinigtes Königreich</w:t>
            </w:r>
            <w:r>
              <w:rPr>
                <w:noProof/>
                <w:webHidden/>
              </w:rPr>
              <w:tab/>
            </w:r>
            <w:r>
              <w:rPr>
                <w:noProof/>
                <w:webHidden/>
              </w:rPr>
              <w:fldChar w:fldCharType="begin"/>
            </w:r>
            <w:r>
              <w:rPr>
                <w:noProof/>
                <w:webHidden/>
              </w:rPr>
              <w:instrText xml:space="preserve"> PAGEREF _Toc240060422 \h </w:instrText>
            </w:r>
            <w:r>
              <w:rPr>
                <w:noProof/>
                <w:webHidden/>
              </w:rPr>
            </w:r>
            <w:r>
              <w:rPr>
                <w:noProof/>
                <w:webHidden/>
              </w:rPr>
              <w:fldChar w:fldCharType="separate"/>
            </w:r>
            <w:r>
              <w:rPr>
                <w:noProof/>
                <w:webHidden/>
              </w:rPr>
              <w:t>1</w:t>
            </w:r>
            <w:r>
              <w:rPr>
                <w:noProof/>
                <w:webHidden/>
              </w:rPr>
              <w:fldChar w:fldCharType="end"/>
            </w:r>
          </w:hyperlink>
        </w:p>
        <w:p w14:paraId="094E7B49" w14:textId="77777777" w:rsidR="00941615" w:rsidRDefault="00941615">
          <w:pPr>
            <w:pStyle w:val="TOC2"/>
            <w:tabs>
              <w:tab w:val="right" w:leader="dot" w:pos="9350"/>
            </w:tabs>
            <w:rPr>
              <w:noProof/>
            </w:rPr>
          </w:pPr>
          <w:hyperlink w:anchor="_Toc240060423" w:history="1">
            <w:r w:rsidRPr="00670612">
              <w:rPr>
                <w:rStyle w:val="Hyperlink"/>
                <w:noProof/>
              </w:rPr>
              <w:t>10. Vereinigte Staaten — Bundesebene</w:t>
            </w:r>
            <w:r>
              <w:rPr>
                <w:noProof/>
                <w:webHidden/>
              </w:rPr>
              <w:tab/>
            </w:r>
            <w:r>
              <w:rPr>
                <w:noProof/>
                <w:webHidden/>
              </w:rPr>
              <w:fldChar w:fldCharType="begin"/>
            </w:r>
            <w:r>
              <w:rPr>
                <w:noProof/>
                <w:webHidden/>
              </w:rPr>
              <w:instrText xml:space="preserve"> PAGEREF _Toc240060423 \h </w:instrText>
            </w:r>
            <w:r>
              <w:rPr>
                <w:noProof/>
                <w:webHidden/>
              </w:rPr>
            </w:r>
            <w:r>
              <w:rPr>
                <w:noProof/>
                <w:webHidden/>
              </w:rPr>
              <w:fldChar w:fldCharType="separate"/>
            </w:r>
            <w:r>
              <w:rPr>
                <w:noProof/>
                <w:webHidden/>
              </w:rPr>
              <w:t>1</w:t>
            </w:r>
            <w:r>
              <w:rPr>
                <w:noProof/>
                <w:webHidden/>
              </w:rPr>
              <w:fldChar w:fldCharType="end"/>
            </w:r>
          </w:hyperlink>
        </w:p>
        <w:p w14:paraId="22DC436A" w14:textId="77777777" w:rsidR="00941615" w:rsidRDefault="00941615">
          <w:pPr>
            <w:pStyle w:val="TOC2"/>
            <w:tabs>
              <w:tab w:val="right" w:leader="dot" w:pos="9350"/>
            </w:tabs>
            <w:rPr>
              <w:noProof/>
            </w:rPr>
          </w:pPr>
          <w:hyperlink w:anchor="_Toc240060424" w:history="1">
            <w:r w:rsidRPr="00670612">
              <w:rPr>
                <w:rStyle w:val="Hyperlink"/>
                <w:noProof/>
              </w:rPr>
              <w:t>11. Vereinigte Staaten — die einzelstaatliche Ebene</w:t>
            </w:r>
            <w:r>
              <w:rPr>
                <w:noProof/>
                <w:webHidden/>
              </w:rPr>
              <w:tab/>
            </w:r>
            <w:r>
              <w:rPr>
                <w:noProof/>
                <w:webHidden/>
              </w:rPr>
              <w:fldChar w:fldCharType="begin"/>
            </w:r>
            <w:r>
              <w:rPr>
                <w:noProof/>
                <w:webHidden/>
              </w:rPr>
              <w:instrText xml:space="preserve"> PAGEREF _Toc240060424 \h </w:instrText>
            </w:r>
            <w:r>
              <w:rPr>
                <w:noProof/>
                <w:webHidden/>
              </w:rPr>
            </w:r>
            <w:r>
              <w:rPr>
                <w:noProof/>
                <w:webHidden/>
              </w:rPr>
              <w:fldChar w:fldCharType="separate"/>
            </w:r>
            <w:r>
              <w:rPr>
                <w:noProof/>
                <w:webHidden/>
              </w:rPr>
              <w:t>1</w:t>
            </w:r>
            <w:r>
              <w:rPr>
                <w:noProof/>
                <w:webHidden/>
              </w:rPr>
              <w:fldChar w:fldCharType="end"/>
            </w:r>
          </w:hyperlink>
        </w:p>
        <w:p w14:paraId="7712ED35" w14:textId="77777777" w:rsidR="00941615" w:rsidRDefault="00941615">
          <w:pPr>
            <w:pStyle w:val="TOC2"/>
            <w:tabs>
              <w:tab w:val="right" w:leader="dot" w:pos="9350"/>
            </w:tabs>
            <w:rPr>
              <w:noProof/>
            </w:rPr>
          </w:pPr>
          <w:hyperlink w:anchor="_Toc240060425" w:history="1">
            <w:r w:rsidRPr="00670612">
              <w:rPr>
                <w:rStyle w:val="Hyperlink"/>
                <w:noProof/>
              </w:rPr>
              <w:t>12. Konsolidierte Produkt- und Compliance-Anforderungen</w:t>
            </w:r>
            <w:r>
              <w:rPr>
                <w:noProof/>
                <w:webHidden/>
              </w:rPr>
              <w:tab/>
            </w:r>
            <w:r>
              <w:rPr>
                <w:noProof/>
                <w:webHidden/>
              </w:rPr>
              <w:fldChar w:fldCharType="begin"/>
            </w:r>
            <w:r>
              <w:rPr>
                <w:noProof/>
                <w:webHidden/>
              </w:rPr>
              <w:instrText xml:space="preserve"> PAGEREF _Toc240060425 \h </w:instrText>
            </w:r>
            <w:r>
              <w:rPr>
                <w:noProof/>
                <w:webHidden/>
              </w:rPr>
            </w:r>
            <w:r>
              <w:rPr>
                <w:noProof/>
                <w:webHidden/>
              </w:rPr>
              <w:fldChar w:fldCharType="separate"/>
            </w:r>
            <w:r>
              <w:rPr>
                <w:noProof/>
                <w:webHidden/>
              </w:rPr>
              <w:t>1</w:t>
            </w:r>
            <w:r>
              <w:rPr>
                <w:noProof/>
                <w:webHidden/>
              </w:rPr>
              <w:fldChar w:fldCharType="end"/>
            </w:r>
          </w:hyperlink>
        </w:p>
        <w:p w14:paraId="2C22F0D5" w14:textId="77777777" w:rsidR="00941615" w:rsidRDefault="00941615">
          <w:pPr>
            <w:pStyle w:val="TOC2"/>
            <w:tabs>
              <w:tab w:val="right" w:leader="dot" w:pos="9350"/>
            </w:tabs>
            <w:rPr>
              <w:noProof/>
            </w:rPr>
          </w:pPr>
          <w:hyperlink w:anchor="_Toc240060426" w:history="1">
            <w:r w:rsidRPr="00670612">
              <w:rPr>
                <w:rStyle w:val="Hyperlink"/>
                <w:noProof/>
              </w:rPr>
              <w:t>13. Empfohlenes Vorgehen</w:t>
            </w:r>
            <w:r>
              <w:rPr>
                <w:noProof/>
                <w:webHidden/>
              </w:rPr>
              <w:tab/>
            </w:r>
            <w:r>
              <w:rPr>
                <w:noProof/>
                <w:webHidden/>
              </w:rPr>
              <w:fldChar w:fldCharType="begin"/>
            </w:r>
            <w:r>
              <w:rPr>
                <w:noProof/>
                <w:webHidden/>
              </w:rPr>
              <w:instrText xml:space="preserve"> PAGEREF _Toc240060426 \h </w:instrText>
            </w:r>
            <w:r>
              <w:rPr>
                <w:noProof/>
                <w:webHidden/>
              </w:rPr>
            </w:r>
            <w:r>
              <w:rPr>
                <w:noProof/>
                <w:webHidden/>
              </w:rPr>
              <w:fldChar w:fldCharType="separate"/>
            </w:r>
            <w:r>
              <w:rPr>
                <w:noProof/>
                <w:webHidden/>
              </w:rPr>
              <w:t>1</w:t>
            </w:r>
            <w:r>
              <w:rPr>
                <w:noProof/>
                <w:webHidden/>
              </w:rPr>
              <w:fldChar w:fldCharType="end"/>
            </w:r>
          </w:hyperlink>
        </w:p>
        <w:p w14:paraId="537DE87B" w14:textId="77777777" w:rsidR="00941615" w:rsidRDefault="00941615">
          <w:pPr>
            <w:pStyle w:val="TOC2"/>
            <w:tabs>
              <w:tab w:val="right" w:leader="dot" w:pos="9350"/>
            </w:tabs>
            <w:rPr>
              <w:noProof/>
            </w:rPr>
          </w:pPr>
          <w:hyperlink w:anchor="_Toc240060427" w:history="1">
            <w:r w:rsidRPr="00670612">
              <w:rPr>
                <w:rStyle w:val="Hyperlink"/>
                <w:noProof/>
              </w:rPr>
              <w:t>14. Was nicht verifiziert werden konnte</w:t>
            </w:r>
            <w:r>
              <w:rPr>
                <w:noProof/>
                <w:webHidden/>
              </w:rPr>
              <w:tab/>
            </w:r>
            <w:r>
              <w:rPr>
                <w:noProof/>
                <w:webHidden/>
              </w:rPr>
              <w:fldChar w:fldCharType="begin"/>
            </w:r>
            <w:r>
              <w:rPr>
                <w:noProof/>
                <w:webHidden/>
              </w:rPr>
              <w:instrText xml:space="preserve"> PAGEREF _Toc240060427 \h </w:instrText>
            </w:r>
            <w:r>
              <w:rPr>
                <w:noProof/>
                <w:webHidden/>
              </w:rPr>
            </w:r>
            <w:r>
              <w:rPr>
                <w:noProof/>
                <w:webHidden/>
              </w:rPr>
              <w:fldChar w:fldCharType="separate"/>
            </w:r>
            <w:r>
              <w:rPr>
                <w:noProof/>
                <w:webHidden/>
              </w:rPr>
              <w:t>1</w:t>
            </w:r>
            <w:r>
              <w:rPr>
                <w:noProof/>
                <w:webHidden/>
              </w:rPr>
              <w:fldChar w:fldCharType="end"/>
            </w:r>
          </w:hyperlink>
        </w:p>
        <w:p w14:paraId="204C8D01" w14:textId="77777777" w:rsidR="00941615" w:rsidRDefault="00941615">
          <w:pPr>
            <w:pStyle w:val="TOC2"/>
            <w:tabs>
              <w:tab w:val="right" w:leader="dot" w:pos="9350"/>
            </w:tabs>
            <w:rPr>
              <w:noProof/>
            </w:rPr>
          </w:pPr>
          <w:hyperlink w:anchor="_Toc240060428" w:history="1">
            <w:r w:rsidRPr="00670612">
              <w:rPr>
                <w:rStyle w:val="Hyperlink"/>
                <w:noProof/>
              </w:rPr>
              <w:t>15. Quellen</w:t>
            </w:r>
            <w:r>
              <w:rPr>
                <w:noProof/>
                <w:webHidden/>
              </w:rPr>
              <w:tab/>
            </w:r>
            <w:r>
              <w:rPr>
                <w:noProof/>
                <w:webHidden/>
              </w:rPr>
              <w:fldChar w:fldCharType="begin"/>
            </w:r>
            <w:r>
              <w:rPr>
                <w:noProof/>
                <w:webHidden/>
              </w:rPr>
              <w:instrText xml:space="preserve"> PAGEREF _Toc240060428 \h </w:instrText>
            </w:r>
            <w:r>
              <w:rPr>
                <w:noProof/>
                <w:webHidden/>
              </w:rPr>
            </w:r>
            <w:r>
              <w:rPr>
                <w:noProof/>
                <w:webHidden/>
              </w:rPr>
              <w:fldChar w:fldCharType="separate"/>
            </w:r>
            <w:r>
              <w:rPr>
                <w:noProof/>
                <w:webHidden/>
              </w:rPr>
              <w:t>1</w:t>
            </w:r>
            <w:r>
              <w:rPr>
                <w:noProof/>
                <w:webHidden/>
              </w:rPr>
              <w:fldChar w:fldCharType="end"/>
            </w:r>
          </w:hyperlink>
        </w:p>
        <w:p w14:paraId="33CA1C6E" w14:textId="77777777" w:rsidR="0090768F" w:rsidRDefault="00000000">
          <w:r>
            <w:fldChar w:fldCharType="end"/>
          </w:r>
        </w:p>
      </w:sdtContent>
    </w:sdt>
    <w:p w14:paraId="6BB18339" w14:textId="77777777" w:rsidR="0090768F" w:rsidRDefault="00000000">
      <w:pPr>
        <w:pStyle w:val="FirstParagraph"/>
      </w:pPr>
      <w:r>
        <w:rPr>
          <w:b/>
          <w:bCs/>
        </w:rPr>
        <w:t>Germany · United Kingdom · United States</w:t>
      </w:r>
    </w:p>
    <w:p w14:paraId="140404B1" w14:textId="77777777" w:rsidR="0090768F" w:rsidRDefault="00000000">
      <w:pPr>
        <w:pStyle w:val="BodyText"/>
      </w:pPr>
      <w:r>
        <w:rPr>
          <w:b/>
          <w:bCs/>
        </w:rPr>
        <w:t>Confidential — internal decision paper. Not legal advice.</w:t>
      </w:r>
    </w:p>
    <w:p w14:paraId="7934ABD3" w14:textId="77777777" w:rsidR="0090768F" w:rsidRDefault="00000000">
      <w:pPr>
        <w:pStyle w:val="BodyText"/>
      </w:pPr>
      <w:r>
        <w:t>Bilingual document. Part I is in English; Part II is a one-to-one German rendering of the same content. / Zweisprachiges Dokument. Teil I ist englisch; Teil II ist eine 1:1-Entsprechung desselben Inhalts auf Deutsch.</w:t>
      </w:r>
    </w:p>
    <w:p w14:paraId="74B0C053" w14:textId="77777777" w:rsidR="0090768F" w:rsidRDefault="00000000">
      <w:pPr>
        <w:pStyle w:val="Heading1"/>
      </w:pPr>
      <w:bookmarkStart w:id="0" w:name="part-i-english"/>
      <w:bookmarkStart w:id="1" w:name="_Toc240060395"/>
      <w:r>
        <w:t>PART I — ENGLISH</w:t>
      </w:r>
      <w:bookmarkEnd w:id="1"/>
    </w:p>
    <w:p w14:paraId="3BCF27F7" w14:textId="77777777" w:rsidR="0090768F" w:rsidRDefault="00000000">
      <w:pPr>
        <w:pStyle w:val="Heading2"/>
      </w:pPr>
      <w:bookmarkStart w:id="2" w:name="how-to-read-this-document"/>
      <w:bookmarkStart w:id="3" w:name="_Toc240060396"/>
      <w:r>
        <w:t>0. How to read this document</w:t>
      </w:r>
      <w:bookmarkEnd w:id="3"/>
    </w:p>
    <w:p w14:paraId="153CF34B" w14:textId="77777777" w:rsidR="0090768F" w:rsidRDefault="00000000">
      <w:pPr>
        <w:pStyle w:val="FirstParagraph"/>
      </w:pPr>
      <w:r>
        <w:rPr>
          <w:b/>
          <w:bCs/>
        </w:rPr>
        <w:t>Purpose.</w:t>
      </w:r>
      <w:r>
        <w:t xml:space="preserve"> This paper establishes what the law actually requires of an AI-supported exam-grading product in our three pilot markets — Germany, the United Kingdom and the United States — and answers six specific questions put by the CEO. It is an internal decision paper, not a legal opinion. It is written to be argued with.</w:t>
      </w:r>
    </w:p>
    <w:p w14:paraId="5E4E3F70" w14:textId="77777777" w:rsidR="0090768F" w:rsidRDefault="00000000">
      <w:pPr>
        <w:pStyle w:val="BodyText"/>
      </w:pPr>
      <w:r>
        <w:rPr>
          <w:b/>
          <w:bCs/>
        </w:rPr>
        <w:t>Scope of the product assumed throughout.</w:t>
      </w:r>
      <w:r>
        <w:t xml:space="preserve"> Scanned handwritten (or typed) school and university exam scripts are ingested; OCR/handwriting recognition transcribes them; a language model applies a rubric and produces a proposed score plus feedback; a teacher or examiner reviews and decides the final mark. Where a conclusion turns on a different configuration — a student-facing feature, proctoring, model training on customer data — this is stated.</w:t>
      </w:r>
    </w:p>
    <w:p w14:paraId="7AE4988E" w14:textId="77777777" w:rsidR="0090768F" w:rsidRDefault="00000000">
      <w:pPr>
        <w:pStyle w:val="BodyText"/>
      </w:pPr>
      <w:r>
        <w:rPr>
          <w:b/>
          <w:bCs/>
        </w:rPr>
        <w:t>Status of the law.</w:t>
      </w:r>
      <w:r>
        <w:t xml:space="preserve"> Everything is stated as at </w:t>
      </w:r>
      <w:r>
        <w:rPr>
          <w:b/>
          <w:bCs/>
        </w:rPr>
        <w:t>11 September 2026</w:t>
      </w:r>
      <w:r>
        <w:t>. Three areas moved materially in the last twelve months and any paper written before mid-2026 is wrong on them: the EU AI Act timetable (Regulation (EU) 2026/1744), the UK automated-decision-making regime (Data (Use and Access) Act 2025, in force 5 February 2026), and Colorado’s AI Act (repealed and replaced in May 2026).</w:t>
      </w:r>
    </w:p>
    <w:p w14:paraId="2EBD7CDE" w14:textId="77777777" w:rsidR="0090768F" w:rsidRDefault="00000000">
      <w:pPr>
        <w:pStyle w:val="BodyText"/>
      </w:pPr>
      <w:r>
        <w:rPr>
          <w:b/>
          <w:bCs/>
        </w:rPr>
        <w:t>Verification convention.</w:t>
      </w:r>
      <w:r>
        <w:t xml:space="preserve"> Every substantive claim is traceable to a primary source listed in §15. Where a source could not be verified, the text says so in the sentence itself rather than </w:t>
      </w:r>
      <w:r>
        <w:lastRenderedPageBreak/>
        <w:t>in a footnote. §14 lists every open item. This convention is deliberate: a compliance paper that does not distinguish what it checked from what it assumed is worse than no paper, because it will be quoted back at us by a ministry lawyer.</w:t>
      </w:r>
    </w:p>
    <w:p w14:paraId="366C1F19" w14:textId="77777777" w:rsidR="0090768F" w:rsidRDefault="00000000">
      <w:pPr>
        <w:pStyle w:val="BodyText"/>
      </w:pPr>
      <w:r>
        <w:rPr>
          <w:b/>
          <w:bCs/>
        </w:rPr>
        <w:t>Not legal advice.</w:t>
      </w:r>
      <w:r>
        <w:t xml:space="preserve"> No lawyer has reviewed this. It is a structured reading of primary sources by a non-lawyer team. Four items in §14 should go to counsel before anything in this paper is relied on commercially.</w:t>
      </w:r>
    </w:p>
    <w:p w14:paraId="6CF1E2BD" w14:textId="77777777" w:rsidR="0090768F" w:rsidRDefault="00000000">
      <w:pPr>
        <w:pStyle w:val="Heading2"/>
      </w:pPr>
      <w:bookmarkStart w:id="4" w:name="X9d70c8a9e6324ad3c70a865cc3a03ba701c897c"/>
      <w:bookmarkStart w:id="5" w:name="_Toc240060397"/>
      <w:bookmarkEnd w:id="2"/>
      <w:r>
        <w:t>1. Executive summary — the twelve findings that matter</w:t>
      </w:r>
      <w:bookmarkEnd w:id="5"/>
    </w:p>
    <w:p w14:paraId="169452A4" w14:textId="77777777" w:rsidR="0090768F" w:rsidRDefault="00000000">
      <w:pPr>
        <w:pStyle w:val="FirstParagraph"/>
      </w:pPr>
      <w:r>
        <w:rPr>
          <w:b/>
          <w:bCs/>
        </w:rPr>
        <w:t>1. Exam scripts are personal data, and this is settled, not arguable.</w:t>
      </w:r>
      <w:r>
        <w:t xml:space="preserve"> CJEU C-434/16 </w:t>
      </w:r>
      <w:r>
        <w:rPr>
          <w:i/>
          <w:iCs/>
        </w:rPr>
        <w:t>Nowak</w:t>
      </w:r>
      <w:r>
        <w:t xml:space="preserve"> holds that a candidate’s written answers </w:t>
      </w:r>
      <w:r>
        <w:rPr>
          <w:b/>
          <w:bCs/>
        </w:rPr>
        <w:t>and</w:t>
      </w:r>
      <w:r>
        <w:t xml:space="preserve"> the examiner’s comments on them are the candidate’s personal data. Anything the system generates and attaches to a script — sub-scores, confidence values, feedback text, flags — is likewise that student’s personal data and is disclosable.</w:t>
      </w:r>
    </w:p>
    <w:p w14:paraId="5333194C" w14:textId="77777777" w:rsidR="0090768F" w:rsidRDefault="00000000">
      <w:pPr>
        <w:pStyle w:val="BodyText"/>
      </w:pPr>
      <w:r>
        <w:rPr>
          <w:b/>
          <w:bCs/>
        </w:rPr>
        <w:t>2. The “we pseudonymise, so we are lighter-touch” claim in the current deck is wrong as drafted and should be rewritten.</w:t>
      </w:r>
      <w:r>
        <w:t xml:space="preserve"> Pseudonymised data is personal data (GDPR Recital 26; EDPB Guidelines 01/2025). Removing the name does almost nothing here, because handwriting within a class of 25–30 is near-unique and the teacher who receives the output knows every hand in the room — identification is not merely likely, it is the purpose. Pseudonymisation remains genuinely valuable as an Art. 25 by-design and Art. 32 security measure, and it helps in balancing tests. It exits no obligation.</w:t>
      </w:r>
    </w:p>
    <w:p w14:paraId="6A5E4988" w14:textId="77777777" w:rsidR="0090768F" w:rsidRDefault="00000000">
      <w:pPr>
        <w:pStyle w:val="BodyText"/>
      </w:pPr>
      <w:r>
        <w:rPr>
          <w:b/>
          <w:bCs/>
        </w:rPr>
        <w:t>3. AI-supported exam grading is a high-risk AI system under the EU AI Act, Annex III point 3(b) — “AI systems intended to be used to evaluate learning outcomes”. This is not arguable either.</w:t>
      </w:r>
    </w:p>
    <w:p w14:paraId="3E37C6D7" w14:textId="77777777" w:rsidR="0090768F" w:rsidRDefault="00000000">
      <w:pPr>
        <w:pStyle w:val="BodyText"/>
      </w:pPr>
      <w:r>
        <w:rPr>
          <w:b/>
          <w:bCs/>
        </w:rPr>
        <w:t>4. The deck’s “seek exception” strategy is, on our reading, not realistic and should be dropped as the primary plan.</w:t>
      </w:r>
      <w:r>
        <w:t xml:space="preserve"> Art. 6(3) AI Act closes on three independent grounds: the final sub-paragraph makes any system performing </w:t>
      </w:r>
      <w:r>
        <w:rPr>
          <w:i/>
          <w:iCs/>
        </w:rPr>
        <w:t>profiling</w:t>
      </w:r>
      <w:r>
        <w:t xml:space="preserve"> always high-risk, and scoring a student’s attainment is profiling on the GDPR Art. 4(4) definition the AI Act adopts; the chapeau requires that the system not materially influence the outcome, which is the opposite of what we sell; and the Commission’s draft classification guidelines of 19 May 2026 exclude systems that “rank, score, or label” and treat summative assessment as high-risk. Even if the derogation succeeded, Art. 6(4) and Art. 49(2) require a documented assessment and </w:t>
      </w:r>
      <w:r>
        <w:rPr>
          <w:b/>
          <w:bCs/>
        </w:rPr>
        <w:t>public</w:t>
      </w:r>
      <w:r>
        <w:t xml:space="preserve"> registration of the “we are not high-risk” claim in the EU database — an enforcement magnet for an exam-grading system. Also: the deck’s phrase “System 4” is not AI Act vocabulary and should be replaced with “Annex III, point 3(b)”.</w:t>
      </w:r>
    </w:p>
    <w:p w14:paraId="7CD3F72D" w14:textId="77777777" w:rsidR="0090768F" w:rsidRDefault="00000000">
      <w:pPr>
        <w:pStyle w:val="BodyText"/>
      </w:pPr>
      <w:r>
        <w:rPr>
          <w:b/>
          <w:bCs/>
        </w:rPr>
        <w:t>5. The timetable moved, and this is the single most commercially important fact in the paper.</w:t>
      </w:r>
      <w:r>
        <w:t xml:space="preserve"> Regulation (EU) 2026/1744 (Digital Omnibus on AI), in force 27 July 2026, deferred the Annex III high-risk obligations from 2 August 2026 to </w:t>
      </w:r>
      <w:r>
        <w:rPr>
          <w:b/>
          <w:bCs/>
        </w:rPr>
        <w:t>2 December 2027</w:t>
      </w:r>
      <w:r>
        <w:t xml:space="preserve">. We have roughly fifteen months before Arts. 8–15 and 16–27 bite — on us as provider and on schools as deployers. Note a real unresolved gap: the deferral covers only Chapter III Sections 1–3. Section 5 (Arts. 40–49: conformity assessment, declaration of conformity, CE marking, registration) was </w:t>
      </w:r>
      <w:r>
        <w:rPr>
          <w:b/>
          <w:bCs/>
        </w:rPr>
        <w:t>not</w:t>
      </w:r>
      <w:r>
        <w:t xml:space="preserve"> deferred and has applied since 2 August 2026, while Art. 6 </w:t>
      </w:r>
      <w:r>
        <w:lastRenderedPageBreak/>
        <w:t>— the provision that classifies a system as high-risk — has not. No authority has resolved this. Do not write to a customer that registration is not required.</w:t>
      </w:r>
    </w:p>
    <w:p w14:paraId="6ABE67B7" w14:textId="77777777" w:rsidR="0090768F" w:rsidRDefault="00000000">
      <w:pPr>
        <w:pStyle w:val="BodyText"/>
      </w:pPr>
      <w:r>
        <w:rPr>
          <w:b/>
          <w:bCs/>
        </w:rPr>
        <w:t>6. The conformity route is cheaper than buyers assume.</w:t>
      </w:r>
      <w:r>
        <w:t xml:space="preserve"> For Annex III points 2–8, including education, Art. 43 prescribes the </w:t>
      </w:r>
      <w:r>
        <w:rPr>
          <w:b/>
          <w:bCs/>
        </w:rPr>
        <w:t>Annex VI internal-control</w:t>
      </w:r>
      <w:r>
        <w:t xml:space="preserve"> procedure: self-assessment, EU declaration of conformity, CE marking, EU database registration. </w:t>
      </w:r>
      <w:r>
        <w:rPr>
          <w:b/>
          <w:bCs/>
        </w:rPr>
        <w:t>No notified body.</w:t>
      </w:r>
      <w:r>
        <w:t xml:space="preserve"> Say this early in a sales cycle where procurement has heard “CE marking” and priced in an external audit.</w:t>
      </w:r>
    </w:p>
    <w:p w14:paraId="259DC6C0" w14:textId="77777777" w:rsidR="0090768F" w:rsidRDefault="00000000">
      <w:pPr>
        <w:pStyle w:val="BodyText"/>
      </w:pPr>
      <w:r>
        <w:rPr>
          <w:b/>
          <w:bCs/>
        </w:rPr>
        <w:t>7. Germany has already decided the question we most need answered, and decided it helpfully.</w:t>
      </w:r>
      <w:r>
        <w:t xml:space="preserve"> The Bildungsministerkonferenz resolution of 10 October 2024 states: </w:t>
      </w:r>
      <w:r>
        <w:rPr>
          <w:i/>
          <w:iCs/>
        </w:rPr>
        <w:t>“Leistungsbewertung ist und bleibt eine pädagogische und hoheitliche Aufgabe, die als Verwaltungsakt im schulischen Kontext ausschließlich von Lehrkräften erfüllt werden kann”</w:t>
      </w:r>
      <w:r>
        <w:t xml:space="preserve"> — and in the same passage expressly endorses AI as </w:t>
      </w:r>
      <w:r>
        <w:rPr>
          <w:i/>
          <w:iCs/>
        </w:rPr>
        <w:t>Vorkorrektur</w:t>
      </w:r>
      <w:r>
        <w:t xml:space="preserve"> and </w:t>
      </w:r>
      <w:r>
        <w:rPr>
          <w:i/>
          <w:iCs/>
        </w:rPr>
        <w:t>Korrekturassistenz</w:t>
      </w:r>
      <w:r>
        <w:t xml:space="preserve">, calls for Länder rules governing its use as an </w:t>
      </w:r>
      <w:r>
        <w:rPr>
          <w:i/>
          <w:iCs/>
        </w:rPr>
        <w:t>Entscheidungsunterstützungssystem</w:t>
      </w:r>
      <w:r>
        <w:t>, and names the price of entry: data protection, security, transparency, explainability, bias. This is simultaneously the ceiling and the invitation. Every ministry conversation should use these words.</w:t>
      </w:r>
    </w:p>
    <w:p w14:paraId="30DE837A" w14:textId="77777777" w:rsidR="0090768F" w:rsidRDefault="00000000">
      <w:pPr>
        <w:pStyle w:val="BodyText"/>
      </w:pPr>
      <w:r>
        <w:rPr>
          <w:b/>
          <w:bCs/>
        </w:rPr>
        <w:t>8. But two of Germany’s three largest school markets currently forbid entering pupil personal data into AI applications at all.</w:t>
      </w:r>
      <w:r>
        <w:t xml:space="preserve"> Hessen’s 2023 Handreichung requires that </w:t>
      </w:r>
      <w:r>
        <w:rPr>
          <w:i/>
          <w:iCs/>
        </w:rPr>
        <w:t>“keine Eingabe personenbezogener Daten von Schülerinnen und Schülern”</w:t>
      </w:r>
      <w:r>
        <w:t xml:space="preserve"> takes place; NRW’s 2023 Handlungsleitfaden says </w:t>
      </w:r>
      <w:r>
        <w:rPr>
          <w:i/>
          <w:iCs/>
        </w:rPr>
        <w:t>“keine personenbezogenen Daten der Schülerinnen und Schüler übertragen werden”</w:t>
      </w:r>
      <w:r>
        <w:t xml:space="preserve">; Baden-Württemberg states that </w:t>
      </w:r>
      <w:r>
        <w:rPr>
          <w:i/>
          <w:iCs/>
        </w:rPr>
        <w:t>“KI-Anwendungen keine Noten vergeben”</w:t>
      </w:r>
      <w:r>
        <w:t xml:space="preserve"> dürfen. The first two are broader than an AI-grading rule and catch our core workflow regardless of who decides the mark.</w:t>
      </w:r>
    </w:p>
    <w:p w14:paraId="63669CFC" w14:textId="77777777" w:rsidR="0090768F" w:rsidRDefault="00000000">
      <w:pPr>
        <w:pStyle w:val="BodyText"/>
      </w:pPr>
      <w:r>
        <w:rPr>
          <w:b/>
          <w:bCs/>
        </w:rPr>
        <w:t>9. A teacher cannot lawfully sign up alone, in any of the three countries.</w:t>
      </w:r>
      <w:r>
        <w:t xml:space="preserve"> The controller is the school, trust, Land body or district — never the individual teacher. A teacher cannot conclude an Art. 28 processing agreement, cannot amend a district’s FERPA annual notification, and in Germany faces personal exposure under the Dienstgeheimnis and, at the margin, § 203(2) StGB. The recommendation is structural: a teacher tier restricted to synthetic or de-identified material with pupil-data upload technically disabled, and institutional tenancy required before any real script.</w:t>
      </w:r>
    </w:p>
    <w:p w14:paraId="72A15C31" w14:textId="77777777" w:rsidR="0090768F" w:rsidRDefault="00000000">
      <w:pPr>
        <w:pStyle w:val="BodyText"/>
      </w:pPr>
      <w:r>
        <w:rPr>
          <w:b/>
          <w:bCs/>
        </w:rPr>
        <w:t>10. No jurisdiction offers a single switch that authorises all schools.</w:t>
      </w:r>
      <w:r>
        <w:t xml:space="preserve"> Germany: the Bund has no competence over schools at all (Kulturhoheit der Länder); a Land has five mechanisms of very different speed, of which an administrative instruction is fastest and a Verordnung amendment slowest (in NRW, § 122(4) SchulG requires the consent of the Landtag education committee). England: no national mechanism exists; the unit of scale is the multi-academy trust. Wales (Hwb) and Northern Ireland (EA/EdIS) do have genuine single-decision national gates. The US: the federal government cannot; the mechanism that actually delivers “sign once, reach many” is the SDPC National Data Privacy Agreement with its Exhibit E general offer.</w:t>
      </w:r>
    </w:p>
    <w:p w14:paraId="335AAC2D" w14:textId="77777777" w:rsidR="0090768F" w:rsidRDefault="00000000">
      <w:pPr>
        <w:pStyle w:val="BodyText"/>
      </w:pPr>
      <w:r>
        <w:rPr>
          <w:b/>
          <w:bCs/>
        </w:rPr>
        <w:t>11. The interface is the compliance posture.</w:t>
      </w:r>
      <w:r>
        <w:t xml:space="preserve"> Where the AI’s number appears on screen, and how many clicks acceptance takes, simultaneously determines (a) whether the school is inside or outside Art. 22 GDPR / Art. 22C UK GDPR, (b) whether we satisfy AI Act Art. </w:t>
      </w:r>
      <w:r>
        <w:lastRenderedPageBreak/>
        <w:t>14(4)(b) on automation bias, (c) whether the California ADMT safe harbour applies, and (d) whether we comply with Oklahoma SB 1734. No other category of business software has this property. It converts an abstract legal risk into a concrete, ownable engineering decision — and it means there must never be an auto-accept, bulk-accept or timeout-accept path in the product, in any market.</w:t>
      </w:r>
    </w:p>
    <w:p w14:paraId="388C153D" w14:textId="77777777" w:rsidR="0090768F" w:rsidRDefault="00000000">
      <w:pPr>
        <w:pStyle w:val="BodyText"/>
      </w:pPr>
      <w:r>
        <w:rPr>
          <w:b/>
          <w:bCs/>
        </w:rPr>
        <w:t>12. Our commercial claim and our legal argument are in tension, and we should say so internally rather than discover it in an audit.</w:t>
      </w:r>
      <w:r>
        <w:t xml:space="preserve"> CJEU C-634/21 </w:t>
      </w:r>
      <w:r>
        <w:rPr>
          <w:i/>
          <w:iCs/>
        </w:rPr>
        <w:t>SCHUFA</w:t>
      </w:r>
      <w:r>
        <w:t xml:space="preserve"> holds that where a decision-maker “draws strongly on” an automated score, the score is itself the decision for Art. 22 purposes. The German DSK puts it operationally: </w:t>
      </w:r>
      <w:r>
        <w:rPr>
          <w:i/>
          <w:iCs/>
        </w:rPr>
        <w:t>“Eine lediglich formelle Beteiligung eines Menschen im Entscheidungsprozess ist nicht ausreichend.”</w:t>
      </w:r>
      <w:r>
        <w:t xml:space="preserve"> If teachers accept 95% of proposals in four seconds, the human-decision defence collapses — and that acceptance rate is exactly what the efficiency pitch promises. The resolution is evidence: measured, logged override and divergence rates are the single most valuable compliance artefact we can generate, and they must be built from day one.</w:t>
      </w:r>
    </w:p>
    <w:p w14:paraId="7117854C" w14:textId="77777777" w:rsidR="0090768F" w:rsidRDefault="00000000">
      <w:pPr>
        <w:pStyle w:val="Heading2"/>
      </w:pPr>
      <w:bookmarkStart w:id="6" w:name="the-current-slide-corrected"/>
      <w:bookmarkStart w:id="7" w:name="_Toc240060398"/>
      <w:bookmarkEnd w:id="4"/>
      <w:r>
        <w:t>2. The current slide, corrected</w:t>
      </w:r>
      <w:bookmarkEnd w:id="7"/>
    </w:p>
    <w:p w14:paraId="2E61A108" w14:textId="77777777" w:rsidR="0090768F" w:rsidRDefault="00000000">
      <w:pPr>
        <w:pStyle w:val="FirstParagraph"/>
      </w:pPr>
      <w:r>
        <w:t>The deck slide “Legal and Regulatory requirements” makes four claims. Two are right, one is wrong, one is unrealistic.</w:t>
      </w:r>
    </w:p>
    <w:tbl>
      <w:tblPr>
        <w:tblStyle w:val="Table"/>
        <w:tblW w:w="5000" w:type="pct"/>
        <w:tblLook w:val="0020" w:firstRow="1" w:lastRow="0" w:firstColumn="0" w:lastColumn="0" w:noHBand="0" w:noVBand="0"/>
      </w:tblPr>
      <w:tblGrid>
        <w:gridCol w:w="3533"/>
        <w:gridCol w:w="5827"/>
      </w:tblGrid>
      <w:tr w:rsidR="0090768F" w14:paraId="625BF82C"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726B8373" w14:textId="77777777" w:rsidR="0090768F" w:rsidRDefault="00000000">
            <w:pPr>
              <w:pStyle w:val="Compact"/>
            </w:pPr>
            <w:r>
              <w:t>Slide claim</w:t>
            </w:r>
          </w:p>
        </w:tc>
        <w:tc>
          <w:tcPr>
            <w:tcW w:w="0" w:type="auto"/>
          </w:tcPr>
          <w:p w14:paraId="219EC0ED" w14:textId="77777777" w:rsidR="0090768F" w:rsidRDefault="00000000">
            <w:pPr>
              <w:pStyle w:val="Compact"/>
            </w:pPr>
            <w:r>
              <w:t>Assessment</w:t>
            </w:r>
          </w:p>
        </w:tc>
      </w:tr>
      <w:tr w:rsidR="0090768F" w14:paraId="27EF6B2C" w14:textId="77777777">
        <w:tc>
          <w:tcPr>
            <w:tcW w:w="0" w:type="auto"/>
          </w:tcPr>
          <w:p w14:paraId="7D4C9309" w14:textId="77777777" w:rsidR="0090768F" w:rsidRDefault="00000000">
            <w:pPr>
              <w:pStyle w:val="Compact"/>
            </w:pPr>
            <w:r>
              <w:t>“We are subject to the GDPR in Europe”</w:t>
            </w:r>
          </w:p>
        </w:tc>
        <w:tc>
          <w:tcPr>
            <w:tcW w:w="0" w:type="auto"/>
          </w:tcPr>
          <w:p w14:paraId="7DB1C56A" w14:textId="77777777" w:rsidR="0090768F" w:rsidRDefault="00000000">
            <w:pPr>
              <w:pStyle w:val="Compact"/>
            </w:pPr>
            <w:r>
              <w:rPr>
                <w:b/>
                <w:bCs/>
              </w:rPr>
              <w:t>Correct</w:t>
            </w:r>
            <w:r>
              <w:t>, and understated — the school is controller on Art. 6(1)(e) public task; we are processor; the obligations that bite hardest are Art. 5(1)(b) purpose limitation, Art. 15 access, Art. 22 and Art. 35.</w:t>
            </w:r>
          </w:p>
        </w:tc>
      </w:tr>
      <w:tr w:rsidR="0090768F" w14:paraId="0D8D60EF" w14:textId="77777777">
        <w:tc>
          <w:tcPr>
            <w:tcW w:w="0" w:type="auto"/>
          </w:tcPr>
          <w:p w14:paraId="26EF2D9C" w14:textId="77777777" w:rsidR="0090768F" w:rsidRDefault="00000000">
            <w:pPr>
              <w:pStyle w:val="Compact"/>
            </w:pPr>
            <w:r>
              <w:t>“Although we do not store student names … data is considered ‘pseudonymized’”</w:t>
            </w:r>
          </w:p>
        </w:tc>
        <w:tc>
          <w:tcPr>
            <w:tcW w:w="0" w:type="auto"/>
          </w:tcPr>
          <w:p w14:paraId="40B57D1C" w14:textId="77777777" w:rsidR="0090768F" w:rsidRDefault="00000000">
            <w:pPr>
              <w:pStyle w:val="Compact"/>
            </w:pPr>
            <w:r>
              <w:rPr>
                <w:b/>
                <w:bCs/>
              </w:rPr>
              <w:t>Correct as a fact, wrong in the implication.</w:t>
            </w:r>
            <w:r>
              <w:t xml:space="preserve"> Pseudonymised data is personal data. The sentence as written invites a DPO to conclude we do not understand Recital 26. Rewrite as: “Scripts are pseudonymised at ingestion as an Art. 25(1) data-protection-by-design and Art. 32(1)(a) security measure; the data remain personal data and are treated as such throughout.”</w:t>
            </w:r>
          </w:p>
        </w:tc>
      </w:tr>
      <w:tr w:rsidR="0090768F" w14:paraId="3EEFE651" w14:textId="77777777">
        <w:tc>
          <w:tcPr>
            <w:tcW w:w="0" w:type="auto"/>
          </w:tcPr>
          <w:p w14:paraId="03CC686D" w14:textId="77777777" w:rsidR="0090768F" w:rsidRDefault="00000000">
            <w:pPr>
              <w:pStyle w:val="Compact"/>
            </w:pPr>
            <w:r>
              <w:t xml:space="preserve">“AI-Act … Category 4 System (High-Risk) → </w:t>
            </w:r>
            <w:r>
              <w:rPr>
                <w:b/>
                <w:bCs/>
              </w:rPr>
              <w:t>Seek exception</w:t>
            </w:r>
            <w:r>
              <w:t>”</w:t>
            </w:r>
          </w:p>
        </w:tc>
        <w:tc>
          <w:tcPr>
            <w:tcW w:w="0" w:type="auto"/>
          </w:tcPr>
          <w:p w14:paraId="53CEC888" w14:textId="77777777" w:rsidR="0090768F" w:rsidRDefault="00000000">
            <w:pPr>
              <w:pStyle w:val="Compact"/>
            </w:pPr>
            <w:r>
              <w:rPr>
                <w:b/>
                <w:bCs/>
              </w:rPr>
              <w:t>Wrong on both counts.</w:t>
            </w:r>
            <w:r>
              <w:t xml:space="preserve"> There is no “Category 4”; the correct citation is Annex III point 3(b). And the Art. 6(3) derogation is closed to us — see §4.3. Replace “Seek exception” with “Comply as provider of a high-risk AI system; Annex VI self-assessment; obligations apply from 2 December 2027.”</w:t>
            </w:r>
          </w:p>
        </w:tc>
      </w:tr>
      <w:tr w:rsidR="0090768F" w14:paraId="428BBC25" w14:textId="77777777">
        <w:tc>
          <w:tcPr>
            <w:tcW w:w="0" w:type="auto"/>
          </w:tcPr>
          <w:p w14:paraId="14639442" w14:textId="77777777" w:rsidR="0090768F" w:rsidRDefault="00000000">
            <w:pPr>
              <w:pStyle w:val="Compact"/>
            </w:pPr>
            <w:r>
              <w:t>“Specific individual policies by school and university → Comply individually (no strong requirements expected)”</w:t>
            </w:r>
          </w:p>
        </w:tc>
        <w:tc>
          <w:tcPr>
            <w:tcW w:w="0" w:type="auto"/>
          </w:tcPr>
          <w:p w14:paraId="4B3B71DB" w14:textId="77777777" w:rsidR="0090768F" w:rsidRDefault="00000000">
            <w:pPr>
              <w:pStyle w:val="Compact"/>
            </w:pPr>
            <w:r>
              <w:rPr>
                <w:b/>
                <w:bCs/>
              </w:rPr>
              <w:t>Materially understated.</w:t>
            </w:r>
            <w:r>
              <w:t xml:space="preserve"> The Länder guidance layer is the hardest single obstacle in Germany today (§5), and in the US the state education-agency guidance layer converges on a rule — AI must not be the sole basis of a grade — that is now statutory in Oklahoma. “No strong requirements expected” is the sentence most likely to </w:t>
            </w:r>
            <w:r>
              <w:lastRenderedPageBreak/>
              <w:t>be disproved in a first meeting.</w:t>
            </w:r>
          </w:p>
        </w:tc>
      </w:tr>
      <w:tr w:rsidR="0090768F" w14:paraId="33F12FBB" w14:textId="77777777">
        <w:tc>
          <w:tcPr>
            <w:tcW w:w="0" w:type="auto"/>
          </w:tcPr>
          <w:p w14:paraId="05BDAC44" w14:textId="77777777" w:rsidR="0090768F" w:rsidRDefault="00000000">
            <w:pPr>
              <w:pStyle w:val="Compact"/>
            </w:pPr>
            <w:r>
              <w:lastRenderedPageBreak/>
              <w:t>“Further regulation will apply in countries outside Europe” + “Legal and regulatory situation outside EU to be further analysed”</w:t>
            </w:r>
          </w:p>
        </w:tc>
        <w:tc>
          <w:tcPr>
            <w:tcW w:w="0" w:type="auto"/>
          </w:tcPr>
          <w:p w14:paraId="5886517E" w14:textId="77777777" w:rsidR="0090768F" w:rsidRDefault="00000000">
            <w:pPr>
              <w:pStyle w:val="Compact"/>
            </w:pPr>
            <w:r>
              <w:rPr>
                <w:b/>
                <w:bCs/>
              </w:rPr>
              <w:t>Now answered.</w:t>
            </w:r>
            <w:r>
              <w:t xml:space="preserve"> §9–§11.</w:t>
            </w:r>
          </w:p>
        </w:tc>
      </w:tr>
    </w:tbl>
    <w:p w14:paraId="46C0F46C" w14:textId="77777777" w:rsidR="0090768F" w:rsidRDefault="00000000">
      <w:pPr>
        <w:pStyle w:val="BodyText"/>
      </w:pPr>
      <w:r>
        <w:t xml:space="preserve">One addition the slide should carry: </w:t>
      </w:r>
      <w:r>
        <w:rPr>
          <w:b/>
          <w:bCs/>
        </w:rPr>
        <w:t>who acquires obligations.</w:t>
      </w:r>
      <w:r>
        <w:t xml:space="preserve"> The buyer does not merely buy software; a public school deploying a high-risk AI system takes on AI Act Art. 26 duties and, as a body governed by public law, an Art. 27 fundamental rights impact assessment. Selling that as a solved problem — a pre-completed DPIA/FRIA pack, a works-council information pack, a training module — is the difference between selling a product and selling the customer a project.</w:t>
      </w:r>
    </w:p>
    <w:p w14:paraId="736DA4C1" w14:textId="77777777" w:rsidR="0090768F" w:rsidRDefault="00000000">
      <w:pPr>
        <w:pStyle w:val="Heading2"/>
      </w:pPr>
      <w:bookmarkStart w:id="8" w:name="question-1-what-does-the-gdpr-require"/>
      <w:bookmarkStart w:id="9" w:name="_Toc240060399"/>
      <w:bookmarkEnd w:id="6"/>
      <w:r>
        <w:t>3. Question 1 — What does the GDPR require?</w:t>
      </w:r>
      <w:bookmarkEnd w:id="9"/>
    </w:p>
    <w:p w14:paraId="505671EE" w14:textId="77777777" w:rsidR="0090768F" w:rsidRDefault="00000000">
      <w:pPr>
        <w:pStyle w:val="Heading3"/>
      </w:pPr>
      <w:bookmarkStart w:id="10" w:name="the-data"/>
      <w:r>
        <w:t>3.1 The data</w:t>
      </w:r>
    </w:p>
    <w:p w14:paraId="1F5D8E01" w14:textId="77777777" w:rsidR="0090768F" w:rsidRDefault="00000000">
      <w:pPr>
        <w:pStyle w:val="FirstParagraph"/>
      </w:pPr>
      <w:r>
        <w:t xml:space="preserve">Exam scripts, examiner comments, marks, machine-generated feedback and internal rubric sub-scores are all personal data of the candidate. CJEU </w:t>
      </w:r>
      <w:r>
        <w:rPr>
          <w:b/>
          <w:bCs/>
        </w:rPr>
        <w:t xml:space="preserve">C-434/16 </w:t>
      </w:r>
      <w:r>
        <w:rPr>
          <w:b/>
          <w:bCs/>
          <w:i/>
          <w:iCs/>
        </w:rPr>
        <w:t>Nowak</w:t>
      </w:r>
      <w:r>
        <w:t xml:space="preserve"> (20 December 2017), operative part: </w:t>
      </w:r>
      <w:r>
        <w:rPr>
          <w:i/>
          <w:iCs/>
        </w:rPr>
        <w:t>“the written answers submitted by a candidate at a professional examination and any comments made by an examiner with respect to those answers constitute personal data”</w:t>
      </w:r>
      <w:r>
        <w:t xml:space="preserve">. The Court’s reasoning is that the answers reflect the candidate’s knowledge and competence and are collected in order to evaluate professional abilities. The Court also drew two limits worth knowing: the right of access does not extend to the examination </w:t>
      </w:r>
      <w:r>
        <w:rPr>
          <w:i/>
          <w:iCs/>
        </w:rPr>
        <w:t>questions</w:t>
      </w:r>
      <w:r>
        <w:t>, and rectification does not let a candidate correct wrong answers after the fact.</w:t>
      </w:r>
    </w:p>
    <w:p w14:paraId="631D8E55" w14:textId="77777777" w:rsidR="0090768F" w:rsidRDefault="00000000">
      <w:pPr>
        <w:pStyle w:val="BodyText"/>
      </w:pPr>
      <w:r>
        <w:t>Design consequence: build script, rationale and telemetry export from the start. Do not architect on the assumption that internal scoring telemetry is invisible to the data subject.</w:t>
      </w:r>
    </w:p>
    <w:p w14:paraId="7FEA4823" w14:textId="77777777" w:rsidR="0090768F" w:rsidRDefault="00000000">
      <w:pPr>
        <w:pStyle w:val="Heading3"/>
      </w:pPr>
      <w:bookmarkStart w:id="11" w:name="X399a725c8067a14eef541b170a20c8332ceeb5c"/>
      <w:bookmarkEnd w:id="10"/>
      <w:r>
        <w:t>3.2 Lawful basis — and why consent is the wrong answer</w:t>
      </w:r>
    </w:p>
    <w:p w14:paraId="59DE712E" w14:textId="77777777" w:rsidR="0090768F" w:rsidRDefault="00000000">
      <w:pPr>
        <w:pStyle w:val="FirstParagraph"/>
      </w:pPr>
      <w:r>
        <w:t xml:space="preserve">For a state school the basis is </w:t>
      </w:r>
      <w:r>
        <w:rPr>
          <w:b/>
          <w:bCs/>
        </w:rPr>
        <w:t>Art. 6(1)(e)</w:t>
      </w:r>
      <w:r>
        <w:t xml:space="preserve"> (public task) read with </w:t>
      </w:r>
      <w:r>
        <w:rPr>
          <w:b/>
          <w:bCs/>
        </w:rPr>
        <w:t>Art. 6(3)</w:t>
      </w:r>
      <w:r>
        <w:t xml:space="preserve"> (basis laid down in Member State law — the Schulgesetz and its data ordinance). Consent is presumptively excluded: Recital 43 excludes it where there is a clear imbalance “in particular where the controller is a public authority”, and the imbalance here is tripled — public authority, minor, and a compulsory non-substitutable service. A pupil cannot refuse to be graded, so consent could not be withdrawn without detriment, so it is not freely given. Operationally, consent would also be incoherent: withdrawal under Art. 7(3) would have to unwind the grade.</w:t>
      </w:r>
    </w:p>
    <w:p w14:paraId="45A8E553" w14:textId="77777777" w:rsidR="0090768F" w:rsidRDefault="00000000">
      <w:pPr>
        <w:pStyle w:val="BodyText"/>
      </w:pPr>
      <w:r>
        <w:t>Consent retains a role only for a genuinely optional, structurally separate feature — additive formative feedback beyond the statutory assessment, or a research programme. Keep it unbundled.</w:t>
      </w:r>
    </w:p>
    <w:p w14:paraId="7B728567" w14:textId="77777777" w:rsidR="0090768F" w:rsidRDefault="00000000">
      <w:pPr>
        <w:pStyle w:val="BodyText"/>
      </w:pPr>
      <w:r>
        <w:rPr>
          <w:b/>
          <w:bCs/>
        </w:rPr>
        <w:lastRenderedPageBreak/>
        <w:t>Our own position.</w:t>
      </w:r>
      <w:r>
        <w:t xml:space="preserve"> In the standard deployment GRADIAS is a </w:t>
      </w:r>
      <w:r>
        <w:rPr>
          <w:b/>
          <w:bCs/>
        </w:rPr>
        <w:t>processor</w:t>
      </w:r>
      <w:r>
        <w:t xml:space="preserve"> and has no basis of its own. The moment we use scripts for model improvement we become a </w:t>
      </w:r>
      <w:r>
        <w:rPr>
          <w:b/>
          <w:bCs/>
        </w:rPr>
        <w:t>controller</w:t>
      </w:r>
      <w:r>
        <w:t xml:space="preserve"> for that purpose — Art. 28(10) is explicit that a processor determining purposes and means “shall be considered to be a controller” — and we need our own basis and our own transparency. This is the single most consequential architectural choice in the product.</w:t>
      </w:r>
    </w:p>
    <w:p w14:paraId="7374C1F7" w14:textId="77777777" w:rsidR="0090768F" w:rsidRDefault="00000000">
      <w:pPr>
        <w:pStyle w:val="Heading3"/>
      </w:pPr>
      <w:bookmarkStart w:id="12" w:name="special-categories-art.-9"/>
      <w:bookmarkEnd w:id="11"/>
      <w:r>
        <w:t>3.3 Special categories (Art. 9)</w:t>
      </w:r>
    </w:p>
    <w:p w14:paraId="6142232E" w14:textId="77777777" w:rsidR="0090768F" w:rsidRDefault="00000000">
      <w:pPr>
        <w:pStyle w:val="FirstParagraph"/>
      </w:pPr>
      <w:r>
        <w:t>Free-text answers in humanities, ethics, religion, biology and civics routinely disclose religious or philosophical beliefs, political opinions, health data and sex life, either as subject matter or as volunteered self-disclosure. We cannot rely on “we do not collect special categories”. More sharply: handwriting and error patterns can disclose dyslexia, dyscalculia and motor impairment — that is health data, whether or not anyone intends to process it. The DKJS memorandum (§5.6) makes this point and it is correct.</w:t>
      </w:r>
    </w:p>
    <w:p w14:paraId="414C7EB1" w14:textId="77777777" w:rsidR="0090768F" w:rsidRDefault="00000000">
      <w:pPr>
        <w:pStyle w:val="BodyText"/>
      </w:pPr>
      <w:r>
        <w:rPr>
          <w:b/>
          <w:bCs/>
        </w:rPr>
        <w:t>A genuine new unlock.</w:t>
      </w:r>
      <w:r>
        <w:t xml:space="preserve"> Regulation (EU) 2026/1744 inserted </w:t>
      </w:r>
      <w:r>
        <w:rPr>
          <w:b/>
          <w:bCs/>
        </w:rPr>
        <w:t>AI Act Art. 4a</w:t>
      </w:r>
      <w:r>
        <w:t xml:space="preserve">, giving providers and deployers a Union-law basis to process special categories </w:t>
      </w:r>
      <w:r>
        <w:rPr>
          <w:b/>
          <w:bCs/>
        </w:rPr>
        <w:t>strictly for bias detection and correction</w:t>
      </w:r>
      <w:r>
        <w:t>, subject to six cumulative conditions including that synthetic or anonymised data would not suffice, that the data are not transmitted onward, and that they are deleted once bias is corrected. Art. 10(5) AI Act was deleted and folded into it. Before July 2026 there was no clean way for a deployer to run fairness testing on protected attributes; there now is. Use it, and document the six conditions.</w:t>
      </w:r>
    </w:p>
    <w:p w14:paraId="2EA5241E" w14:textId="77777777" w:rsidR="0090768F" w:rsidRDefault="00000000">
      <w:pPr>
        <w:pStyle w:val="Heading3"/>
      </w:pPr>
      <w:bookmarkStart w:id="13" w:name="transparency-and-access"/>
      <w:bookmarkEnd w:id="12"/>
      <w:r>
        <w:t>3.4 Transparency and access</w:t>
      </w:r>
    </w:p>
    <w:p w14:paraId="1067683F" w14:textId="77777777" w:rsidR="0090768F" w:rsidRDefault="00000000">
      <w:pPr>
        <w:pStyle w:val="FirstParagraph"/>
      </w:pPr>
      <w:r>
        <w:t xml:space="preserve">Arts. 13/14 require the school to tell pupils and parents, in child-appropriate language (Art. 12(1)), that an AI system proposes marks, the logic involved and the consequences. </w:t>
      </w:r>
      <w:r>
        <w:rPr>
          <w:b/>
          <w:bCs/>
        </w:rPr>
        <w:t>Art. 15 is the operationally expensive one</w:t>
      </w:r>
      <w:r>
        <w:t xml:space="preserve">, because </w:t>
      </w:r>
      <w:r>
        <w:rPr>
          <w:i/>
          <w:iCs/>
        </w:rPr>
        <w:t>Nowak</w:t>
      </w:r>
      <w:r>
        <w:t xml:space="preserve"> makes the script and the comments disclosable.</w:t>
      </w:r>
    </w:p>
    <w:p w14:paraId="6A16E817" w14:textId="77777777" w:rsidR="0090768F" w:rsidRDefault="00000000">
      <w:pPr>
        <w:pStyle w:val="BodyText"/>
      </w:pPr>
      <w:r>
        <w:rPr>
          <w:b/>
          <w:bCs/>
        </w:rPr>
        <w:t xml:space="preserve">C-203/22 </w:t>
      </w:r>
      <w:r>
        <w:rPr>
          <w:b/>
          <w:bCs/>
          <w:i/>
          <w:iCs/>
        </w:rPr>
        <w:t>Dun &amp; Bradstreet Austria</w:t>
      </w:r>
      <w:r>
        <w:t xml:space="preserve"> (27 February 2025) is now the controlling authority on Art. 15(1)(h): the controller must explain “the procedure and principles actually applied” so the data subject can understand which data were used and how — but </w:t>
      </w:r>
      <w:r>
        <w:rPr>
          <w:b/>
          <w:bCs/>
        </w:rPr>
        <w:t>not</w:t>
      </w:r>
      <w:r>
        <w:t xml:space="preserve"> the algorithm or the formulas. Where trade secrets are asserted, the material goes to the supervisory authority or the court for balancing; a blanket refusal is incompatible with the GDPR. Read commercially, this is good news: we are not obliged to publish weights or prompts, but we must be able to state, per grade, what features of the script drove the proposed score. That is a product requirement, not a legal footnote.</w:t>
      </w:r>
    </w:p>
    <w:p w14:paraId="0BD2A4D5" w14:textId="77777777" w:rsidR="0090768F" w:rsidRDefault="00000000">
      <w:pPr>
        <w:pStyle w:val="Heading3"/>
      </w:pPr>
      <w:bookmarkStart w:id="14" w:name="article-22-the-core-question"/>
      <w:bookmarkEnd w:id="13"/>
      <w:r>
        <w:t>3.5 Article 22 — the core question</w:t>
      </w:r>
    </w:p>
    <w:p w14:paraId="2B0A3721" w14:textId="77777777" w:rsidR="0090768F" w:rsidRDefault="00000000">
      <w:pPr>
        <w:pStyle w:val="FirstParagraph"/>
      </w:pPr>
      <w:r>
        <w:rPr>
          <w:b/>
          <w:bCs/>
        </w:rPr>
        <w:t>Art. 22(1)</w:t>
      </w:r>
      <w:r>
        <w:t xml:space="preserve"> gives the data subject the right not to be subject to a decision </w:t>
      </w:r>
      <w:r>
        <w:rPr>
          <w:i/>
          <w:iCs/>
        </w:rPr>
        <w:t>based solely</w:t>
      </w:r>
      <w:r>
        <w:t xml:space="preserve"> on automated processing which produces legal effects or similarly significantly affects them. Three cumulative conditions (confirmed in </w:t>
      </w:r>
      <w:r>
        <w:rPr>
          <w:i/>
          <w:iCs/>
        </w:rPr>
        <w:t>SCHUFA</w:t>
      </w:r>
      <w:r>
        <w:t xml:space="preserve"> at para 43): a decision; based solely on automated processing; legal or similarly significant effect.</w:t>
      </w:r>
    </w:p>
    <w:p w14:paraId="41F1A5DC" w14:textId="77777777" w:rsidR="0090768F" w:rsidRDefault="00000000">
      <w:pPr>
        <w:pStyle w:val="BodyText"/>
      </w:pPr>
      <w:r>
        <w:rPr>
          <w:b/>
          <w:bCs/>
        </w:rPr>
        <w:t>Is a grade significant?</w:t>
      </w:r>
      <w:r>
        <w:t xml:space="preserve"> Yes, and this is the least contestable limb. WP251rev.01 lists “decisions that affect someone’s access to education, for example university admissions” as </w:t>
      </w:r>
      <w:r>
        <w:lastRenderedPageBreak/>
        <w:t>crossing the threshold. An Abitur grade, a GCSE grade or a university module mark determines access to further education and to regulated professions; in Germany a state examination grade is an administrative act, which is arguably a legal effect proper.</w:t>
      </w:r>
    </w:p>
    <w:p w14:paraId="6E74BD97" w14:textId="77777777" w:rsidR="0090768F" w:rsidRDefault="00000000">
      <w:pPr>
        <w:pStyle w:val="BodyText"/>
      </w:pPr>
      <w:r>
        <w:t xml:space="preserve">A genuinely low-stakes practice quiz with no record consequence may fall below the threshold. </w:t>
      </w:r>
      <w:r>
        <w:rPr>
          <w:b/>
          <w:bCs/>
        </w:rPr>
        <w:t>Formative and summative modes should therefore be technically and contractually distinct</w:t>
      </w:r>
      <w:r>
        <w:t>, because the legal consequences diverge sharply — and the Commission’s draft AI Act guidance draws the same line.</w:t>
      </w:r>
    </w:p>
    <w:p w14:paraId="0F9A2D70" w14:textId="77777777" w:rsidR="0090768F" w:rsidRDefault="00000000">
      <w:pPr>
        <w:pStyle w:val="BodyText"/>
      </w:pPr>
      <w:r>
        <w:rPr>
          <w:b/>
          <w:bCs/>
        </w:rPr>
        <w:t>Does teacher review escape “solely”?</w:t>
      </w:r>
      <w:r>
        <w:t xml:space="preserve"> This is where the assumption in the deck is most exposed. WP251rev.01 is the governing test and it is behavioural, not formal:</w:t>
      </w:r>
    </w:p>
    <w:p w14:paraId="28CDE49A" w14:textId="77777777" w:rsidR="0090768F" w:rsidRDefault="00000000">
      <w:pPr>
        <w:pStyle w:val="BlockText"/>
      </w:pPr>
      <w:r>
        <w:rPr>
          <w:i/>
          <w:iCs/>
        </w:rPr>
        <w:t>“The controller cannot avoid the Article 22 provisions by fabricating human involvement. … To qualify as human involvement, the controller must ensure that any oversight of the decision is meaningful, rather than just a token gesture. It should be carried out by someone who has the authority and competence to change the decision. As part of the analysis, they should consider all the relevant data.”</w:t>
      </w:r>
    </w:p>
    <w:p w14:paraId="7DC7A349" w14:textId="77777777" w:rsidR="0090768F" w:rsidRDefault="00000000">
      <w:pPr>
        <w:pStyle w:val="FirstParagraph"/>
      </w:pPr>
      <w:r>
        <w:rPr>
          <w:b/>
          <w:bCs/>
        </w:rPr>
        <w:t xml:space="preserve">CJEU C-634/21 </w:t>
      </w:r>
      <w:r>
        <w:rPr>
          <w:b/>
          <w:bCs/>
          <w:i/>
          <w:iCs/>
        </w:rPr>
        <w:t>SCHUFA</w:t>
      </w:r>
      <w:r>
        <w:t xml:space="preserve"> (7 December 2023) then removes the easy answer. SCHUFA argued exactly our argument — we only produce a score, a human decides — and the Court rejected it, holding that where a third party “draws strongly on” the probability value, the establishment of that value is itself automated individual decision-making. The rationale was anti-circumvention: a narrow reading would create a protection gap.</w:t>
      </w:r>
    </w:p>
    <w:p w14:paraId="6ED02253" w14:textId="77777777" w:rsidR="0090768F" w:rsidRDefault="00000000">
      <w:pPr>
        <w:pStyle w:val="BodyText"/>
      </w:pPr>
      <w:r>
        <w:t xml:space="preserve">Applied to us: if teachers accept the proposed mark in 90–95% of cases, the teacher “draws strongly on” the output and the proposal is the decision. </w:t>
      </w:r>
      <w:r>
        <w:rPr>
          <w:b/>
          <w:bCs/>
        </w:rPr>
        <w:t>The better the product sells, the weaker the legal argument.</w:t>
      </w:r>
      <w:r>
        <w:t xml:space="preserve"> That tension is real and should be managed, not denied.</w:t>
      </w:r>
    </w:p>
    <w:p w14:paraId="41C1BF44" w14:textId="77777777" w:rsidR="0090768F" w:rsidRDefault="00000000">
      <w:pPr>
        <w:pStyle w:val="BodyText"/>
      </w:pPr>
      <w:r>
        <w:rPr>
          <w:b/>
          <w:bCs/>
        </w:rPr>
        <w:t>What makes review meaningful — a defensible design specification:</w:t>
      </w:r>
    </w:p>
    <w:tbl>
      <w:tblPr>
        <w:tblStyle w:val="Table"/>
        <w:tblW w:w="5000" w:type="pct"/>
        <w:tblLook w:val="0020" w:firstRow="1" w:lastRow="0" w:firstColumn="0" w:lastColumn="0" w:noHBand="0" w:noVBand="0"/>
      </w:tblPr>
      <w:tblGrid>
        <w:gridCol w:w="4952"/>
        <w:gridCol w:w="4408"/>
      </w:tblGrid>
      <w:tr w:rsidR="0090768F" w14:paraId="18365343"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40D369F2" w14:textId="77777777" w:rsidR="0090768F" w:rsidRDefault="00000000">
            <w:pPr>
              <w:pStyle w:val="Compact"/>
            </w:pPr>
            <w:r>
              <w:t>Requirement</w:t>
            </w:r>
          </w:p>
        </w:tc>
        <w:tc>
          <w:tcPr>
            <w:tcW w:w="0" w:type="auto"/>
          </w:tcPr>
          <w:p w14:paraId="09944561" w14:textId="77777777" w:rsidR="0090768F" w:rsidRDefault="00000000">
            <w:pPr>
              <w:pStyle w:val="Compact"/>
            </w:pPr>
            <w:r>
              <w:t>Why</w:t>
            </w:r>
          </w:p>
        </w:tc>
      </w:tr>
      <w:tr w:rsidR="0090768F" w14:paraId="51D7E741" w14:textId="77777777">
        <w:tc>
          <w:tcPr>
            <w:tcW w:w="0" w:type="auto"/>
          </w:tcPr>
          <w:p w14:paraId="7724ED94" w14:textId="77777777" w:rsidR="0090768F" w:rsidRDefault="00000000">
            <w:pPr>
              <w:pStyle w:val="Compact"/>
            </w:pPr>
            <w:r>
              <w:t>Teacher sees the script first and forms a provisional view before the proposal is revealed (or can toggle it off)</w:t>
            </w:r>
          </w:p>
        </w:tc>
        <w:tc>
          <w:tcPr>
            <w:tcW w:w="0" w:type="auto"/>
          </w:tcPr>
          <w:p w14:paraId="5EBB4877" w14:textId="77777777" w:rsidR="0090768F" w:rsidRDefault="00000000">
            <w:pPr>
              <w:pStyle w:val="Compact"/>
            </w:pPr>
            <w:r>
              <w:t>defeats anchoring; evidences “all the relevant data”</w:t>
            </w:r>
          </w:p>
        </w:tc>
      </w:tr>
      <w:tr w:rsidR="0090768F" w14:paraId="73A42ABF" w14:textId="77777777">
        <w:tc>
          <w:tcPr>
            <w:tcW w:w="0" w:type="auto"/>
          </w:tcPr>
          <w:p w14:paraId="62CF8346" w14:textId="77777777" w:rsidR="0090768F" w:rsidRDefault="00000000">
            <w:pPr>
              <w:pStyle w:val="Compact"/>
            </w:pPr>
            <w:r>
              <w:t>Express authority to override without escalation or justification burden</w:t>
            </w:r>
          </w:p>
        </w:tc>
        <w:tc>
          <w:tcPr>
            <w:tcW w:w="0" w:type="auto"/>
          </w:tcPr>
          <w:p w14:paraId="4DEC0C64" w14:textId="77777777" w:rsidR="0090768F" w:rsidRDefault="00000000">
            <w:pPr>
              <w:pStyle w:val="Compact"/>
            </w:pPr>
            <w:r>
              <w:t>WP251 “authority to change the decision”</w:t>
            </w:r>
          </w:p>
        </w:tc>
      </w:tr>
      <w:tr w:rsidR="0090768F" w14:paraId="7684AA4F" w14:textId="77777777">
        <w:tc>
          <w:tcPr>
            <w:tcW w:w="0" w:type="auto"/>
          </w:tcPr>
          <w:p w14:paraId="7C08DA18" w14:textId="77777777" w:rsidR="0090768F" w:rsidRDefault="00000000">
            <w:pPr>
              <w:pStyle w:val="Compact"/>
            </w:pPr>
            <w:r>
              <w:t>Subject competence plus training on the system’s failure modes</w:t>
            </w:r>
          </w:p>
        </w:tc>
        <w:tc>
          <w:tcPr>
            <w:tcW w:w="0" w:type="auto"/>
          </w:tcPr>
          <w:p w14:paraId="7AA3BC88" w14:textId="77777777" w:rsidR="0090768F" w:rsidRDefault="00000000">
            <w:pPr>
              <w:pStyle w:val="Compact"/>
            </w:pPr>
            <w:r>
              <w:t>WP251 “competence”; AI Act Art. 26(2)</w:t>
            </w:r>
          </w:p>
        </w:tc>
      </w:tr>
      <w:tr w:rsidR="0090768F" w14:paraId="1326007D" w14:textId="77777777">
        <w:tc>
          <w:tcPr>
            <w:tcW w:w="0" w:type="auto"/>
          </w:tcPr>
          <w:p w14:paraId="5A86911C" w14:textId="77777777" w:rsidR="0090768F" w:rsidRDefault="00000000">
            <w:pPr>
              <w:pStyle w:val="Compact"/>
            </w:pPr>
            <w:r>
              <w:t>Override and divergence rates measured, logged and reported</w:t>
            </w:r>
          </w:p>
        </w:tc>
        <w:tc>
          <w:tcPr>
            <w:tcW w:w="0" w:type="auto"/>
          </w:tcPr>
          <w:p w14:paraId="7779B51D" w14:textId="77777777" w:rsidR="0090768F" w:rsidRDefault="00000000">
            <w:pPr>
              <w:pStyle w:val="Compact"/>
            </w:pPr>
            <w:r>
              <w:t xml:space="preserve">rebuts the </w:t>
            </w:r>
            <w:r>
              <w:rPr>
                <w:i/>
                <w:iCs/>
              </w:rPr>
              <w:t>SCHUFA</w:t>
            </w:r>
            <w:r>
              <w:t xml:space="preserve"> “draws strongly on” test empirically</w:t>
            </w:r>
          </w:p>
        </w:tc>
      </w:tr>
      <w:tr w:rsidR="0090768F" w14:paraId="11E5A3BE" w14:textId="77777777">
        <w:tc>
          <w:tcPr>
            <w:tcW w:w="0" w:type="auto"/>
          </w:tcPr>
          <w:p w14:paraId="33ED8511" w14:textId="77777777" w:rsidR="0090768F" w:rsidRDefault="00000000">
            <w:pPr>
              <w:pStyle w:val="Compact"/>
            </w:pPr>
            <w:r>
              <w:t>No bulk accept; a time-per-script floor</w:t>
            </w:r>
          </w:p>
        </w:tc>
        <w:tc>
          <w:tcPr>
            <w:tcW w:w="0" w:type="auto"/>
          </w:tcPr>
          <w:p w14:paraId="3A16A5DB" w14:textId="77777777" w:rsidR="0090768F" w:rsidRDefault="00000000">
            <w:pPr>
              <w:pStyle w:val="Compact"/>
            </w:pPr>
            <w:r>
              <w:t>a UI where accepting takes one click and overriding takes ten is evidence of a token gesture</w:t>
            </w:r>
          </w:p>
        </w:tc>
      </w:tr>
      <w:tr w:rsidR="0090768F" w14:paraId="0521AD78" w14:textId="77777777">
        <w:tc>
          <w:tcPr>
            <w:tcW w:w="0" w:type="auto"/>
          </w:tcPr>
          <w:p w14:paraId="31C77A0E" w14:textId="77777777" w:rsidR="0090768F" w:rsidRDefault="00000000">
            <w:pPr>
              <w:pStyle w:val="Compact"/>
            </w:pPr>
            <w:r>
              <w:t>Second review triggered at low model confidence or near a grade boundary</w:t>
            </w:r>
          </w:p>
        </w:tc>
        <w:tc>
          <w:tcPr>
            <w:tcW w:w="0" w:type="auto"/>
          </w:tcPr>
          <w:p w14:paraId="4CA2303F" w14:textId="77777777" w:rsidR="0090768F" w:rsidRDefault="00000000">
            <w:pPr>
              <w:pStyle w:val="Compact"/>
            </w:pPr>
            <w:r>
              <w:t>proportionate safeguard</w:t>
            </w:r>
          </w:p>
        </w:tc>
      </w:tr>
    </w:tbl>
    <w:p w14:paraId="78087A21" w14:textId="77777777" w:rsidR="0090768F" w:rsidRDefault="00000000">
      <w:pPr>
        <w:pStyle w:val="BodyText"/>
      </w:pPr>
      <w:r>
        <w:rPr>
          <w:b/>
          <w:bCs/>
        </w:rPr>
        <w:lastRenderedPageBreak/>
        <w:t>Recommended position: adopt Art. 22(3)-equivalent safeguards regardless of whether Art. 22 formally applies</w:t>
      </w:r>
      <w:r>
        <w:t xml:space="preserve"> — human intervention, right to express a point of view, right to contest. In an examination context these already exist as appeal rights, so they are cheap; and they convert a contested legal position into a non-issue.</w:t>
      </w:r>
    </w:p>
    <w:p w14:paraId="78424443" w14:textId="77777777" w:rsidR="0090768F" w:rsidRDefault="00000000">
      <w:pPr>
        <w:pStyle w:val="BodyText"/>
      </w:pPr>
      <w:r>
        <w:rPr>
          <w:b/>
          <w:bCs/>
        </w:rPr>
        <w:t>Two adverse points the deck does not currently reflect.</w:t>
      </w:r>
      <w:r>
        <w:t xml:space="preserve"> First, the Art. 22(2)(b) fallback (authorisation by Member State law with safeguards) is weakened for schools: Recital 71 says such a measure “should not concern a child”, and WP251 advises that controllers should as a rule not rely on the Art. 22(2) exceptions for children. Second, </w:t>
      </w:r>
      <w:r>
        <w:rPr>
          <w:b/>
          <w:bCs/>
        </w:rPr>
        <w:t>Art. 21 objection</w:t>
      </w:r>
      <w:r>
        <w:t xml:space="preserve"> applies to Art. 6(1)(e) processing and is under-analysed: a parent could object to the AI-assisted </w:t>
      </w:r>
      <w:r>
        <w:rPr>
          <w:i/>
          <w:iCs/>
        </w:rPr>
        <w:t>method</w:t>
      </w:r>
      <w:r>
        <w:t xml:space="preserve"> rather than to being graded, and the school’s “compelling legitimate grounds” argument is weaker there because a purely human alternative exists. Expect at least one Land supervisory authority to demand a human-only-on-request path.</w:t>
      </w:r>
    </w:p>
    <w:p w14:paraId="2141BD58" w14:textId="77777777" w:rsidR="0090768F" w:rsidRDefault="00000000">
      <w:pPr>
        <w:pStyle w:val="Heading3"/>
      </w:pPr>
      <w:bookmarkStart w:id="15" w:name="Xef2b99031a56e67b823f993e4a5da4a01eca7d9"/>
      <w:bookmarkEnd w:id="14"/>
      <w:r>
        <w:t>3.6 DPIA — mandatory, with no serious argument otherwise</w:t>
      </w:r>
    </w:p>
    <w:p w14:paraId="7209AE4F" w14:textId="77777777" w:rsidR="0090768F" w:rsidRDefault="00000000">
      <w:pPr>
        <w:pStyle w:val="FirstParagraph"/>
      </w:pPr>
      <w:r>
        <w:t>Three independent routes converge:</w:t>
      </w:r>
    </w:p>
    <w:p w14:paraId="787108A1" w14:textId="77777777" w:rsidR="0090768F" w:rsidRDefault="00000000">
      <w:pPr>
        <w:pStyle w:val="Compact"/>
        <w:numPr>
          <w:ilvl w:val="0"/>
          <w:numId w:val="1"/>
        </w:numPr>
      </w:pPr>
      <w:r>
        <w:rPr>
          <w:b/>
          <w:bCs/>
        </w:rPr>
        <w:t>Art. 35(3)(a)</w:t>
      </w:r>
      <w:r>
        <w:t xml:space="preserve"> — systematic and extensive evaluation based on automated processing on which decisions are based.</w:t>
      </w:r>
    </w:p>
    <w:p w14:paraId="2364F31D" w14:textId="77777777" w:rsidR="0090768F" w:rsidRDefault="00000000">
      <w:pPr>
        <w:pStyle w:val="Compact"/>
        <w:numPr>
          <w:ilvl w:val="0"/>
          <w:numId w:val="1"/>
        </w:numPr>
      </w:pPr>
      <w:r>
        <w:rPr>
          <w:b/>
          <w:bCs/>
        </w:rPr>
        <w:t>WP248rev.01</w:t>
      </w:r>
      <w:r>
        <w:t xml:space="preserve"> — ten criteria, two-criterion rule of thumb. We meet at least five: evaluation/scoring; automated decision-making with significant effect; likely special-category content; large scale; vulnerable data subjects (children are named expressly); innovative technology; cross-border transfer if a US model endpoint is used.</w:t>
      </w:r>
    </w:p>
    <w:p w14:paraId="72CF654A" w14:textId="77777777" w:rsidR="0090768F" w:rsidRDefault="00000000">
      <w:pPr>
        <w:pStyle w:val="Compact"/>
        <w:numPr>
          <w:ilvl w:val="0"/>
          <w:numId w:val="1"/>
        </w:numPr>
      </w:pPr>
      <w:r>
        <w:rPr>
          <w:b/>
          <w:bCs/>
        </w:rPr>
        <w:t>National Art. 35(4) “must” lists.</w:t>
      </w:r>
      <w:r>
        <w:t xml:space="preserve"> Germany is decisive: the DSK </w:t>
      </w:r>
      <w:r>
        <w:rPr>
          <w:i/>
          <w:iCs/>
        </w:rPr>
        <w:t>Muss-Liste</w:t>
      </w:r>
      <w:r>
        <w:t xml:space="preserve"> v1.1 of 17 October 2018, </w:t>
      </w:r>
      <w:r>
        <w:rPr>
          <w:b/>
          <w:bCs/>
        </w:rPr>
        <w:t>entry 11</w:t>
      </w:r>
      <w:r>
        <w:t xml:space="preserve">, names </w:t>
      </w:r>
      <w:r>
        <w:rPr>
          <w:i/>
          <w:iCs/>
        </w:rPr>
        <w:t>“Einsatz von künstlicher Intelligenz zur Verarbeitung personenbezogener Daten … zur Bewertung persönlicher Aspekte der betroffenen Person”</w:t>
      </w:r>
      <w:r>
        <w:t>. That is a direct hit.</w:t>
      </w:r>
    </w:p>
    <w:p w14:paraId="196DCC35" w14:textId="77777777" w:rsidR="0090768F" w:rsidRDefault="00000000">
      <w:pPr>
        <w:pStyle w:val="FirstParagraph"/>
      </w:pPr>
      <w:r>
        <w:t xml:space="preserve">Sales consequence: every German public-sector customer must run a DSFA before go-live and will expect us to supply the template and the technical inputs. Since Reg. (EU) 2026/1744 amended AI Act Art. 27(4) to let a deployer cross-reference the GDPR DPIA into the AI Act FRIA, </w:t>
      </w:r>
      <w:r>
        <w:rPr>
          <w:b/>
          <w:bCs/>
        </w:rPr>
        <w:t>one well-built combined DPIA/FRIA pack is now the highest-leverage sales-enablement asset we can build</w:t>
      </w:r>
      <w:r>
        <w:t>, and it is expressly sanctioned.</w:t>
      </w:r>
    </w:p>
    <w:p w14:paraId="243FDEB4" w14:textId="77777777" w:rsidR="0090768F" w:rsidRDefault="00000000">
      <w:pPr>
        <w:pStyle w:val="Heading3"/>
      </w:pPr>
      <w:bookmarkStart w:id="16" w:name="processors-sub-processors-and-transfers"/>
      <w:bookmarkEnd w:id="15"/>
      <w:r>
        <w:t>3.7 Processors, sub-processors and transfers</w:t>
      </w:r>
    </w:p>
    <w:p w14:paraId="414F63E0" w14:textId="77777777" w:rsidR="0090768F" w:rsidRDefault="00000000">
      <w:pPr>
        <w:pStyle w:val="Compact"/>
        <w:numPr>
          <w:ilvl w:val="0"/>
          <w:numId w:val="2"/>
        </w:numPr>
      </w:pPr>
      <w:r>
        <w:rPr>
          <w:b/>
          <w:bCs/>
        </w:rPr>
        <w:t>Art. 28(2)/(4):</w:t>
      </w:r>
      <w:r>
        <w:t xml:space="preserve"> a US model provider is a </w:t>
      </w:r>
      <w:r>
        <w:rPr>
          <w:b/>
          <w:bCs/>
        </w:rPr>
        <w:t>sub-processor</w:t>
      </w:r>
      <w:r>
        <w:t>. Public buyers will want prior specific authorisation, so model-provider churn is a contractual problem, not only an engineering one.</w:t>
      </w:r>
    </w:p>
    <w:p w14:paraId="1DB762F7" w14:textId="77777777" w:rsidR="0090768F" w:rsidRDefault="00000000">
      <w:pPr>
        <w:pStyle w:val="Compact"/>
        <w:numPr>
          <w:ilvl w:val="0"/>
          <w:numId w:val="2"/>
        </w:numPr>
      </w:pPr>
      <w:r>
        <w:rPr>
          <w:b/>
          <w:bCs/>
        </w:rPr>
        <w:t>Art. 28(3)(a):</w:t>
      </w:r>
      <w:r>
        <w:t xml:space="preserve"> we act only on documented instructions; any model-improvement use is outside instructions and re-characterises us as controller.</w:t>
      </w:r>
    </w:p>
    <w:p w14:paraId="1F5C685D" w14:textId="77777777" w:rsidR="0090768F" w:rsidRDefault="00000000">
      <w:pPr>
        <w:pStyle w:val="Compact"/>
        <w:numPr>
          <w:ilvl w:val="0"/>
          <w:numId w:val="2"/>
        </w:numPr>
      </w:pPr>
      <w:r>
        <w:rPr>
          <w:b/>
          <w:bCs/>
        </w:rPr>
        <w:t>Art. 32:</w:t>
      </w:r>
      <w:r>
        <w:t xml:space="preserve"> zero-retention API configuration and contractual assurance that the model provider does not retain or train on prompts is effectively a security requirement here, not a nice-to-have.</w:t>
      </w:r>
    </w:p>
    <w:p w14:paraId="371C67F7" w14:textId="77777777" w:rsidR="0090768F" w:rsidRDefault="00000000">
      <w:pPr>
        <w:pStyle w:val="Compact"/>
        <w:numPr>
          <w:ilvl w:val="0"/>
          <w:numId w:val="2"/>
        </w:numPr>
      </w:pPr>
      <w:r>
        <w:rPr>
          <w:b/>
          <w:bCs/>
        </w:rPr>
        <w:t>Chapter V:</w:t>
      </w:r>
      <w:r>
        <w:t xml:space="preserve"> using a US-hosted model endpoint is a transfer. The EU–US Data Privacy Framework survived first-instance challenge (</w:t>
      </w:r>
      <w:r>
        <w:rPr>
          <w:b/>
          <w:bCs/>
        </w:rPr>
        <w:t xml:space="preserve">T-553/23 </w:t>
      </w:r>
      <w:r>
        <w:rPr>
          <w:b/>
          <w:bCs/>
          <w:i/>
          <w:iCs/>
        </w:rPr>
        <w:t>Latombe</w:t>
      </w:r>
      <w:r>
        <w:t xml:space="preserve">, General Court, 3 </w:t>
      </w:r>
      <w:r>
        <w:lastRenderedPageBreak/>
        <w:t xml:space="preserve">September 2025, action dismissed), but whether an appeal has been lodged and how the Framework stands politically </w:t>
      </w:r>
      <w:r>
        <w:rPr>
          <w:b/>
          <w:bCs/>
        </w:rPr>
        <w:t>could not be verified</w:t>
      </w:r>
      <w:r>
        <w:t xml:space="preserve"> and must be re-checked before any customer commitment. </w:t>
      </w:r>
      <w:r>
        <w:rPr>
          <w:b/>
          <w:bCs/>
        </w:rPr>
        <w:t>Design so the Framework is not load-bearing:</w:t>
      </w:r>
      <w:r>
        <w:t xml:space="preserve"> EU-region endpoints, standard contractual clauses, a transfer impact assessment. German public buyers have repeatedly treated US-parent cloud as a problem irrespective of adequacy.</w:t>
      </w:r>
    </w:p>
    <w:p w14:paraId="57CD40B3" w14:textId="77777777" w:rsidR="0090768F" w:rsidRDefault="00000000">
      <w:pPr>
        <w:pStyle w:val="Heading3"/>
      </w:pPr>
      <w:bookmarkStart w:id="17" w:name="X23d9ea9d7d077c3efa00db385e78b9f24df472c"/>
      <w:bookmarkEnd w:id="16"/>
      <w:r>
        <w:t>3.8 Model training — the most dangerous natural product instinct</w:t>
      </w:r>
    </w:p>
    <w:p w14:paraId="78380849" w14:textId="77777777" w:rsidR="0090768F" w:rsidRDefault="00000000">
      <w:pPr>
        <w:pStyle w:val="FirstParagraph"/>
      </w:pPr>
      <w:r>
        <w:rPr>
          <w:b/>
          <w:bCs/>
        </w:rPr>
        <w:t>EDPB Opinion 28/2024</w:t>
      </w:r>
      <w:r>
        <w:t xml:space="preserve"> (17 December 2024) holds that AI models trained on personal data cannot in all cases be considered anonymous, that both direct extraction and extraction via queries must be insignificant before anonymity can be claimed, and that unlawfully processed training data contaminates downstream operation. A model fine-tuned on a cohort’s scripts may itself be personal data.</w:t>
      </w:r>
    </w:p>
    <w:p w14:paraId="18A2E2FD" w14:textId="77777777" w:rsidR="0090768F" w:rsidRDefault="00000000">
      <w:pPr>
        <w:pStyle w:val="BodyText"/>
      </w:pPr>
      <w:r>
        <w:t xml:space="preserve">Combine that with Art. 5(1)(b) purpose limitation — and note that the Art. 6(4) compatibility route is materially narrower for an Art. 6(1)(e) public-task controller — and the conclusion is blunt: </w:t>
      </w:r>
      <w:r>
        <w:rPr>
          <w:b/>
          <w:bCs/>
        </w:rPr>
        <w:t>do not fine-tune on customer scripts.</w:t>
      </w:r>
      <w:r>
        <w:t xml:space="preserve"> If domain adaptation is needed, do it on synthetic or properly licensed corpora and be able to prove it. “We improve the model on customer data” is the clause a German school authority will strike out, the clause DfE’s own published worked example uses to justify walking away from a supplier, and the clause that triggers the US analysis in §10.</w:t>
      </w:r>
    </w:p>
    <w:p w14:paraId="3BEAD129" w14:textId="77777777" w:rsidR="0090768F" w:rsidRDefault="00000000">
      <w:pPr>
        <w:pStyle w:val="Heading3"/>
      </w:pPr>
      <w:bookmarkStart w:id="18" w:name="children"/>
      <w:bookmarkEnd w:id="17"/>
      <w:r>
        <w:t>3.9 Children</w:t>
      </w:r>
    </w:p>
    <w:p w14:paraId="3A66F626" w14:textId="77777777" w:rsidR="0090768F" w:rsidRDefault="00000000">
      <w:pPr>
        <w:pStyle w:val="FirstParagraph"/>
      </w:pPr>
      <w:r>
        <w:t xml:space="preserve">Art. 8 GDPR does </w:t>
      </w:r>
      <w:r>
        <w:rPr>
          <w:b/>
          <w:bCs/>
        </w:rPr>
        <w:t>not</w:t>
      </w:r>
      <w:r>
        <w:t xml:space="preserve"> apply, and saying so cleanly matters because edtech vendors routinely misapply it. Art. 8 bites only where consent is the basis </w:t>
      </w:r>
      <w:r>
        <w:rPr>
          <w:b/>
          <w:bCs/>
        </w:rPr>
        <w:t>and</w:t>
      </w:r>
      <w:r>
        <w:t xml:space="preserve"> the service is an information-society service offered </w:t>
      </w:r>
      <w:r>
        <w:rPr>
          <w:i/>
          <w:iCs/>
        </w:rPr>
        <w:t>directly to a child</w:t>
      </w:r>
      <w:r>
        <w:t>. Neither gate is satisfied: the basis is Art. 6(1)(e), and the service is offered to the school. Building a parental-consent mechanism would be a category error implying a basis the school cannot lawfully use.</w:t>
      </w:r>
    </w:p>
    <w:p w14:paraId="1AFDEAFF" w14:textId="77777777" w:rsidR="0090768F" w:rsidRDefault="00000000">
      <w:pPr>
        <w:pStyle w:val="BodyText"/>
      </w:pPr>
      <w:r>
        <w:t>What does apply is stronger in substance: Art. 12(1) child-readable information; Recital 38 and the DPIA vulnerability trigger; and the Recital 71 / WP251 steer against solely automated significant decisions concerning children.</w:t>
      </w:r>
    </w:p>
    <w:p w14:paraId="1A2CEE4A" w14:textId="77777777" w:rsidR="0090768F" w:rsidRDefault="00000000">
      <w:pPr>
        <w:pStyle w:val="Heading3"/>
      </w:pPr>
      <w:bookmarkStart w:id="19" w:name="is-a-handwriting-image-biometric-data"/>
      <w:bookmarkEnd w:id="18"/>
      <w:r>
        <w:t>3.10 Is a handwriting image biometric data?</w:t>
      </w:r>
    </w:p>
    <w:p w14:paraId="48BE4275" w14:textId="77777777" w:rsidR="0090768F" w:rsidRDefault="00000000">
      <w:pPr>
        <w:pStyle w:val="FirstParagraph"/>
      </w:pPr>
      <w:r>
        <w:rPr>
          <w:b/>
          <w:bCs/>
        </w:rPr>
        <w:t>Under the GDPR: probably not, as used here.</w:t>
      </w:r>
      <w:r>
        <w:t xml:space="preserve"> Art. 4(14) requires “specific technical processing … which allow or confirm the </w:t>
      </w:r>
      <w:r>
        <w:rPr>
          <w:i/>
          <w:iCs/>
        </w:rPr>
        <w:t>unique identification</w:t>
      </w:r>
      <w:r>
        <w:t>” of the person. OCR for transcription is not that.</w:t>
      </w:r>
    </w:p>
    <w:p w14:paraId="46085779" w14:textId="77777777" w:rsidR="0090768F" w:rsidRDefault="00000000">
      <w:pPr>
        <w:pStyle w:val="BodyText"/>
      </w:pPr>
      <w:r>
        <w:t xml:space="preserve">Two cautions. First, if we ever build writer verification or anti-impersonation, that </w:t>
      </w:r>
      <w:r>
        <w:rPr>
          <w:i/>
          <w:iCs/>
        </w:rPr>
        <w:t>is</w:t>
      </w:r>
      <w:r>
        <w:t xml:space="preserve"> processing for unique identification and converts the product into an Art. 9 processor. </w:t>
      </w:r>
      <w:r>
        <w:rPr>
          <w:b/>
          <w:bCs/>
        </w:rPr>
        <w:t>Put a hard product-governance gate on this now</w:t>
      </w:r>
      <w:r>
        <w:t xml:space="preserve"> — it is a plausible, customer-requested anti-cheating feature that would silently change our regulatory class. Second, the </w:t>
      </w:r>
      <w:r>
        <w:rPr>
          <w:b/>
          <w:bCs/>
        </w:rPr>
        <w:t>AI Act uses a broader definition</w:t>
      </w:r>
      <w:r>
        <w:t xml:space="preserve"> (Art. 3(34) omits the “unique identification” qualifier), so a handwriting-analysis feature could be AI Act biometric even where it is not GDPR biometric.</w:t>
      </w:r>
    </w:p>
    <w:p w14:paraId="4910960C" w14:textId="77777777" w:rsidR="0090768F" w:rsidRDefault="00000000">
      <w:pPr>
        <w:pStyle w:val="BodyText"/>
      </w:pPr>
      <w:r>
        <w:lastRenderedPageBreak/>
        <w:t>Independently of the biometric question, handwriting is a powerful quasi-identifier: within a class of 25–30 it singles out reliably, and Recital 26’s “singling out” language is directly engaged.</w:t>
      </w:r>
    </w:p>
    <w:p w14:paraId="1C592314" w14:textId="77777777" w:rsidR="0090768F" w:rsidRDefault="00000000">
      <w:pPr>
        <w:pStyle w:val="Heading2"/>
      </w:pPr>
      <w:bookmarkStart w:id="20" w:name="question-2-what-does-the-eu-ai-act-imply"/>
      <w:bookmarkStart w:id="21" w:name="_Toc240060400"/>
      <w:bookmarkEnd w:id="8"/>
      <w:bookmarkEnd w:id="19"/>
      <w:r>
        <w:t>4. Question 2 — What does the EU AI Act imply?</w:t>
      </w:r>
      <w:bookmarkEnd w:id="21"/>
    </w:p>
    <w:p w14:paraId="22A36C24" w14:textId="77777777" w:rsidR="0090768F" w:rsidRDefault="00000000">
      <w:pPr>
        <w:pStyle w:val="Heading3"/>
      </w:pPr>
      <w:bookmarkStart w:id="22" w:name="classification"/>
      <w:r>
        <w:t>4.1 Classification</w:t>
      </w:r>
    </w:p>
    <w:p w14:paraId="72786B8E" w14:textId="77777777" w:rsidR="0090768F" w:rsidRDefault="00000000">
      <w:pPr>
        <w:pStyle w:val="FirstParagraph"/>
      </w:pPr>
      <w:r>
        <w:rPr>
          <w:b/>
          <w:bCs/>
        </w:rPr>
        <w:t>Annex III point 3 (education and vocational training)</w:t>
      </w:r>
      <w:r>
        <w:t>, verbatim in the relevant part:</w:t>
      </w:r>
    </w:p>
    <w:p w14:paraId="10C3158F" w14:textId="77777777" w:rsidR="0090768F" w:rsidRDefault="00000000">
      <w:pPr>
        <w:pStyle w:val="BlockText"/>
      </w:pPr>
      <w:r>
        <w:rPr>
          <w:i/>
          <w:iCs/>
        </w:rPr>
        <w:t>(b) AI systems intended to be used to evaluate learning outcomes, including when those outcomes are used to steer the learning process of natural persons in educational and vocational training institutions at all levels;</w:t>
      </w:r>
    </w:p>
    <w:p w14:paraId="271EC2E0" w14:textId="77777777" w:rsidR="0090768F" w:rsidRDefault="00000000">
      <w:pPr>
        <w:pStyle w:val="FirstParagraph"/>
      </w:pPr>
      <w:r>
        <w:t xml:space="preserve">That is a literal description of exam grading. Note the drafting: the “including when …” clause </w:t>
      </w:r>
      <w:r>
        <w:rPr>
          <w:b/>
          <w:bCs/>
        </w:rPr>
        <w:t>widens</w:t>
      </w:r>
      <w:r>
        <w:t>, it does not condition. Annex III point 3 was not amended by Regulation (EU) 2026/1744.</w:t>
      </w:r>
    </w:p>
    <w:p w14:paraId="6226E07E" w14:textId="77777777" w:rsidR="0090768F" w:rsidRDefault="00000000">
      <w:pPr>
        <w:pStyle w:val="BodyText"/>
      </w:pPr>
      <w:r>
        <w:t xml:space="preserve">Point 3(d) separately captures </w:t>
      </w:r>
      <w:r>
        <w:rPr>
          <w:b/>
          <w:bCs/>
        </w:rPr>
        <w:t>monitoring and detecting prohibited behaviour of students during tests</w:t>
      </w:r>
      <w:r>
        <w:t xml:space="preserve"> — so any proctoring feature would add a second Annex III hook. Recital 56 gives the rationale: such systems “may determine the educational and professional course of a person’s life” and may violate the right to education and to non-discrimination.</w:t>
      </w:r>
    </w:p>
    <w:p w14:paraId="087F28CE" w14:textId="77777777" w:rsidR="0090768F" w:rsidRDefault="00000000">
      <w:pPr>
        <w:pStyle w:val="BodyText"/>
      </w:pPr>
      <w:r>
        <w:t xml:space="preserve">We are the </w:t>
      </w:r>
      <w:r>
        <w:rPr>
          <w:b/>
          <w:bCs/>
        </w:rPr>
        <w:t>provider</w:t>
      </w:r>
      <w:r>
        <w:t xml:space="preserve"> (Art. 3(3)): we place the system on the market under our own name. Building on a third-party foundation model does not change this — Art. 25(1)(a) and (c) catch us twice, because we put our trademark on it and we direct a general-purpose model to an Annex III purpose. The model house is the provider of the GPAI </w:t>
      </w:r>
      <w:r>
        <w:rPr>
          <w:i/>
          <w:iCs/>
        </w:rPr>
        <w:t>model</w:t>
      </w:r>
      <w:r>
        <w:t xml:space="preserve">, not of our </w:t>
      </w:r>
      <w:r>
        <w:rPr>
          <w:i/>
          <w:iCs/>
        </w:rPr>
        <w:t>system</w:t>
      </w:r>
      <w:r>
        <w:t>, and its own terms will say so.</w:t>
      </w:r>
    </w:p>
    <w:p w14:paraId="114D10F3" w14:textId="77777777" w:rsidR="0090768F" w:rsidRDefault="00000000">
      <w:pPr>
        <w:pStyle w:val="Heading3"/>
      </w:pPr>
      <w:bookmarkStart w:id="23" w:name="the-obligations-if-high-risk"/>
      <w:bookmarkEnd w:id="22"/>
      <w:r>
        <w:t>4.2 The obligations, if high-risk</w:t>
      </w:r>
    </w:p>
    <w:p w14:paraId="548FF0E6" w14:textId="77777777" w:rsidR="0090768F" w:rsidRDefault="00000000">
      <w:pPr>
        <w:pStyle w:val="FirstParagraph"/>
      </w:pPr>
      <w:r>
        <w:rPr>
          <w:b/>
          <w:bCs/>
        </w:rPr>
        <w:t>Requirements (Arts. 8–15):</w:t>
      </w:r>
      <w:r>
        <w:t xml:space="preserve"> risk management (Art. 9); </w:t>
      </w:r>
      <w:r>
        <w:rPr>
          <w:b/>
          <w:bCs/>
        </w:rPr>
        <w:t>data governance (Art. 10)</w:t>
      </w:r>
      <w:r>
        <w:t xml:space="preserve"> — training/validation/test sets “relevant, sufficiently representative and, to the best extent possible, free of errors and complete”, examined for bias, with the characteristics of the deployment setting accounted for (Art. 10(4) effectively requires per-curriculum, per-Land validation); technical documentation to Annex IV (Art. 11); logging (Art. 12); instructions for use (Art. 13); </w:t>
      </w:r>
      <w:r>
        <w:rPr>
          <w:b/>
          <w:bCs/>
        </w:rPr>
        <w:t>human oversight (Art. 14)</w:t>
      </w:r>
      <w:r>
        <w:t>; accuracy, robustness and cybersecurity with declared metrics (Art. 15).</w:t>
      </w:r>
    </w:p>
    <w:p w14:paraId="3119915B" w14:textId="77777777" w:rsidR="0090768F" w:rsidRDefault="00000000">
      <w:pPr>
        <w:pStyle w:val="BodyText"/>
      </w:pPr>
      <w:r>
        <w:rPr>
          <w:b/>
          <w:bCs/>
        </w:rPr>
        <w:t>Art. 14(4)(b) is the single most important provision for our product design.</w:t>
      </w:r>
      <w:r>
        <w:t xml:space="preserve"> Oversight persons must be enabled to </w:t>
      </w:r>
      <w:r>
        <w:rPr>
          <w:i/>
          <w:iCs/>
        </w:rPr>
        <w:t>“remain aware of the possible tendency of automatically relying or over-relying on the output produced by a high-risk AI system (automation bias)”</w:t>
      </w:r>
      <w:r>
        <w:t xml:space="preserve">. This converts automation bias from a UX concern into a statutory design obligation on </w:t>
      </w:r>
      <w:r>
        <w:rPr>
          <w:b/>
          <w:bCs/>
        </w:rPr>
        <w:t>us</w:t>
      </w:r>
      <w:r>
        <w:t xml:space="preserve">. It is also the AI Act’s structural answer to the </w:t>
      </w:r>
      <w:r>
        <w:rPr>
          <w:i/>
          <w:iCs/>
        </w:rPr>
        <w:t>SCHUFA</w:t>
      </w:r>
      <w:r>
        <w:t xml:space="preserve"> rubber-stamp problem: a UI that shows the AI’s grade first, prominently, with a one-click accept is non-compliant with Art. 14(4)(b) </w:t>
      </w:r>
      <w:r>
        <w:rPr>
          <w:b/>
          <w:bCs/>
        </w:rPr>
        <w:t>and</w:t>
      </w:r>
      <w:r>
        <w:t xml:space="preserve"> destroys the Art. 22 argument. Design once, satisfy both.</w:t>
      </w:r>
    </w:p>
    <w:p w14:paraId="3CEA15D1" w14:textId="77777777" w:rsidR="0090768F" w:rsidRDefault="00000000">
      <w:pPr>
        <w:pStyle w:val="BodyText"/>
      </w:pPr>
      <w:r>
        <w:rPr>
          <w:b/>
          <w:bCs/>
        </w:rPr>
        <w:lastRenderedPageBreak/>
        <w:t>Provider obligations (Art. 16):</w:t>
      </w:r>
      <w:r>
        <w:t xml:space="preserve"> quality management system (Art. 17), documentation and log retention, conformity assessment, EU declaration of conformity (Art. 47), CE marking (Art. 48), registration (Art. 49(1)), corrective action, demonstration of conformity on request, and — Art. 16(l) — compliance with the accessibility requirements of Directives (EU) 2016/2102 and (EU) 2019/882.</w:t>
      </w:r>
    </w:p>
    <w:p w14:paraId="7B53D0E2" w14:textId="77777777" w:rsidR="0090768F" w:rsidRDefault="00000000">
      <w:pPr>
        <w:pStyle w:val="BodyText"/>
      </w:pPr>
      <w:r>
        <w:rPr>
          <w:b/>
          <w:bCs/>
        </w:rPr>
        <w:t>Conformity assessment — the good news.</w:t>
      </w:r>
      <w:r>
        <w:t xml:space="preserve"> Art. 43 sends Annex III points </w:t>
      </w:r>
      <w:r>
        <w:rPr>
          <w:b/>
          <w:bCs/>
        </w:rPr>
        <w:t>2–8</w:t>
      </w:r>
      <w:r>
        <w:t xml:space="preserve">, which includes education, to the </w:t>
      </w:r>
      <w:r>
        <w:rPr>
          <w:b/>
          <w:bCs/>
        </w:rPr>
        <w:t>Annex VI internal-control</w:t>
      </w:r>
      <w:r>
        <w:t xml:space="preserve"> procedure. No notified body, no third-party audit. Only Annex III point 1 (biometrics) can require notified-body involvement. One caveat: Reg. 2026/1744 empowered the Commission to move points 2–8 toward Annex VII in future; not exercised as far as could be verified, but monitor.</w:t>
      </w:r>
    </w:p>
    <w:p w14:paraId="598165C3" w14:textId="77777777" w:rsidR="0090768F" w:rsidRDefault="00000000">
      <w:pPr>
        <w:pStyle w:val="BodyText"/>
      </w:pPr>
      <w:r>
        <w:rPr>
          <w:b/>
          <w:bCs/>
        </w:rPr>
        <w:t>Substantial modification</w:t>
      </w:r>
      <w:r>
        <w:t xml:space="preserve"> (Art. 43(4)) triggers re-assessment, except for changes pre-declared in the original technical documentation. For a product built on a foundation model, “we upgraded to the next model version” is a substantial-modification question. </w:t>
      </w:r>
      <w:r>
        <w:rPr>
          <w:b/>
          <w:bCs/>
        </w:rPr>
        <w:t>Pre-declare the intended model-update envelope in the Annex IV documentation</w:t>
      </w:r>
      <w:r>
        <w:t>, or every model swap becomes a re-conformity event.</w:t>
      </w:r>
    </w:p>
    <w:p w14:paraId="5429C6D3" w14:textId="77777777" w:rsidR="0090768F" w:rsidRDefault="00000000">
      <w:pPr>
        <w:pStyle w:val="BodyText"/>
      </w:pPr>
      <w:r>
        <w:rPr>
          <w:b/>
          <w:bCs/>
        </w:rPr>
        <w:t>Post-market:</w:t>
      </w:r>
      <w:r>
        <w:t xml:space="preserve"> Art. 72 monitoring plan (part of the Annex IV documentation; Commission template due by 2 September 2027) and </w:t>
      </w:r>
      <w:r>
        <w:rPr>
          <w:b/>
          <w:bCs/>
        </w:rPr>
        <w:t>Art. 73 serious-incident reporting on a 15-day clock</w:t>
      </w:r>
      <w:r>
        <w:t xml:space="preserve"> (2 days for widespread infringement). A model regression that mis-scores a whole exam sitting is plausibly a serious incident. Put the clock in the incident runbook.</w:t>
      </w:r>
    </w:p>
    <w:p w14:paraId="61BD7673" w14:textId="77777777" w:rsidR="0090768F" w:rsidRDefault="00000000">
      <w:pPr>
        <w:pStyle w:val="BodyText"/>
      </w:pPr>
      <w:r>
        <w:rPr>
          <w:b/>
          <w:bCs/>
        </w:rPr>
        <w:t>Penalties (Art. 99):</w:t>
      </w:r>
      <w:r>
        <w:t xml:space="preserve"> €35m or 7% of worldwide turnover for Art. 5 prohibited practices; €15m or 3% for operator breaches including Arts. 16, 25(2)–(4), 26 and 50. As an SME we benefit from the amended “whichever is lower” cap. The real penalty risk is not the fine: it is the public EU-database registration, the market-surveillance finding and losing every public-sector customer at once.</w:t>
      </w:r>
    </w:p>
    <w:p w14:paraId="3C7605E6" w14:textId="77777777" w:rsidR="0090768F" w:rsidRDefault="00000000">
      <w:pPr>
        <w:pStyle w:val="Heading3"/>
      </w:pPr>
      <w:bookmarkStart w:id="24" w:name="Xd3dfd05a0b155f61ae0edf5fc6b9766b56d18b9"/>
      <w:bookmarkEnd w:id="23"/>
      <w:r>
        <w:t>4.3 Why the Art. 6(3) derogation is closed to us</w:t>
      </w:r>
    </w:p>
    <w:p w14:paraId="16CD2685" w14:textId="77777777" w:rsidR="0090768F" w:rsidRDefault="00000000">
      <w:pPr>
        <w:pStyle w:val="FirstParagraph"/>
      </w:pPr>
      <w:r>
        <w:t>The derogation has a chapeau, a list of four alternatives, and an override. All three defeat us.</w:t>
      </w:r>
    </w:p>
    <w:p w14:paraId="574B6740" w14:textId="77777777" w:rsidR="0090768F" w:rsidRDefault="00000000">
      <w:pPr>
        <w:pStyle w:val="BodyText"/>
      </w:pPr>
      <w:r>
        <w:rPr>
          <w:b/>
          <w:bCs/>
        </w:rPr>
        <w:t>The chapeau</w:t>
      </w:r>
      <w:r>
        <w:t xml:space="preserve"> requires that the system not pose a significant risk to fundamental rights, </w:t>
      </w:r>
      <w:r>
        <w:rPr>
          <w:i/>
          <w:iCs/>
        </w:rPr>
        <w:t>“including by not materially influencing the outcome of decision making”</w:t>
      </w:r>
      <w:r>
        <w:t>. Our entire value proposition is that the proposal materially influences the outcome — that is what saves teacher time. A system that did not would not be worth buying.</w:t>
      </w:r>
    </w:p>
    <w:p w14:paraId="02C4DF2A" w14:textId="77777777" w:rsidR="0090768F" w:rsidRDefault="00000000">
      <w:pPr>
        <w:pStyle w:val="BodyText"/>
      </w:pPr>
      <w:r>
        <w:rPr>
          <w:b/>
          <w:bCs/>
        </w:rPr>
        <w:t>The override is dispositive.</w:t>
      </w:r>
      <w:r>
        <w:t xml:space="preserve"> The final sub-paragraph: </w:t>
      </w:r>
      <w:r>
        <w:rPr>
          <w:i/>
          <w:iCs/>
        </w:rPr>
        <w:t>“an AI system referred to in Annex III shall always be considered to be high-risk where the AI system performs profiling of natural persons.”</w:t>
      </w:r>
      <w:r>
        <w:t xml:space="preserve"> AI Act Art. 3(52) adopts the GDPR Art. 4(4) definition — “any form of automated processing … to evaluate certain personal aspects relating to a natural person” — and the illustrative list there is not exhaustive, so the absence of “academic performance” is immaterial. Scoring a student’s attainment evaluates personal aspects. </w:t>
      </w:r>
      <w:r>
        <w:rPr>
          <w:i/>
          <w:iCs/>
        </w:rPr>
        <w:t>Nowak</w:t>
      </w:r>
      <w:r>
        <w:t xml:space="preserve"> says in terms that exam answers reflect the candidate’s knowledge and competence.</w:t>
      </w:r>
    </w:p>
    <w:p w14:paraId="55B20AB9" w14:textId="77777777" w:rsidR="0090768F" w:rsidRDefault="00000000">
      <w:pPr>
        <w:pStyle w:val="BodyText"/>
      </w:pPr>
      <w:r>
        <w:rPr>
          <w:b/>
          <w:bCs/>
        </w:rPr>
        <w:t>The four limbs fail individually</w:t>
      </w:r>
      <w:r>
        <w:t xml:space="preserve"> on the Commission’s draft classification guidelines of 19 May 2026: “narrow procedural task” expressly excludes systems that rank, score or label; </w:t>
      </w:r>
      <w:r>
        <w:lastRenderedPageBreak/>
        <w:t xml:space="preserve">“improve the result of a previously completed human activity” has the sequence wrong, since we propose </w:t>
      </w:r>
      <w:r>
        <w:rPr>
          <w:i/>
          <w:iCs/>
        </w:rPr>
        <w:t>before</w:t>
      </w:r>
      <w:r>
        <w:t xml:space="preserve"> the human decides; limb (c) requires that the system not be meant to influence the prior human assessment; and “preparatory task” turns on proximity to the final decision, with systems generating specific recommendations excluded — a proposed numeric grade is the most specific recommendation possible. The same guidance distinguishes summative evaluation (high-risk) from formative feedback (generally not). </w:t>
      </w:r>
      <w:r>
        <w:rPr>
          <w:i/>
          <w:iCs/>
        </w:rPr>
        <w:t>(Status caveat: those guidelines were still in draft at the last verifiable Commission update and are in any event non-binding — but they are the best available signal of how enforcement will run, and they point uniformly against us.)</w:t>
      </w:r>
    </w:p>
    <w:p w14:paraId="2A524B74" w14:textId="77777777" w:rsidR="0090768F" w:rsidRDefault="00000000">
      <w:pPr>
        <w:pStyle w:val="BodyText"/>
      </w:pPr>
      <w:r>
        <w:rPr>
          <w:b/>
          <w:bCs/>
        </w:rPr>
        <w:t>The best counter-argument, and why it fails.</w:t>
      </w:r>
      <w:r>
        <w:t xml:space="preserve"> One could argue the system evaluates </w:t>
      </w:r>
      <w:r>
        <w:rPr>
          <w:i/>
          <w:iCs/>
        </w:rPr>
        <w:t>the answer</w:t>
      </w:r>
      <w:r>
        <w:t xml:space="preserve">, not </w:t>
      </w:r>
      <w:r>
        <w:rPr>
          <w:i/>
          <w:iCs/>
        </w:rPr>
        <w:t>the person</w:t>
      </w:r>
      <w:r>
        <w:t xml:space="preserve"> — a rubric applied to a text, like a spell-checker applied to a dictionary. It fails because </w:t>
      </w:r>
      <w:r>
        <w:rPr>
          <w:i/>
          <w:iCs/>
        </w:rPr>
        <w:t>Nowak</w:t>
      </w:r>
      <w:r>
        <w:t xml:space="preserve"> holds the answers are personal data </w:t>
      </w:r>
      <w:r>
        <w:rPr>
          <w:b/>
          <w:bCs/>
        </w:rPr>
        <w:t>about the candidate</w:t>
      </w:r>
      <w:r>
        <w:t xml:space="preserve"> precisely because they reflect competence; because the output attaches to the student’s record, not to the text; and because the Commission’s own guidance excludes ranking and scoring from the narrow-procedural-task limb. We would not put this argument above a 15–20% chance before a market surveillance authority, and near zero before a Land supervisory authority.</w:t>
      </w:r>
    </w:p>
    <w:p w14:paraId="32256F5E" w14:textId="77777777" w:rsidR="0090768F" w:rsidRDefault="00000000">
      <w:pPr>
        <w:pStyle w:val="BodyText"/>
      </w:pPr>
      <w:r>
        <w:rPr>
          <w:b/>
          <w:bCs/>
        </w:rPr>
        <w:t>And the derogation is not an exemption anyway.</w:t>
      </w:r>
      <w:r>
        <w:t xml:space="preserve"> Art. 6(4) requires a documented assessment before placing on the market, retained and producible. Art. 49(2) requires the provider to </w:t>
      </w:r>
      <w:r>
        <w:rPr>
          <w:b/>
          <w:bCs/>
        </w:rPr>
        <w:t>register itself and the system in the public EU database</w:t>
      </w:r>
      <w:r>
        <w:t xml:space="preserve"> on the strength of that conclusion. A registered “we say we are not high-risk” declaration for an exam-grading system invites exactly the attention we do not want.</w:t>
      </w:r>
    </w:p>
    <w:p w14:paraId="612E34E6" w14:textId="77777777" w:rsidR="0090768F" w:rsidRDefault="00000000">
      <w:pPr>
        <w:pStyle w:val="BodyText"/>
      </w:pPr>
      <w:r>
        <w:rPr>
          <w:b/>
          <w:bCs/>
        </w:rPr>
        <w:t>Recommended position:</w:t>
      </w:r>
      <w:r>
        <w:t xml:space="preserve"> plan for high-risk provider status. Keep an Art. 6(3) argument in reserve only for a formative-only, non-recorded product variant, and price and road-map that variant separately.</w:t>
      </w:r>
    </w:p>
    <w:p w14:paraId="44B04DE5" w14:textId="77777777" w:rsidR="0090768F" w:rsidRDefault="00000000">
      <w:pPr>
        <w:pStyle w:val="Heading3"/>
      </w:pPr>
      <w:bookmarkStart w:id="25" w:name="X0221147866cdf04d015dda96d7ffb92a633a297"/>
      <w:bookmarkEnd w:id="24"/>
      <w:r>
        <w:t>4.4 What the school acquires — and why this is a sales fact, not a footnote</w:t>
      </w:r>
    </w:p>
    <w:tbl>
      <w:tblPr>
        <w:tblStyle w:val="Table"/>
        <w:tblW w:w="5000" w:type="pct"/>
        <w:tblLook w:val="0020" w:firstRow="1" w:lastRow="0" w:firstColumn="0" w:lastColumn="0" w:noHBand="0" w:noVBand="0"/>
      </w:tblPr>
      <w:tblGrid>
        <w:gridCol w:w="1272"/>
        <w:gridCol w:w="8088"/>
      </w:tblGrid>
      <w:tr w:rsidR="0090768F" w14:paraId="4C0EA0E1"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3AA92B13" w14:textId="77777777" w:rsidR="0090768F" w:rsidRDefault="00000000">
            <w:pPr>
              <w:pStyle w:val="Compact"/>
            </w:pPr>
            <w:r>
              <w:t>Provision</w:t>
            </w:r>
          </w:p>
        </w:tc>
        <w:tc>
          <w:tcPr>
            <w:tcW w:w="0" w:type="auto"/>
          </w:tcPr>
          <w:p w14:paraId="06E64C6D" w14:textId="77777777" w:rsidR="0090768F" w:rsidRDefault="00000000">
            <w:pPr>
              <w:pStyle w:val="Compact"/>
            </w:pPr>
            <w:r>
              <w:t>What the deploying school must do</w:t>
            </w:r>
          </w:p>
        </w:tc>
      </w:tr>
      <w:tr w:rsidR="0090768F" w14:paraId="7D64C19D" w14:textId="77777777">
        <w:tc>
          <w:tcPr>
            <w:tcW w:w="0" w:type="auto"/>
          </w:tcPr>
          <w:p w14:paraId="683EA2D0" w14:textId="77777777" w:rsidR="0090768F" w:rsidRDefault="00000000">
            <w:pPr>
              <w:pStyle w:val="Compact"/>
            </w:pPr>
            <w:r>
              <w:t>Art. 26(1)</w:t>
            </w:r>
          </w:p>
        </w:tc>
        <w:tc>
          <w:tcPr>
            <w:tcW w:w="0" w:type="auto"/>
          </w:tcPr>
          <w:p w14:paraId="45F905EA" w14:textId="77777777" w:rsidR="0090768F" w:rsidRDefault="00000000">
            <w:pPr>
              <w:pStyle w:val="Compact"/>
            </w:pPr>
            <w:r>
              <w:t>Use the system in accordance with the instructions for use</w:t>
            </w:r>
          </w:p>
        </w:tc>
      </w:tr>
      <w:tr w:rsidR="0090768F" w14:paraId="79B86E52" w14:textId="77777777">
        <w:tc>
          <w:tcPr>
            <w:tcW w:w="0" w:type="auto"/>
          </w:tcPr>
          <w:p w14:paraId="1D649B8C" w14:textId="77777777" w:rsidR="0090768F" w:rsidRDefault="00000000">
            <w:pPr>
              <w:pStyle w:val="Compact"/>
            </w:pPr>
            <w:r>
              <w:t>Art. 26(2)</w:t>
            </w:r>
          </w:p>
        </w:tc>
        <w:tc>
          <w:tcPr>
            <w:tcW w:w="0" w:type="auto"/>
          </w:tcPr>
          <w:p w14:paraId="37B018E9" w14:textId="77777777" w:rsidR="0090768F" w:rsidRDefault="00000000">
            <w:pPr>
              <w:pStyle w:val="Compact"/>
            </w:pPr>
            <w:r>
              <w:t xml:space="preserve">Assign human oversight to persons with the necessary </w:t>
            </w:r>
            <w:r>
              <w:rPr>
                <w:b/>
                <w:bCs/>
              </w:rPr>
              <w:t>competence, training and authority</w:t>
            </w:r>
            <w:r>
              <w:t>, and support them</w:t>
            </w:r>
          </w:p>
        </w:tc>
      </w:tr>
      <w:tr w:rsidR="0090768F" w14:paraId="52E83392" w14:textId="77777777">
        <w:tc>
          <w:tcPr>
            <w:tcW w:w="0" w:type="auto"/>
          </w:tcPr>
          <w:p w14:paraId="336D2B2A" w14:textId="77777777" w:rsidR="0090768F" w:rsidRDefault="00000000">
            <w:pPr>
              <w:pStyle w:val="Compact"/>
            </w:pPr>
            <w:r>
              <w:t>Art. 26(4)</w:t>
            </w:r>
          </w:p>
        </w:tc>
        <w:tc>
          <w:tcPr>
            <w:tcW w:w="0" w:type="auto"/>
          </w:tcPr>
          <w:p w14:paraId="7E1DA8F8" w14:textId="77777777" w:rsidR="0090768F" w:rsidRDefault="00000000">
            <w:pPr>
              <w:pStyle w:val="Compact"/>
            </w:pPr>
            <w:r>
              <w:t>Ensure input data are relevant and sufficiently representative</w:t>
            </w:r>
          </w:p>
        </w:tc>
      </w:tr>
      <w:tr w:rsidR="0090768F" w14:paraId="18B6EA89" w14:textId="77777777">
        <w:tc>
          <w:tcPr>
            <w:tcW w:w="0" w:type="auto"/>
          </w:tcPr>
          <w:p w14:paraId="310F3D15" w14:textId="77777777" w:rsidR="0090768F" w:rsidRDefault="00000000">
            <w:pPr>
              <w:pStyle w:val="Compact"/>
            </w:pPr>
            <w:r>
              <w:t>Art. 26(5)</w:t>
            </w:r>
          </w:p>
        </w:tc>
        <w:tc>
          <w:tcPr>
            <w:tcW w:w="0" w:type="auto"/>
          </w:tcPr>
          <w:p w14:paraId="30A72EB0" w14:textId="77777777" w:rsidR="0090768F" w:rsidRDefault="00000000">
            <w:pPr>
              <w:pStyle w:val="Compact"/>
            </w:pPr>
            <w:r>
              <w:t>Monitor operation; inform provider and authorities of risks or serious incidents without undue delay</w:t>
            </w:r>
          </w:p>
        </w:tc>
      </w:tr>
      <w:tr w:rsidR="0090768F" w14:paraId="4B3A744B" w14:textId="77777777">
        <w:tc>
          <w:tcPr>
            <w:tcW w:w="0" w:type="auto"/>
          </w:tcPr>
          <w:p w14:paraId="3C504005" w14:textId="77777777" w:rsidR="0090768F" w:rsidRDefault="00000000">
            <w:pPr>
              <w:pStyle w:val="Compact"/>
            </w:pPr>
            <w:r>
              <w:t>Art. 26(6)</w:t>
            </w:r>
          </w:p>
        </w:tc>
        <w:tc>
          <w:tcPr>
            <w:tcW w:w="0" w:type="auto"/>
          </w:tcPr>
          <w:p w14:paraId="6DB4C6C5" w14:textId="77777777" w:rsidR="0090768F" w:rsidRDefault="00000000">
            <w:pPr>
              <w:pStyle w:val="Compact"/>
            </w:pPr>
            <w:r>
              <w:rPr>
                <w:b/>
                <w:bCs/>
              </w:rPr>
              <w:t>Retain logs for at least six months</w:t>
            </w:r>
          </w:p>
        </w:tc>
      </w:tr>
      <w:tr w:rsidR="0090768F" w14:paraId="13C56BA7" w14:textId="77777777">
        <w:tc>
          <w:tcPr>
            <w:tcW w:w="0" w:type="auto"/>
          </w:tcPr>
          <w:p w14:paraId="1C8C3D7C" w14:textId="77777777" w:rsidR="0090768F" w:rsidRDefault="00000000">
            <w:pPr>
              <w:pStyle w:val="Compact"/>
            </w:pPr>
            <w:r>
              <w:t>Art. 26(7)</w:t>
            </w:r>
          </w:p>
        </w:tc>
        <w:tc>
          <w:tcPr>
            <w:tcW w:w="0" w:type="auto"/>
          </w:tcPr>
          <w:p w14:paraId="4B1F8886" w14:textId="77777777" w:rsidR="0090768F" w:rsidRDefault="00000000">
            <w:pPr>
              <w:pStyle w:val="Compact"/>
            </w:pPr>
            <w:r>
              <w:t xml:space="preserve">Before putting a high-risk system into service </w:t>
            </w:r>
            <w:r>
              <w:rPr>
                <w:b/>
                <w:bCs/>
              </w:rPr>
              <w:t>at the workplace</w:t>
            </w:r>
            <w:r>
              <w:t>, inform workers’ representatives and the affected workers</w:t>
            </w:r>
          </w:p>
        </w:tc>
      </w:tr>
      <w:tr w:rsidR="0090768F" w14:paraId="124F2D62" w14:textId="77777777">
        <w:tc>
          <w:tcPr>
            <w:tcW w:w="0" w:type="auto"/>
          </w:tcPr>
          <w:p w14:paraId="17BF9985" w14:textId="77777777" w:rsidR="0090768F" w:rsidRDefault="00000000">
            <w:pPr>
              <w:pStyle w:val="Compact"/>
            </w:pPr>
            <w:r>
              <w:t>Art. 26(11)</w:t>
            </w:r>
          </w:p>
        </w:tc>
        <w:tc>
          <w:tcPr>
            <w:tcW w:w="0" w:type="auto"/>
          </w:tcPr>
          <w:p w14:paraId="2C715178" w14:textId="77777777" w:rsidR="0090768F" w:rsidRDefault="00000000">
            <w:pPr>
              <w:pStyle w:val="Compact"/>
            </w:pPr>
            <w:r>
              <w:t>Inform the persons subject to decisions made or assisted by the system</w:t>
            </w:r>
          </w:p>
        </w:tc>
      </w:tr>
      <w:tr w:rsidR="0090768F" w14:paraId="745936CA" w14:textId="77777777">
        <w:tc>
          <w:tcPr>
            <w:tcW w:w="0" w:type="auto"/>
          </w:tcPr>
          <w:p w14:paraId="028CB257" w14:textId="77777777" w:rsidR="0090768F" w:rsidRDefault="00000000">
            <w:pPr>
              <w:pStyle w:val="Compact"/>
            </w:pPr>
            <w:r>
              <w:rPr>
                <w:b/>
                <w:bCs/>
              </w:rPr>
              <w:t>Art. 27</w:t>
            </w:r>
          </w:p>
        </w:tc>
        <w:tc>
          <w:tcPr>
            <w:tcW w:w="0" w:type="auto"/>
          </w:tcPr>
          <w:p w14:paraId="6AA26DBF" w14:textId="77777777" w:rsidR="0090768F" w:rsidRDefault="00000000">
            <w:pPr>
              <w:pStyle w:val="Compact"/>
            </w:pPr>
            <w:r>
              <w:rPr>
                <w:b/>
                <w:bCs/>
              </w:rPr>
              <w:t>Fundamental rights impact assessment</w:t>
            </w:r>
            <w:r>
              <w:t xml:space="preserve"> — obligatory for deployers that are bodies governed by public law or private entities providing public services</w:t>
            </w:r>
          </w:p>
        </w:tc>
      </w:tr>
    </w:tbl>
    <w:p w14:paraId="1D97E4A3" w14:textId="77777777" w:rsidR="0090768F" w:rsidRDefault="00000000">
      <w:pPr>
        <w:pStyle w:val="BodyText"/>
      </w:pPr>
      <w:r>
        <w:lastRenderedPageBreak/>
        <w:t xml:space="preserve">Two of these are politically loaded. </w:t>
      </w:r>
      <w:r>
        <w:rPr>
          <w:b/>
          <w:bCs/>
        </w:rPr>
        <w:t>Art. 26(7)</w:t>
      </w:r>
      <w:r>
        <w:t xml:space="preserve"> means the </w:t>
      </w:r>
      <w:r>
        <w:rPr>
          <w:i/>
          <w:iCs/>
        </w:rPr>
        <w:t>Personalrat</w:t>
      </w:r>
      <w:r>
        <w:t xml:space="preserve"> must be informed before go-live, and in Germany this interacts with the Länder co-determination regimes, which can require consent, not just information, for technical systems capable of monitoring employee performance (§5.8). Budget one to three months and ship a ready-made information pack. </w:t>
      </w:r>
      <w:r>
        <w:rPr>
          <w:b/>
          <w:bCs/>
        </w:rPr>
        <w:t>Art. 27</w:t>
      </w:r>
      <w:r>
        <w:t xml:space="preserve"> applies to every state school, and the assessment must describe the processes, the period and frequency of use, the categories of persons affected, the specific risks of harm, the human-oversight measures and the complaint mechanisms. No school has the capacity to write one. Art. 27(4) as amended now lets the deployer cross-reference its GDPR DPIA, and Art. 27(5) promises an AI Office template questionnaire (</w:t>
      </w:r>
      <w:r>
        <w:rPr>
          <w:b/>
          <w:bCs/>
        </w:rPr>
        <w:t>publication not verified</w:t>
      </w:r>
      <w:r>
        <w:t>).</w:t>
      </w:r>
    </w:p>
    <w:p w14:paraId="672B016D" w14:textId="77777777" w:rsidR="0090768F" w:rsidRDefault="00000000">
      <w:pPr>
        <w:pStyle w:val="BodyText"/>
      </w:pPr>
      <w:r>
        <w:t xml:space="preserve">A purely commercial exam body or corporate training provider is </w:t>
      </w:r>
      <w:r>
        <w:rPr>
          <w:i/>
          <w:iCs/>
        </w:rPr>
        <w:t>not</w:t>
      </w:r>
      <w:r>
        <w:t xml:space="preserve"> caught by Art. 27’s first limb. That is worth segmenting the ideal customer profile on.</w:t>
      </w:r>
    </w:p>
    <w:p w14:paraId="77E2A5FC" w14:textId="77777777" w:rsidR="0090768F" w:rsidRDefault="00000000">
      <w:pPr>
        <w:pStyle w:val="Heading3"/>
      </w:pPr>
      <w:bookmarkStart w:id="26" w:name="timeline-as-it-now-stands"/>
      <w:bookmarkEnd w:id="25"/>
      <w:r>
        <w:t>4.5 Timeline as it now stands</w:t>
      </w:r>
    </w:p>
    <w:tbl>
      <w:tblPr>
        <w:tblStyle w:val="Table"/>
        <w:tblW w:w="5000" w:type="pct"/>
        <w:tblLook w:val="0020" w:firstRow="1" w:lastRow="0" w:firstColumn="0" w:lastColumn="0" w:noHBand="0" w:noVBand="0"/>
      </w:tblPr>
      <w:tblGrid>
        <w:gridCol w:w="1007"/>
        <w:gridCol w:w="6569"/>
        <w:gridCol w:w="1784"/>
      </w:tblGrid>
      <w:tr w:rsidR="0090768F" w14:paraId="2F4F50DB"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4D06AA42" w14:textId="77777777" w:rsidR="0090768F" w:rsidRDefault="00000000">
            <w:pPr>
              <w:pStyle w:val="Compact"/>
            </w:pPr>
            <w:r>
              <w:t>Date</w:t>
            </w:r>
          </w:p>
        </w:tc>
        <w:tc>
          <w:tcPr>
            <w:tcW w:w="0" w:type="auto"/>
          </w:tcPr>
          <w:p w14:paraId="13BE8D9B" w14:textId="77777777" w:rsidR="0090768F" w:rsidRDefault="00000000">
            <w:pPr>
              <w:pStyle w:val="Compact"/>
            </w:pPr>
            <w:r>
              <w:t>What applies</w:t>
            </w:r>
          </w:p>
        </w:tc>
        <w:tc>
          <w:tcPr>
            <w:tcW w:w="0" w:type="auto"/>
          </w:tcPr>
          <w:p w14:paraId="104B2ECE" w14:textId="77777777" w:rsidR="0090768F" w:rsidRDefault="00000000">
            <w:pPr>
              <w:pStyle w:val="Compact"/>
            </w:pPr>
            <w:r>
              <w:t>Status</w:t>
            </w:r>
          </w:p>
        </w:tc>
      </w:tr>
      <w:tr w:rsidR="0090768F" w14:paraId="4BC67013" w14:textId="77777777">
        <w:tc>
          <w:tcPr>
            <w:tcW w:w="0" w:type="auto"/>
          </w:tcPr>
          <w:p w14:paraId="10DDA7FF" w14:textId="77777777" w:rsidR="0090768F" w:rsidRDefault="00000000">
            <w:pPr>
              <w:pStyle w:val="Compact"/>
            </w:pPr>
            <w:r>
              <w:t>2 Feb 2025</w:t>
            </w:r>
          </w:p>
        </w:tc>
        <w:tc>
          <w:tcPr>
            <w:tcW w:w="0" w:type="auto"/>
          </w:tcPr>
          <w:p w14:paraId="22828B39" w14:textId="77777777" w:rsidR="0090768F" w:rsidRDefault="00000000">
            <w:pPr>
              <w:pStyle w:val="Compact"/>
            </w:pPr>
            <w:r>
              <w:t>Chapter I (incl. </w:t>
            </w:r>
            <w:r>
              <w:rPr>
                <w:b/>
                <w:bCs/>
              </w:rPr>
              <w:t>Art. 4 AI literacy</w:t>
            </w:r>
            <w:r>
              <w:t>) and Chapter II (</w:t>
            </w:r>
            <w:r>
              <w:rPr>
                <w:b/>
                <w:bCs/>
              </w:rPr>
              <w:t>Art. 5 prohibitions</w:t>
            </w:r>
            <w:r>
              <w:t>, incl. 5(1)(f) emotion recognition in education)</w:t>
            </w:r>
          </w:p>
        </w:tc>
        <w:tc>
          <w:tcPr>
            <w:tcW w:w="0" w:type="auto"/>
          </w:tcPr>
          <w:p w14:paraId="0523DC48" w14:textId="77777777" w:rsidR="0090768F" w:rsidRDefault="00000000">
            <w:pPr>
              <w:pStyle w:val="Compact"/>
            </w:pPr>
            <w:r>
              <w:t>in force</w:t>
            </w:r>
          </w:p>
        </w:tc>
      </w:tr>
      <w:tr w:rsidR="0090768F" w14:paraId="411913B1" w14:textId="77777777">
        <w:tc>
          <w:tcPr>
            <w:tcW w:w="0" w:type="auto"/>
          </w:tcPr>
          <w:p w14:paraId="16C67267" w14:textId="77777777" w:rsidR="0090768F" w:rsidRDefault="00000000">
            <w:pPr>
              <w:pStyle w:val="Compact"/>
            </w:pPr>
            <w:r>
              <w:t>2 Aug 2025</w:t>
            </w:r>
          </w:p>
        </w:tc>
        <w:tc>
          <w:tcPr>
            <w:tcW w:w="0" w:type="auto"/>
          </w:tcPr>
          <w:p w14:paraId="561FA9AA" w14:textId="77777777" w:rsidR="0090768F" w:rsidRDefault="00000000">
            <w:pPr>
              <w:pStyle w:val="Compact"/>
            </w:pPr>
            <w:r>
              <w:t>Notified bodies; GPAI; governance; penalties</w:t>
            </w:r>
          </w:p>
        </w:tc>
        <w:tc>
          <w:tcPr>
            <w:tcW w:w="0" w:type="auto"/>
          </w:tcPr>
          <w:p w14:paraId="17BCCD34" w14:textId="77777777" w:rsidR="0090768F" w:rsidRDefault="00000000">
            <w:pPr>
              <w:pStyle w:val="Compact"/>
            </w:pPr>
            <w:r>
              <w:t>in force</w:t>
            </w:r>
          </w:p>
        </w:tc>
      </w:tr>
      <w:tr w:rsidR="0090768F" w14:paraId="057DF5CC" w14:textId="77777777">
        <w:tc>
          <w:tcPr>
            <w:tcW w:w="0" w:type="auto"/>
          </w:tcPr>
          <w:p w14:paraId="7A1531EF" w14:textId="77777777" w:rsidR="0090768F" w:rsidRDefault="00000000">
            <w:pPr>
              <w:pStyle w:val="Compact"/>
            </w:pPr>
            <w:r>
              <w:t>27 Jul 2026</w:t>
            </w:r>
          </w:p>
        </w:tc>
        <w:tc>
          <w:tcPr>
            <w:tcW w:w="0" w:type="auto"/>
          </w:tcPr>
          <w:p w14:paraId="1A29865A" w14:textId="77777777" w:rsidR="0090768F" w:rsidRDefault="00000000">
            <w:pPr>
              <w:pStyle w:val="Compact"/>
            </w:pPr>
            <w:r>
              <w:t>Reg. (EU) 2026/1744 in force: softened Art. 4; new Art. 4a (bias-detection basis); Art. 27(4)–(5); SME/SMC penalty caps</w:t>
            </w:r>
          </w:p>
        </w:tc>
        <w:tc>
          <w:tcPr>
            <w:tcW w:w="0" w:type="auto"/>
          </w:tcPr>
          <w:p w14:paraId="4613ED28" w14:textId="77777777" w:rsidR="0090768F" w:rsidRDefault="00000000">
            <w:pPr>
              <w:pStyle w:val="Compact"/>
            </w:pPr>
            <w:r>
              <w:t>in force</w:t>
            </w:r>
          </w:p>
        </w:tc>
      </w:tr>
      <w:tr w:rsidR="0090768F" w14:paraId="12B5391B" w14:textId="77777777">
        <w:tc>
          <w:tcPr>
            <w:tcW w:w="0" w:type="auto"/>
          </w:tcPr>
          <w:p w14:paraId="4C4B338E" w14:textId="77777777" w:rsidR="0090768F" w:rsidRDefault="00000000">
            <w:pPr>
              <w:pStyle w:val="Compact"/>
            </w:pPr>
            <w:r>
              <w:t>2 Aug 2026</w:t>
            </w:r>
          </w:p>
        </w:tc>
        <w:tc>
          <w:tcPr>
            <w:tcW w:w="0" w:type="auto"/>
          </w:tcPr>
          <w:p w14:paraId="7C059B02" w14:textId="77777777" w:rsidR="0090768F" w:rsidRDefault="00000000">
            <w:pPr>
              <w:pStyle w:val="Compact"/>
            </w:pPr>
            <w:r>
              <w:t xml:space="preserve">General application date, incl. Art. 50 transparency and </w:t>
            </w:r>
            <w:r>
              <w:rPr>
                <w:b/>
                <w:bCs/>
              </w:rPr>
              <w:t>Chapter III Section 5 (Arts. 40–49: conformity assessment, DoC, CE marking, registration)</w:t>
            </w:r>
          </w:p>
        </w:tc>
        <w:tc>
          <w:tcPr>
            <w:tcW w:w="0" w:type="auto"/>
          </w:tcPr>
          <w:p w14:paraId="7E18A66A" w14:textId="77777777" w:rsidR="0090768F" w:rsidRDefault="00000000">
            <w:pPr>
              <w:pStyle w:val="Compact"/>
            </w:pPr>
            <w:r>
              <w:t>in force — see the gap below</w:t>
            </w:r>
          </w:p>
        </w:tc>
      </w:tr>
      <w:tr w:rsidR="0090768F" w14:paraId="3844D6E4" w14:textId="77777777">
        <w:tc>
          <w:tcPr>
            <w:tcW w:w="0" w:type="auto"/>
          </w:tcPr>
          <w:p w14:paraId="4D5C7961" w14:textId="77777777" w:rsidR="0090768F" w:rsidRDefault="00000000">
            <w:pPr>
              <w:pStyle w:val="Compact"/>
            </w:pPr>
            <w:r>
              <w:t>2 Dec 2026</w:t>
            </w:r>
          </w:p>
        </w:tc>
        <w:tc>
          <w:tcPr>
            <w:tcW w:w="0" w:type="auto"/>
          </w:tcPr>
          <w:p w14:paraId="6FA95D65" w14:textId="77777777" w:rsidR="0090768F" w:rsidRDefault="00000000">
            <w:pPr>
              <w:pStyle w:val="Compact"/>
            </w:pPr>
            <w:r>
              <w:t>New Art. 5 prohibitions; Art. 50(2) synthetic-content marking for systems placed on the market before 2 Aug 2026</w:t>
            </w:r>
          </w:p>
        </w:tc>
        <w:tc>
          <w:tcPr>
            <w:tcW w:w="0" w:type="auto"/>
          </w:tcPr>
          <w:p w14:paraId="4F70DFC1" w14:textId="77777777" w:rsidR="0090768F" w:rsidRDefault="00000000">
            <w:pPr>
              <w:pStyle w:val="Compact"/>
            </w:pPr>
            <w:r>
              <w:t>pending</w:t>
            </w:r>
          </w:p>
        </w:tc>
      </w:tr>
      <w:tr w:rsidR="0090768F" w14:paraId="06B3048A" w14:textId="77777777">
        <w:tc>
          <w:tcPr>
            <w:tcW w:w="0" w:type="auto"/>
          </w:tcPr>
          <w:p w14:paraId="43F4B242" w14:textId="77777777" w:rsidR="0090768F" w:rsidRDefault="00000000">
            <w:pPr>
              <w:pStyle w:val="Compact"/>
            </w:pPr>
            <w:r>
              <w:rPr>
                <w:b/>
                <w:bCs/>
              </w:rPr>
              <w:t>2 Dec 2027</w:t>
            </w:r>
          </w:p>
        </w:tc>
        <w:tc>
          <w:tcPr>
            <w:tcW w:w="0" w:type="auto"/>
          </w:tcPr>
          <w:p w14:paraId="1D67681E" w14:textId="77777777" w:rsidR="0090768F" w:rsidRDefault="00000000">
            <w:pPr>
              <w:pStyle w:val="Compact"/>
            </w:pPr>
            <w:r>
              <w:rPr>
                <w:b/>
                <w:bCs/>
              </w:rPr>
              <w:t>Chapter III Sections 1–3 for Annex III high-risk: Arts. 6–7 classification, Arts. 8–15 requirements, Arts. 16–27 provider and deployer obligations</w:t>
            </w:r>
          </w:p>
        </w:tc>
        <w:tc>
          <w:tcPr>
            <w:tcW w:w="0" w:type="auto"/>
          </w:tcPr>
          <w:p w14:paraId="23120E15" w14:textId="77777777" w:rsidR="0090768F" w:rsidRDefault="00000000">
            <w:pPr>
              <w:pStyle w:val="Compact"/>
            </w:pPr>
            <w:r>
              <w:rPr>
                <w:b/>
                <w:bCs/>
              </w:rPr>
              <w:t>the date that matters</w:t>
            </w:r>
          </w:p>
        </w:tc>
      </w:tr>
      <w:tr w:rsidR="0090768F" w14:paraId="772DFC45" w14:textId="77777777">
        <w:tc>
          <w:tcPr>
            <w:tcW w:w="0" w:type="auto"/>
          </w:tcPr>
          <w:p w14:paraId="1CC1CB7F" w14:textId="77777777" w:rsidR="0090768F" w:rsidRDefault="00000000">
            <w:pPr>
              <w:pStyle w:val="Compact"/>
            </w:pPr>
            <w:r>
              <w:t>2 Aug 2028</w:t>
            </w:r>
          </w:p>
        </w:tc>
        <w:tc>
          <w:tcPr>
            <w:tcW w:w="0" w:type="auto"/>
          </w:tcPr>
          <w:p w14:paraId="51A884CD" w14:textId="77777777" w:rsidR="0090768F" w:rsidRDefault="00000000">
            <w:pPr>
              <w:pStyle w:val="Compact"/>
            </w:pPr>
            <w:r>
              <w:t>Chapter III Sections 1–3 for Annex I high-risk</w:t>
            </w:r>
          </w:p>
        </w:tc>
        <w:tc>
          <w:tcPr>
            <w:tcW w:w="0" w:type="auto"/>
          </w:tcPr>
          <w:p w14:paraId="48FB991E" w14:textId="77777777" w:rsidR="0090768F" w:rsidRDefault="00000000">
            <w:pPr>
              <w:pStyle w:val="Compact"/>
            </w:pPr>
            <w:r>
              <w:t>pending</w:t>
            </w:r>
          </w:p>
        </w:tc>
      </w:tr>
    </w:tbl>
    <w:p w14:paraId="3A33E43E" w14:textId="77777777" w:rsidR="0090768F" w:rsidRDefault="00000000">
      <w:pPr>
        <w:pStyle w:val="BodyText"/>
      </w:pPr>
      <w:r>
        <w:rPr>
          <w:b/>
          <w:bCs/>
        </w:rPr>
        <w:t>The unresolved gap.</w:t>
      </w:r>
      <w:r>
        <w:t xml:space="preserve"> Article 113 as amended defers only “Chapter III, Sections 1, 2, and 3”. Section 5 (Arts. 40–49) was not deferred and has applied since 2 August 2026 — but Art. 6, which classifies a system as high-risk, and Art. 16, which obliges the provider to undergo conformity assessment and register, do not apply until 2 December 2027. No Commission, AI Office or national statement resolving this could be found. The defensible reading is that a provider cannot be obliged to register a system as high-risk before the provision making it high-risk applies; the practical reading is that no market surveillance authority will enforce Art. 49 against an Annex III provider before December 2027. </w:t>
      </w:r>
      <w:r>
        <w:rPr>
          <w:b/>
          <w:bCs/>
        </w:rPr>
        <w:t>Treat it as an open question, not a loophole; raise it with counsel; and do not put “registration is not required” in writing to a customer.</w:t>
      </w:r>
    </w:p>
    <w:p w14:paraId="73C7FE0E" w14:textId="77777777" w:rsidR="0090768F" w:rsidRDefault="00000000">
      <w:pPr>
        <w:pStyle w:val="BodyText"/>
      </w:pPr>
      <w:r>
        <w:rPr>
          <w:b/>
          <w:bCs/>
        </w:rPr>
        <w:lastRenderedPageBreak/>
        <w:t>Harmonised standards.</w:t>
      </w:r>
      <w:r>
        <w:t xml:space="preserve"> Regulation (EU) 2026/1744’s own recital records, as the legislature’s finding, the </w:t>
      </w:r>
      <w:r>
        <w:rPr>
          <w:i/>
          <w:iCs/>
        </w:rPr>
        <w:t>“delayed availability of standards, common specifications, and alternative guidance”</w:t>
      </w:r>
      <w:r>
        <w:t xml:space="preserve"> — and that was the stated reason for the fifteen-month deferral. Whether </w:t>
      </w:r>
      <w:r>
        <w:rPr>
          <w:b/>
          <w:bCs/>
        </w:rPr>
        <w:t>any</w:t>
      </w:r>
      <w:r>
        <w:t xml:space="preserve"> harmonised standard under the AI Act has had its reference published in the Official Journal </w:t>
      </w:r>
      <w:r>
        <w:rPr>
          <w:b/>
          <w:bCs/>
        </w:rPr>
        <w:t>could not be confirmed</w:t>
      </w:r>
      <w:r>
        <w:t xml:space="preserve">; no evidence was found that any has. Absent publication there is no Art. 40 presumption of conformity, so the Annex VI assessment must be argued from the Art. 8–15 text itself. In practice providers scaffold on </w:t>
      </w:r>
      <w:r>
        <w:rPr>
          <w:b/>
          <w:bCs/>
        </w:rPr>
        <w:t>ISO/IEC 42001</w:t>
      </w:r>
      <w:r>
        <w:t xml:space="preserve"> (AI management systems) and </w:t>
      </w:r>
      <w:r>
        <w:rPr>
          <w:b/>
          <w:bCs/>
        </w:rPr>
        <w:t>ISO/IEC 23894</w:t>
      </w:r>
      <w:r>
        <w:t xml:space="preserve"> (AI risk management). These are not harmonised standards and confer no presumption of conformity, but they are the best available structure and they are recognisable to procurement. </w:t>
      </w:r>
      <w:r>
        <w:rPr>
          <w:b/>
          <w:bCs/>
        </w:rPr>
        <w:t>Recommendation: build the Art. 17 QMS to ISO/IEC 42001 and certify, while stating internally that this is evidence, not conformity.</w:t>
      </w:r>
    </w:p>
    <w:p w14:paraId="5A6A4FA1" w14:textId="77777777" w:rsidR="0090768F" w:rsidRDefault="00000000">
      <w:pPr>
        <w:pStyle w:val="Heading3"/>
      </w:pPr>
      <w:bookmarkStart w:id="27" w:name="two-roadmap-landmines"/>
      <w:bookmarkEnd w:id="26"/>
      <w:r>
        <w:t>4.6 Two roadmap landmines</w:t>
      </w:r>
    </w:p>
    <w:p w14:paraId="3B7DA6BC" w14:textId="77777777" w:rsidR="0090768F" w:rsidRDefault="00000000">
      <w:pPr>
        <w:pStyle w:val="FirstParagraph"/>
      </w:pPr>
      <w:r>
        <w:rPr>
          <w:b/>
          <w:bCs/>
        </w:rPr>
        <w:t>Art. 5(1)(f) — prohibited, not merely regulated.</w:t>
      </w:r>
      <w:r>
        <w:t xml:space="preserve"> </w:t>
      </w:r>
      <w:r>
        <w:rPr>
          <w:i/>
          <w:iCs/>
        </w:rPr>
        <w:t>“AI systems to infer emotions of a natural person in the areas of workplace and education institutions”</w:t>
      </w:r>
      <w:r>
        <w:t xml:space="preserve"> are </w:t>
      </w:r>
      <w:r>
        <w:rPr>
          <w:b/>
          <w:bCs/>
        </w:rPr>
        <w:t>prohibited</w:t>
      </w:r>
      <w:r>
        <w:t xml:space="preserve">, subject only to a narrow medical/safety exception. Penalty tier: €35m or 7%. It has applied since 2 February 2025 and was not deferred. Any engagement-detection, stress-detection, “is the student struggling” or affect-based invigilation feature is flatly unlawful in an education institution. Note the adjacency: Annex III 3(d) proctoring is </w:t>
      </w:r>
      <w:r>
        <w:rPr>
          <w:i/>
          <w:iCs/>
        </w:rPr>
        <w:t>high-risk</w:t>
      </w:r>
      <w:r>
        <w:t xml:space="preserve"> (permitted, regulated); emotion inference is </w:t>
      </w:r>
      <w:r>
        <w:rPr>
          <w:i/>
          <w:iCs/>
        </w:rPr>
        <w:t>prohibited</w:t>
      </w:r>
      <w:r>
        <w:t xml:space="preserve">. The line is thin in a real proctoring product and engineers will not see it. </w:t>
      </w:r>
      <w:r>
        <w:rPr>
          <w:b/>
          <w:bCs/>
        </w:rPr>
        <w:t>Hard product-governance gate.</w:t>
      </w:r>
    </w:p>
    <w:p w14:paraId="5E724C91" w14:textId="77777777" w:rsidR="0090768F" w:rsidRDefault="00000000">
      <w:pPr>
        <w:pStyle w:val="BodyText"/>
      </w:pPr>
      <w:r>
        <w:rPr>
          <w:b/>
          <w:bCs/>
        </w:rPr>
        <w:t>Art. 50(2) — synthetic content marking.</w:t>
      </w:r>
      <w:r>
        <w:t xml:space="preserve"> Providers of systems generating synthetic text must mark outputs in a machine-readable, detectable format. AI-generated feedback text is arguably synthetic text output. This applies from 2 August 2026 (2 December 2026 for systems placed on the market before that date) and is under-considered for a feedback-generating product. Art. 50(4)’s exemption for AI-generated text that has undergone human review with editorial responsibility likely helps for the published-text limb, but 50(2) is a separate obligation.</w:t>
      </w:r>
    </w:p>
    <w:p w14:paraId="61F04172" w14:textId="77777777" w:rsidR="0090768F" w:rsidRDefault="00000000">
      <w:pPr>
        <w:pStyle w:val="Heading3"/>
      </w:pPr>
      <w:bookmarkStart w:id="28" w:name="the-rest-of-the-eu-stack-briefly"/>
      <w:bookmarkEnd w:id="27"/>
      <w:r>
        <w:t>4.7 The rest of the EU stack, briefly</w:t>
      </w:r>
    </w:p>
    <w:p w14:paraId="590BAC65" w14:textId="77777777" w:rsidR="0090768F" w:rsidRDefault="00000000">
      <w:pPr>
        <w:pStyle w:val="Compact"/>
        <w:numPr>
          <w:ilvl w:val="0"/>
          <w:numId w:val="3"/>
        </w:numPr>
      </w:pPr>
      <w:r>
        <w:rPr>
          <w:b/>
          <w:bCs/>
        </w:rPr>
        <w:t>AI Liability Directive: withdrawn</w:t>
      </w:r>
      <w:r>
        <w:t xml:space="preserve"> (OJ C/2025/5423, 6 October 2025). There is no harmonised EU fault-based AI liability regime and no rebuttable causation presumption outside product liability. Fault-based claims fall to national law — in Germany, realistically </w:t>
      </w:r>
      <w:r>
        <w:rPr>
          <w:i/>
          <w:iCs/>
        </w:rPr>
        <w:t>Amtshaftung</w:t>
      </w:r>
      <w:r>
        <w:t xml:space="preserve"> against the school authority under § 839 BGB / Art. 34 GG with recourse against the vendor. The contract should anticipate that structure.</w:t>
      </w:r>
    </w:p>
    <w:p w14:paraId="2FE193CE" w14:textId="77777777" w:rsidR="0090768F" w:rsidRDefault="00000000">
      <w:pPr>
        <w:pStyle w:val="Compact"/>
        <w:numPr>
          <w:ilvl w:val="0"/>
          <w:numId w:val="3"/>
        </w:numPr>
      </w:pPr>
      <w:r>
        <w:rPr>
          <w:b/>
          <w:bCs/>
        </w:rPr>
        <w:t>Revised Product Liability Directive (EU) 2024/2853</w:t>
      </w:r>
      <w:r>
        <w:t xml:space="preserve"> — transposition by 9 December 2026; </w:t>
      </w:r>
      <w:r>
        <w:rPr>
          <w:b/>
          <w:bCs/>
        </w:rPr>
        <w:t>software, including AI, is expressly a “product”</w:t>
      </w:r>
      <w:r>
        <w:t xml:space="preserve">, so strict liability attaches to us as manufacturer, with evidence-disclosure duties and a technical-complexity presumption naming machine learning. </w:t>
      </w:r>
      <w:r>
        <w:rPr>
          <w:b/>
          <w:bCs/>
        </w:rPr>
        <w:t>But Art. 6(1) limits compensable damage to death or personal injury (including medically recognised psychological harm), property damage, and destruction or corruption of non-professional data.</w:t>
      </w:r>
      <w:r>
        <w:t xml:space="preserve"> A wrong grade is pure economic and reputational loss and is none of these. </w:t>
      </w:r>
      <w:r>
        <w:rPr>
          <w:b/>
          <w:bCs/>
        </w:rPr>
        <w:t xml:space="preserve">The realistic liability route for a wrong </w:t>
      </w:r>
      <w:r>
        <w:rPr>
          <w:b/>
          <w:bCs/>
        </w:rPr>
        <w:lastRenderedPageBreak/>
        <w:t>grade is national administrative and contract law, not the PLD</w:t>
      </w:r>
      <w:r>
        <w:t xml:space="preserve"> — a point worth stating plainly, because it is commonly overstated in both directions. Two residual exposures: medically recognised psychological harm from a catastrophic failure, and destruction of a student’s scanned scripts, which is expressly compensable.</w:t>
      </w:r>
    </w:p>
    <w:p w14:paraId="7BF01C00" w14:textId="77777777" w:rsidR="0090768F" w:rsidRDefault="00000000">
      <w:pPr>
        <w:pStyle w:val="Compact"/>
        <w:numPr>
          <w:ilvl w:val="0"/>
          <w:numId w:val="3"/>
        </w:numPr>
      </w:pPr>
      <w:r>
        <w:rPr>
          <w:b/>
          <w:bCs/>
        </w:rPr>
        <w:t>Data Act (EU) 2023/2854</w:t>
      </w:r>
      <w:r>
        <w:t>, applicable since 12 September 2025 — Chapter VI switching and exit obligations apply to us as a SaaS provider. A compliant exit/portability clause is cheap and removes a procurement objection.</w:t>
      </w:r>
    </w:p>
    <w:p w14:paraId="456F27DB" w14:textId="77777777" w:rsidR="0090768F" w:rsidRDefault="00000000">
      <w:pPr>
        <w:pStyle w:val="Compact"/>
        <w:numPr>
          <w:ilvl w:val="0"/>
          <w:numId w:val="3"/>
        </w:numPr>
      </w:pPr>
      <w:r>
        <w:rPr>
          <w:b/>
          <w:bCs/>
        </w:rPr>
        <w:t>Accessibility.</w:t>
      </w:r>
      <w:r>
        <w:t xml:space="preserve"> The European Accessibility Act does </w:t>
      </w:r>
      <w:r>
        <w:rPr>
          <w:b/>
          <w:bCs/>
        </w:rPr>
        <w:t>not</w:t>
      </w:r>
      <w:r>
        <w:t xml:space="preserve"> list education services, so it does not apply to us as a service. The Web Accessibility Directive reaches public-sector bodies but Art. 1(5) lets Member States exclude schools “except for … essential online administrative functions” (whether grade delivery is such a function is open). </w:t>
      </w:r>
      <w:r>
        <w:rPr>
          <w:b/>
          <w:bCs/>
        </w:rPr>
        <w:t>The decisive hook is AI Act Art. 16(l)</w:t>
      </w:r>
      <w:r>
        <w:t xml:space="preserve">, which obliges us directly, from 2 December 2027, to meet the accessibility requirements of both directives. Build to </w:t>
      </w:r>
      <w:r>
        <w:rPr>
          <w:b/>
          <w:bCs/>
        </w:rPr>
        <w:t>EN 301 549 / WCAG 2.1 AA</w:t>
      </w:r>
      <w:r>
        <w:t>. Note the substantive point too: a model that systematically misreads the handwriting of a student with dysgraphia is an accessibility failure, an Art. 10(2)(f)–(g) bias problem and an Art. 5(1)(a) fairness breach simultaneously.</w:t>
      </w:r>
    </w:p>
    <w:p w14:paraId="5458E023" w14:textId="77777777" w:rsidR="0090768F" w:rsidRDefault="00000000">
      <w:pPr>
        <w:pStyle w:val="Compact"/>
        <w:numPr>
          <w:ilvl w:val="0"/>
          <w:numId w:val="3"/>
        </w:numPr>
      </w:pPr>
      <w:r>
        <w:rPr>
          <w:b/>
          <w:bCs/>
        </w:rPr>
        <w:t>NIS2</w:t>
      </w:r>
      <w:r>
        <w:t xml:space="preserve"> does not list education as a sector and is unlikely to reach us directly, though NIS2-regulated customers will push supply-chain security requirements down the contract. </w:t>
      </w:r>
      <w:r>
        <w:rPr>
          <w:b/>
          <w:bCs/>
        </w:rPr>
        <w:t>DGA</w:t>
      </w:r>
      <w:r>
        <w:t xml:space="preserve"> matters only if we ever build a research corpus from public-school data. </w:t>
      </w:r>
      <w:r>
        <w:rPr>
          <w:b/>
          <w:bCs/>
        </w:rPr>
        <w:t>eIDAS</w:t>
      </w:r>
      <w:r>
        <w:t xml:space="preserve"> is a differentiator rather than a requirement: a qualified electronic signature on the examiner’s sign-off would be strong evidence of meaningful, non-delegable human involvement.</w:t>
      </w:r>
    </w:p>
    <w:p w14:paraId="709B87E9" w14:textId="77777777" w:rsidR="0090768F" w:rsidRDefault="00000000">
      <w:pPr>
        <w:pStyle w:val="Heading2"/>
      </w:pPr>
      <w:bookmarkStart w:id="29" w:name="Xed4af4c638a8a19827182852a1a4142c7d840a0"/>
      <w:bookmarkStart w:id="30" w:name="_Toc240060401"/>
      <w:bookmarkEnd w:id="20"/>
      <w:bookmarkEnd w:id="28"/>
      <w:r>
        <w:t>5. Question 3 — What other rules exist below the EU level in Germany?</w:t>
      </w:r>
      <w:bookmarkEnd w:id="30"/>
    </w:p>
    <w:p w14:paraId="19B9F6C0" w14:textId="77777777" w:rsidR="0090768F" w:rsidRDefault="00000000">
      <w:pPr>
        <w:pStyle w:val="FirstParagraph"/>
      </w:pPr>
      <w:r>
        <w:t xml:space="preserve">This is the layer the current deck dismisses as “no strong requirements expected”. It is in fact the hardest obstacle in the German market, and it is not primarily a data-protection layer — it is </w:t>
      </w:r>
      <w:r>
        <w:rPr>
          <w:b/>
          <w:bCs/>
        </w:rPr>
        <w:t>examination law</w:t>
      </w:r>
      <w:r>
        <w:t>.</w:t>
      </w:r>
    </w:p>
    <w:p w14:paraId="0E3BD608" w14:textId="77777777" w:rsidR="0090768F" w:rsidRDefault="00000000">
      <w:pPr>
        <w:pStyle w:val="Heading3"/>
      </w:pPr>
      <w:bookmarkStart w:id="31" w:name="grading-is-an-act-of-public-authority"/>
      <w:r>
        <w:t>5.1 Grading is an act of public authority</w:t>
      </w:r>
    </w:p>
    <w:p w14:paraId="288E9FD0" w14:textId="77777777" w:rsidR="0090768F" w:rsidRDefault="00000000">
      <w:pPr>
        <w:pStyle w:val="FirstParagraph"/>
      </w:pPr>
      <w:r>
        <w:t>The Bildungsministerkonferenz states it in one sentence, and it is the most useful sentence in the German corpus for this product:</w:t>
      </w:r>
    </w:p>
    <w:p w14:paraId="0295BD2B" w14:textId="77777777" w:rsidR="0090768F" w:rsidRDefault="00000000">
      <w:pPr>
        <w:pStyle w:val="BlockText"/>
      </w:pPr>
      <w:r>
        <w:rPr>
          <w:i/>
          <w:iCs/>
        </w:rPr>
        <w:t>“Leistungsbewertung ist und bleibt eine pädagogische und hoheitliche Aufgabe, die als Verwaltungsakt im schulischen Kontext ausschließlich von Lehrkräften erfüllt werden kann.”</w:t>
      </w:r>
      <w:r>
        <w:t xml:space="preserve"> — Handlungsempfehlung … zum Umgang mit Künstlicher Intelligenz in schulischen Bildungsprozessen, Beschluss der Bildungsministerkonferenz vom 10.10.2024, p. 6</w:t>
      </w:r>
    </w:p>
    <w:p w14:paraId="4586BC7D" w14:textId="77777777" w:rsidR="0090768F" w:rsidRDefault="00000000">
      <w:pPr>
        <w:pStyle w:val="FirstParagraph"/>
      </w:pPr>
      <w:r>
        <w:t xml:space="preserve">Note the precision: </w:t>
      </w:r>
      <w:r>
        <w:rPr>
          <w:i/>
          <w:iCs/>
        </w:rPr>
        <w:t>hoheitlich</w:t>
      </w:r>
      <w:r>
        <w:t xml:space="preserve"> + </w:t>
      </w:r>
      <w:r>
        <w:rPr>
          <w:i/>
          <w:iCs/>
        </w:rPr>
        <w:t>Verwaltungsakt</w:t>
      </w:r>
      <w:r>
        <w:t xml:space="preserve"> + </w:t>
      </w:r>
      <w:r>
        <w:rPr>
          <w:i/>
          <w:iCs/>
        </w:rPr>
        <w:t>ausschließlich von Lehrkräften</w:t>
      </w:r>
      <w:r>
        <w:t>. That is a statement of administrative-law competence, not of data protection.</w:t>
      </w:r>
    </w:p>
    <w:p w14:paraId="5CF9E525" w14:textId="77777777" w:rsidR="0090768F" w:rsidRDefault="00000000">
      <w:pPr>
        <w:pStyle w:val="BodyText"/>
      </w:pPr>
      <w:r>
        <w:t xml:space="preserve">The constitutional anchors are Art. 12(1) GG (Berufsfreiheit — engaged by any examination opening access to a profession; BVerwG 10.04.2019 – 6 C 19.18); Art. 3(1) in conjunction with Art. 12(1) GG (Chancengleichheit — comparable examinations must have </w:t>
      </w:r>
      <w:r>
        <w:lastRenderedPageBreak/>
        <w:t xml:space="preserve">comparable conditions and standards; BVerfGE 84, 34); Art. 19(4) (which is why the </w:t>
      </w:r>
      <w:r>
        <w:rPr>
          <w:i/>
          <w:iCs/>
        </w:rPr>
        <w:t>Überdenkensverfahren</w:t>
      </w:r>
      <w:r>
        <w:t xml:space="preserve"> exists at all, compensating for restricted judicial review); Art. 7(1) (state school supervision); and Art. 2(1) with Art. 1(1) (informational self-determination).</w:t>
      </w:r>
    </w:p>
    <w:p w14:paraId="79D8B632" w14:textId="77777777" w:rsidR="0090768F" w:rsidRDefault="00000000">
      <w:pPr>
        <w:pStyle w:val="Heading3"/>
      </w:pPr>
      <w:bookmarkStart w:id="32" w:name="X3010307c8f2c83fd4936d2c6d91acf2282bac24"/>
      <w:bookmarkEnd w:id="31"/>
      <w:r>
        <w:t>5.2 The doctrine that actually decides the product</w:t>
      </w:r>
    </w:p>
    <w:p w14:paraId="09D2A2BD" w14:textId="77777777" w:rsidR="0090768F" w:rsidRDefault="00000000">
      <w:pPr>
        <w:pStyle w:val="FirstParagraph"/>
      </w:pPr>
      <w:r>
        <w:t xml:space="preserve">German examination law does not merely require that </w:t>
      </w:r>
      <w:r>
        <w:rPr>
          <w:i/>
          <w:iCs/>
        </w:rPr>
        <w:t>a</w:t>
      </w:r>
      <w:r>
        <w:t xml:space="preserve"> human signs off. It requires that the grade be the output of </w:t>
      </w:r>
      <w:r>
        <w:rPr>
          <w:b/>
          <w:bCs/>
        </w:rPr>
        <w:t>that examiner’s own, personally constructed frame of reference</w:t>
      </w:r>
      <w:r>
        <w:t>:</w:t>
      </w:r>
    </w:p>
    <w:p w14:paraId="70B9E8D3" w14:textId="77777777" w:rsidR="0090768F" w:rsidRDefault="00000000">
      <w:pPr>
        <w:pStyle w:val="BlockText"/>
      </w:pPr>
      <w:r>
        <w:rPr>
          <w:i/>
          <w:iCs/>
        </w:rPr>
        <w:t>“Der jeweilige Prüfer nimmt die Bewertung anhand von Maßstäben vor, die er in Bezug auf die konkrete Prüfungsaufgabe autonom erstellt. Diese Maßstäbe beruhen auf einem Bezugssystem, das vor allem durch seine persönlichen Erfahrungen, Einschätzungen und Vorstellungen gebildet wird. Diese Maßstäbe muss der Prüfer aus Gründen der Chancengleichheit auf die Bewertung aller Bearbeitungen derselben Prüfungsaufgabe anwenden.”</w:t>
      </w:r>
      <w:r>
        <w:t xml:space="preserve"> — BVerwG, Beschl. v. 15.10.2018 – 6 B 148.18</w:t>
      </w:r>
    </w:p>
    <w:p w14:paraId="2725E163" w14:textId="77777777" w:rsidR="0090768F" w:rsidRDefault="00000000">
      <w:pPr>
        <w:pStyle w:val="FirstParagraph"/>
      </w:pPr>
      <w:r>
        <w:t>And on the personal character of the decision:</w:t>
      </w:r>
    </w:p>
    <w:p w14:paraId="73445AD1" w14:textId="77777777" w:rsidR="0090768F" w:rsidRDefault="00000000">
      <w:pPr>
        <w:pStyle w:val="BlockText"/>
      </w:pPr>
      <w:r>
        <w:rPr>
          <w:i/>
          <w:iCs/>
        </w:rPr>
        <w:t>“…muss jeder die Leistung persönlich unmittelbar und vollständig zur Kenntnis nehmen und eine selbständige, eigenverantwortliche Bewertungsentscheidung treffen.”</w:t>
      </w:r>
      <w:r>
        <w:t xml:space="preserve"> — BVerwG, Beschl. v. 19.05.2016 – 6 B 1.16</w:t>
      </w:r>
    </w:p>
    <w:p w14:paraId="205D0B8C" w14:textId="77777777" w:rsidR="0090768F" w:rsidRDefault="00000000">
      <w:pPr>
        <w:pStyle w:val="FirstParagraph"/>
      </w:pPr>
      <w:r>
        <w:rPr>
          <w:b/>
          <w:bCs/>
        </w:rPr>
        <w:t>Three operative product consequences.</w:t>
      </w:r>
    </w:p>
    <w:p w14:paraId="2C90CB02" w14:textId="77777777" w:rsidR="0090768F" w:rsidRDefault="00000000">
      <w:pPr>
        <w:pStyle w:val="Compact"/>
        <w:numPr>
          <w:ilvl w:val="0"/>
          <w:numId w:val="4"/>
        </w:numPr>
      </w:pPr>
      <w:r>
        <w:rPr>
          <w:i/>
          <w:iCs/>
        </w:rPr>
        <w:t>“Persönlich unmittelbar und vollständig zur Kenntnis nehmen”</w:t>
      </w:r>
      <w:r>
        <w:t xml:space="preserve"> — the examiner must read the </w:t>
      </w:r>
      <w:r>
        <w:rPr>
          <w:b/>
          <w:bCs/>
        </w:rPr>
        <w:t>whole script</w:t>
      </w:r>
      <w:r>
        <w:t xml:space="preserve">, not a summary. A UI that surfaces only extracted claims, or that permits accepting a score without opening the full scan, breaks this rule. </w:t>
      </w:r>
      <w:r>
        <w:rPr>
          <w:b/>
          <w:bCs/>
        </w:rPr>
        <w:t>The script is the primary surface; the proposal is secondary.</w:t>
      </w:r>
    </w:p>
    <w:p w14:paraId="49C8DAB3" w14:textId="77777777" w:rsidR="0090768F" w:rsidRDefault="00000000">
      <w:pPr>
        <w:pStyle w:val="Compact"/>
        <w:numPr>
          <w:ilvl w:val="0"/>
          <w:numId w:val="4"/>
        </w:numPr>
      </w:pPr>
      <w:r>
        <w:rPr>
          <w:i/>
          <w:iCs/>
        </w:rPr>
        <w:t>“Autonom erstellt … persönliche Erfahrungen”</w:t>
      </w:r>
      <w:r>
        <w:t xml:space="preserve"> — an AI-generated rubric adopted wholesale substitutes the vendor’s frame of reference for the examiner’s. </w:t>
      </w:r>
      <w:r>
        <w:rPr>
          <w:b/>
          <w:bCs/>
        </w:rPr>
        <w:t xml:space="preserve">Let the teacher author the rubric; the model applies </w:t>
      </w:r>
      <w:r>
        <w:rPr>
          <w:b/>
          <w:bCs/>
          <w:i/>
          <w:iCs/>
        </w:rPr>
        <w:t>their</w:t>
      </w:r>
      <w:r>
        <w:rPr>
          <w:b/>
          <w:bCs/>
        </w:rPr>
        <w:t xml:space="preserve"> rubric rather than supplying one.</w:t>
      </w:r>
    </w:p>
    <w:p w14:paraId="397AF01A" w14:textId="77777777" w:rsidR="0090768F" w:rsidRDefault="00000000">
      <w:pPr>
        <w:pStyle w:val="Compact"/>
        <w:numPr>
          <w:ilvl w:val="0"/>
          <w:numId w:val="4"/>
        </w:numPr>
      </w:pPr>
      <w:r>
        <w:rPr>
          <w:b/>
          <w:bCs/>
        </w:rPr>
        <w:t>Consistency.</w:t>
      </w:r>
      <w:r>
        <w:t xml:space="preserve"> The same standards must be applied to all scripts for the same task, and that duty extends to re-marking in the </w:t>
      </w:r>
      <w:r>
        <w:rPr>
          <w:i/>
          <w:iCs/>
        </w:rPr>
        <w:t>Überdenkensverfahren</w:t>
      </w:r>
      <w:r>
        <w:t xml:space="preserve">. </w:t>
      </w:r>
      <w:r>
        <w:rPr>
          <w:b/>
          <w:bCs/>
        </w:rPr>
        <w:t>A non-deterministic model that scores the same script differently on two runs, or drifts across a batch, creates a live Chancengleichheit defect.</w:t>
      </w:r>
      <w:r>
        <w:t xml:space="preserve"> This is the most underrated technical requirement in the entire file, and it is an engineering constraint (temperature, seeding, batch-level calibration, regression testing), not a policy one.</w:t>
      </w:r>
    </w:p>
    <w:p w14:paraId="3C59DE93" w14:textId="77777777" w:rsidR="0090768F" w:rsidRDefault="00000000">
      <w:pPr>
        <w:pStyle w:val="Heading3"/>
      </w:pPr>
      <w:bookmarkStart w:id="33" w:name="Xb006f5148f5380142794f37320552d3d8cf3455"/>
      <w:bookmarkEnd w:id="32"/>
      <w:r>
        <w:t xml:space="preserve">5.3 The best precedent </w:t>
      </w:r>
      <w:r>
        <w:rPr>
          <w:i/>
          <w:iCs/>
        </w:rPr>
        <w:t>for</w:t>
      </w:r>
      <w:r>
        <w:t xml:space="preserve"> us: offene Zweitbewertung</w:t>
      </w:r>
    </w:p>
    <w:p w14:paraId="5EBC9208" w14:textId="77777777" w:rsidR="0090768F" w:rsidRDefault="00000000">
      <w:pPr>
        <w:pStyle w:val="FirstParagraph"/>
      </w:pPr>
      <w:r>
        <w:t>German law has already decided whether an examiner may form a judgment while knowing someone else’s prior assessment. The answer is yes:</w:t>
      </w:r>
    </w:p>
    <w:p w14:paraId="033B1494" w14:textId="77777777" w:rsidR="0090768F" w:rsidRDefault="00000000">
      <w:pPr>
        <w:pStyle w:val="BlockText"/>
      </w:pPr>
      <w:r>
        <w:rPr>
          <w:i/>
          <w:iCs/>
        </w:rPr>
        <w:t xml:space="preserve">“Die offene Zweitbewertung, d. h. die Bewertung der Prüfungsleistung durch den Zweitprüfer in Kenntnis der Bewertung des Erstprüfers, ist mit dem </w:t>
      </w:r>
      <w:r>
        <w:rPr>
          <w:i/>
          <w:iCs/>
        </w:rPr>
        <w:lastRenderedPageBreak/>
        <w:t>prüfungsrechtlichen Gebot der Chancengleichheit … vereinbar. Es gibt keinen Verfassungsgrundsatz der Prüfungsanonymität.”</w:t>
      </w:r>
      <w:r>
        <w:t xml:space="preserve"> — BVerwG, Beschl. v. 19.05.2016 – 6 B 1.16</w:t>
      </w:r>
    </w:p>
    <w:p w14:paraId="0C9112D0" w14:textId="77777777" w:rsidR="0090768F" w:rsidRDefault="00000000">
      <w:pPr>
        <w:pStyle w:val="FirstParagraph"/>
      </w:pPr>
      <w:r>
        <w:t xml:space="preserve">This should be the centrepiece of our argument: German examination law does </w:t>
      </w:r>
      <w:r>
        <w:rPr>
          <w:b/>
          <w:bCs/>
        </w:rPr>
        <w:t>not</w:t>
      </w:r>
      <w:r>
        <w:t xml:space="preserve"> treat anchoring by a prior proposal as a defect, provided the second assessor independently and completely engages with the work.</w:t>
      </w:r>
    </w:p>
    <w:p w14:paraId="348B6D03" w14:textId="77777777" w:rsidR="0090768F" w:rsidRDefault="00000000">
      <w:pPr>
        <w:pStyle w:val="BodyText"/>
      </w:pPr>
      <w:r>
        <w:rPr>
          <w:b/>
          <w:bCs/>
        </w:rPr>
        <w:t>State the limit honestly.</w:t>
      </w:r>
      <w:r>
        <w:t xml:space="preserve"> The </w:t>
      </w:r>
      <w:r>
        <w:rPr>
          <w:i/>
          <w:iCs/>
        </w:rPr>
        <w:t>Erstprüfer</w:t>
      </w:r>
      <w:r>
        <w:t xml:space="preserve"> in that case is a human examiner bound by the same duties, personally liable, able to give reasons and to participate in the </w:t>
      </w:r>
      <w:r>
        <w:rPr>
          <w:i/>
          <w:iCs/>
        </w:rPr>
        <w:t>Überdenkensverfahren</w:t>
      </w:r>
      <w:r>
        <w:t>. A language model is none of those things. The analogy supports “a prior proposal does not per se poison the judgment”; it does not support “the proposal may come from anywhere”. Expect that to be the first point a ministry lawyer raises, and have the answer ready: the model does not hold a Bezugssystem, the examiner does, and the model applies the examiner’s own rubric.</w:t>
      </w:r>
    </w:p>
    <w:p w14:paraId="63E1E671" w14:textId="77777777" w:rsidR="0090768F" w:rsidRDefault="00000000">
      <w:pPr>
        <w:pStyle w:val="Heading3"/>
      </w:pPr>
      <w:bookmarkStart w:id="34" w:name="X0d7da88d6099ceda666ad2926fee3731010ee9d"/>
      <w:bookmarkEnd w:id="33"/>
      <w:r>
        <w:t>5.4 § 35a VwVfG forecloses the automated grade — and that is good news</w:t>
      </w:r>
    </w:p>
    <w:p w14:paraId="6C527040" w14:textId="77777777" w:rsidR="0090768F" w:rsidRDefault="00000000">
      <w:pPr>
        <w:pStyle w:val="BlockText"/>
      </w:pPr>
      <w:r>
        <w:rPr>
          <w:i/>
          <w:iCs/>
        </w:rPr>
        <w:t xml:space="preserve">“Ein Verwaltungsakt kann vollständig durch automatische Einrichtungen erlassen werden, sofern dies durch Rechtsvorschrift zugelassen ist und </w:t>
      </w:r>
      <w:r>
        <w:rPr>
          <w:b/>
          <w:bCs/>
          <w:i/>
          <w:iCs/>
        </w:rPr>
        <w:t>weder ein Ermessen noch ein Beurteilungsspielraum besteht</w:t>
      </w:r>
      <w:r>
        <w:rPr>
          <w:i/>
          <w:iCs/>
        </w:rPr>
        <w:t>.”</w:t>
      </w:r>
    </w:p>
    <w:p w14:paraId="31A93EB0" w14:textId="77777777" w:rsidR="0090768F" w:rsidRDefault="00000000">
      <w:pPr>
        <w:pStyle w:val="FirstParagraph"/>
      </w:pPr>
      <w:r>
        <w:t xml:space="preserve">Grading is the paradigm </w:t>
      </w:r>
      <w:r>
        <w:rPr>
          <w:i/>
          <w:iCs/>
        </w:rPr>
        <w:t>Beurteilungsspielraum</w:t>
      </w:r>
      <w:r>
        <w:t xml:space="preserve">. The DSK draws the conclusion expressly: </w:t>
      </w:r>
      <w:r>
        <w:rPr>
          <w:i/>
          <w:iCs/>
        </w:rPr>
        <w:t>“Sofern die öffentliche Stelle über einen Beurteilungsspielraum verfügt oder Ermessen ausübt, scheidet der vollständig automatisierte Erlass aus.”</w:t>
      </w:r>
    </w:p>
    <w:p w14:paraId="44D6AE18" w14:textId="77777777" w:rsidR="0090768F" w:rsidRDefault="00000000">
      <w:pPr>
        <w:pStyle w:val="BodyText"/>
      </w:pPr>
      <w:r>
        <w:rPr>
          <w:b/>
          <w:bCs/>
        </w:rPr>
        <w:t>Strategically this is an asset, not an obstacle.</w:t>
      </w:r>
      <w:r>
        <w:t xml:space="preserve"> It means the “AI replaces the teacher” scenario is legally closed for everyone, permanently, and cannot be legislated into existence at Land level either. We should say so first and loudly: it removes the objection the product is most often accused of, and repositions it in the only space that exists — decision support. Do not build any automated-grade path, even opt-in.</w:t>
      </w:r>
    </w:p>
    <w:p w14:paraId="7AE1A57C" w14:textId="77777777" w:rsidR="0090768F" w:rsidRDefault="00000000">
      <w:pPr>
        <w:pStyle w:val="Heading3"/>
      </w:pPr>
      <w:bookmarkStart w:id="35" w:name="the-länder-school-data-ordinances"/>
      <w:bookmarkEnd w:id="34"/>
      <w:r>
        <w:t>5.5 The Länder school data ordinances</w:t>
      </w:r>
    </w:p>
    <w:p w14:paraId="3D966CED" w14:textId="77777777" w:rsidR="0090768F" w:rsidRDefault="00000000">
      <w:pPr>
        <w:pStyle w:val="FirstParagraph"/>
      </w:pPr>
      <w:r>
        <w:t xml:space="preserve">Schools are Land bodies, so the applicable data law is the </w:t>
      </w:r>
      <w:r>
        <w:rPr>
          <w:b/>
          <w:bCs/>
        </w:rPr>
        <w:t>Landesdatenschutzgesetz</w:t>
      </w:r>
      <w:r>
        <w:t xml:space="preserve"> plus the Schulgesetz data clause plus its ordinance — not the BDSG. (Two corrections for our internal documents: § 37 BDSG concerns insurance decisions and is irrelevant here; the general public-body automated-decision provision at federal level is § 54 BDSG.)</w:t>
      </w:r>
    </w:p>
    <w:p w14:paraId="4EDD82B5" w14:textId="77777777" w:rsidR="0090768F" w:rsidRDefault="00000000">
      <w:pPr>
        <w:pStyle w:val="BodyText"/>
      </w:pPr>
      <w:r>
        <w:t>Verified positions:</w:t>
      </w:r>
    </w:p>
    <w:tbl>
      <w:tblPr>
        <w:tblStyle w:val="Table"/>
        <w:tblW w:w="5000" w:type="pct"/>
        <w:tblLook w:val="0020" w:firstRow="1" w:lastRow="0" w:firstColumn="0" w:lastColumn="0" w:noHBand="0" w:noVBand="0"/>
      </w:tblPr>
      <w:tblGrid>
        <w:gridCol w:w="2073"/>
        <w:gridCol w:w="3177"/>
        <w:gridCol w:w="2287"/>
        <w:gridCol w:w="1823"/>
      </w:tblGrid>
      <w:tr w:rsidR="0090768F" w14:paraId="02DAB333"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22EC45F4" w14:textId="77777777" w:rsidR="0090768F" w:rsidRDefault="00000000">
            <w:pPr>
              <w:pStyle w:val="Compact"/>
            </w:pPr>
            <w:r>
              <w:t>Land</w:t>
            </w:r>
          </w:p>
        </w:tc>
        <w:tc>
          <w:tcPr>
            <w:tcW w:w="0" w:type="auto"/>
          </w:tcPr>
          <w:p w14:paraId="5D446034" w14:textId="77777777" w:rsidR="0090768F" w:rsidRDefault="00000000">
            <w:pPr>
              <w:pStyle w:val="Compact"/>
            </w:pPr>
            <w:r>
              <w:t>Schulgesetz clause</w:t>
            </w:r>
          </w:p>
        </w:tc>
        <w:tc>
          <w:tcPr>
            <w:tcW w:w="0" w:type="auto"/>
          </w:tcPr>
          <w:p w14:paraId="232B9E6F" w14:textId="77777777" w:rsidR="0090768F" w:rsidRDefault="00000000">
            <w:pPr>
              <w:pStyle w:val="Compact"/>
            </w:pPr>
            <w:r>
              <w:t>Ordinance / instrument</w:t>
            </w:r>
          </w:p>
        </w:tc>
        <w:tc>
          <w:tcPr>
            <w:tcW w:w="0" w:type="auto"/>
          </w:tcPr>
          <w:p w14:paraId="5B69BF3F" w14:textId="77777777" w:rsidR="0090768F" w:rsidRDefault="00000000">
            <w:pPr>
              <w:pStyle w:val="Compact"/>
            </w:pPr>
            <w:r>
              <w:t>Verification</w:t>
            </w:r>
          </w:p>
        </w:tc>
      </w:tr>
      <w:tr w:rsidR="0090768F" w14:paraId="4B6972CE" w14:textId="77777777">
        <w:tc>
          <w:tcPr>
            <w:tcW w:w="0" w:type="auto"/>
          </w:tcPr>
          <w:p w14:paraId="1B1960CE" w14:textId="77777777" w:rsidR="0090768F" w:rsidRDefault="00000000">
            <w:pPr>
              <w:pStyle w:val="Compact"/>
            </w:pPr>
            <w:r>
              <w:rPr>
                <w:b/>
                <w:bCs/>
              </w:rPr>
              <w:t>NRW</w:t>
            </w:r>
          </w:p>
        </w:tc>
        <w:tc>
          <w:tcPr>
            <w:tcW w:w="0" w:type="auto"/>
          </w:tcPr>
          <w:p w14:paraId="37A377EF" w14:textId="77777777" w:rsidR="0090768F" w:rsidRDefault="00000000">
            <w:pPr>
              <w:pStyle w:val="Compact"/>
            </w:pPr>
            <w:r>
              <w:t>§§ 120, 121 SchulG NRW; Verordnungsermächtigung § 122(4)</w:t>
            </w:r>
          </w:p>
        </w:tc>
        <w:tc>
          <w:tcPr>
            <w:tcW w:w="0" w:type="auto"/>
          </w:tcPr>
          <w:p w14:paraId="153CE60A" w14:textId="77777777" w:rsidR="0090768F" w:rsidRDefault="00000000">
            <w:pPr>
              <w:pStyle w:val="Compact"/>
            </w:pPr>
            <w:r>
              <w:rPr>
                <w:b/>
                <w:bCs/>
              </w:rPr>
              <w:t>VO-DV I</w:t>
            </w:r>
            <w:r>
              <w:t xml:space="preserve"> (pupils/parents), as amended 23.03.2022; </w:t>
            </w:r>
            <w:r>
              <w:rPr>
                <w:b/>
                <w:bCs/>
              </w:rPr>
              <w:t>VO-DV II</w:t>
            </w:r>
            <w:r>
              <w:t xml:space="preserve"> (teachers)</w:t>
            </w:r>
          </w:p>
        </w:tc>
        <w:tc>
          <w:tcPr>
            <w:tcW w:w="0" w:type="auto"/>
          </w:tcPr>
          <w:p w14:paraId="5C51DBC8" w14:textId="77777777" w:rsidR="0090768F" w:rsidRDefault="00000000">
            <w:pPr>
              <w:pStyle w:val="Compact"/>
            </w:pPr>
            <w:r>
              <w:t>verified verbatim</w:t>
            </w:r>
          </w:p>
        </w:tc>
      </w:tr>
      <w:tr w:rsidR="0090768F" w14:paraId="691CDB1D" w14:textId="77777777">
        <w:tc>
          <w:tcPr>
            <w:tcW w:w="0" w:type="auto"/>
          </w:tcPr>
          <w:p w14:paraId="276618F0" w14:textId="77777777" w:rsidR="0090768F" w:rsidRDefault="00000000">
            <w:pPr>
              <w:pStyle w:val="Compact"/>
            </w:pPr>
            <w:r>
              <w:rPr>
                <w:b/>
                <w:bCs/>
              </w:rPr>
              <w:lastRenderedPageBreak/>
              <w:t>Bayern</w:t>
            </w:r>
          </w:p>
        </w:tc>
        <w:tc>
          <w:tcPr>
            <w:tcW w:w="0" w:type="auto"/>
          </w:tcPr>
          <w:p w14:paraId="12D76956" w14:textId="77777777" w:rsidR="0090768F" w:rsidRDefault="00000000">
            <w:pPr>
              <w:pStyle w:val="Compact"/>
            </w:pPr>
            <w:r>
              <w:t>Art. 85, Art. 85a BayEUG</w:t>
            </w:r>
          </w:p>
        </w:tc>
        <w:tc>
          <w:tcPr>
            <w:tcW w:w="0" w:type="auto"/>
          </w:tcPr>
          <w:p w14:paraId="6CF0B9EB" w14:textId="77777777" w:rsidR="0090768F" w:rsidRDefault="00000000">
            <w:pPr>
              <w:pStyle w:val="Compact"/>
            </w:pPr>
            <w:r>
              <w:rPr>
                <w:b/>
                <w:bCs/>
              </w:rPr>
              <w:t>VollzBek DS – Schulen</w:t>
            </w:r>
            <w:r>
              <w:t xml:space="preserve">, BayMBl. 2022 Nr. 435 — </w:t>
            </w:r>
            <w:r>
              <w:rPr>
                <w:i/>
                <w:iCs/>
              </w:rPr>
              <w:t>not</w:t>
            </w:r>
            <w:r>
              <w:t xml:space="preserve"> the BaySchO</w:t>
            </w:r>
          </w:p>
        </w:tc>
        <w:tc>
          <w:tcPr>
            <w:tcW w:w="0" w:type="auto"/>
          </w:tcPr>
          <w:p w14:paraId="6A19569E" w14:textId="77777777" w:rsidR="0090768F" w:rsidRDefault="00000000">
            <w:pPr>
              <w:pStyle w:val="Compact"/>
            </w:pPr>
            <w:r>
              <w:t>verified</w:t>
            </w:r>
          </w:p>
        </w:tc>
      </w:tr>
      <w:tr w:rsidR="0090768F" w14:paraId="6EF1AB28" w14:textId="77777777">
        <w:tc>
          <w:tcPr>
            <w:tcW w:w="0" w:type="auto"/>
          </w:tcPr>
          <w:p w14:paraId="130EE112" w14:textId="77777777" w:rsidR="0090768F" w:rsidRDefault="00000000">
            <w:pPr>
              <w:pStyle w:val="Compact"/>
            </w:pPr>
            <w:r>
              <w:rPr>
                <w:b/>
                <w:bCs/>
              </w:rPr>
              <w:t>Baden-Württemberg</w:t>
            </w:r>
          </w:p>
        </w:tc>
        <w:tc>
          <w:tcPr>
            <w:tcW w:w="0" w:type="auto"/>
          </w:tcPr>
          <w:p w14:paraId="3CDD3AD8" w14:textId="77777777" w:rsidR="0090768F" w:rsidRDefault="00000000">
            <w:pPr>
              <w:pStyle w:val="Compact"/>
            </w:pPr>
            <w:r>
              <w:t>§ 115b SchG (as cited by the Ministry)</w:t>
            </w:r>
          </w:p>
        </w:tc>
        <w:tc>
          <w:tcPr>
            <w:tcW w:w="0" w:type="auto"/>
          </w:tcPr>
          <w:p w14:paraId="0E273901" w14:textId="77777777" w:rsidR="0090768F" w:rsidRDefault="00000000">
            <w:pPr>
              <w:pStyle w:val="Compact"/>
            </w:pPr>
            <w:r>
              <w:rPr>
                <w:b/>
                <w:bCs/>
              </w:rPr>
              <w:t>DUVO</w:t>
            </w:r>
            <w:r>
              <w:t>, § 6</w:t>
            </w:r>
          </w:p>
        </w:tc>
        <w:tc>
          <w:tcPr>
            <w:tcW w:w="0" w:type="auto"/>
          </w:tcPr>
          <w:p w14:paraId="11C28840" w14:textId="77777777" w:rsidR="0090768F" w:rsidRDefault="00000000">
            <w:pPr>
              <w:pStyle w:val="Compact"/>
            </w:pPr>
            <w:r>
              <w:t>partially verified — Ministry citation, texts not read</w:t>
            </w:r>
          </w:p>
        </w:tc>
      </w:tr>
      <w:tr w:rsidR="0090768F" w14:paraId="39BEEDDA" w14:textId="77777777">
        <w:tc>
          <w:tcPr>
            <w:tcW w:w="0" w:type="auto"/>
          </w:tcPr>
          <w:p w14:paraId="4840084E" w14:textId="77777777" w:rsidR="0090768F" w:rsidRDefault="00000000">
            <w:pPr>
              <w:pStyle w:val="Compact"/>
            </w:pPr>
            <w:r>
              <w:rPr>
                <w:b/>
                <w:bCs/>
              </w:rPr>
              <w:t>Niedersachsen</w:t>
            </w:r>
          </w:p>
        </w:tc>
        <w:tc>
          <w:tcPr>
            <w:tcW w:w="0" w:type="auto"/>
          </w:tcPr>
          <w:p w14:paraId="5B8B6C08" w14:textId="77777777" w:rsidR="0090768F" w:rsidRDefault="00000000">
            <w:pPr>
              <w:pStyle w:val="Compact"/>
            </w:pPr>
            <w:r>
              <w:rPr>
                <w:b/>
                <w:bCs/>
              </w:rPr>
              <w:t>§ 31 NSchG</w:t>
            </w:r>
            <w:r>
              <w:t>, incl. Abs. 5</w:t>
            </w:r>
          </w:p>
        </w:tc>
        <w:tc>
          <w:tcPr>
            <w:tcW w:w="0" w:type="auto"/>
          </w:tcPr>
          <w:p w14:paraId="0EBC44A1" w14:textId="77777777" w:rsidR="0090768F" w:rsidRDefault="00000000">
            <w:pPr>
              <w:pStyle w:val="Compact"/>
            </w:pPr>
            <w:r>
              <w:t>no separate ordinance found</w:t>
            </w:r>
          </w:p>
        </w:tc>
        <w:tc>
          <w:tcPr>
            <w:tcW w:w="0" w:type="auto"/>
          </w:tcPr>
          <w:p w14:paraId="67A1802B" w14:textId="77777777" w:rsidR="0090768F" w:rsidRDefault="00000000">
            <w:pPr>
              <w:pStyle w:val="Compact"/>
            </w:pPr>
            <w:r>
              <w:t>verified verbatim</w:t>
            </w:r>
          </w:p>
        </w:tc>
      </w:tr>
      <w:tr w:rsidR="0090768F" w14:paraId="7FF6EF4D" w14:textId="77777777">
        <w:tc>
          <w:tcPr>
            <w:tcW w:w="0" w:type="auto"/>
          </w:tcPr>
          <w:p w14:paraId="6CB7A42D" w14:textId="77777777" w:rsidR="0090768F" w:rsidRDefault="00000000">
            <w:pPr>
              <w:pStyle w:val="Compact"/>
            </w:pPr>
            <w:r>
              <w:rPr>
                <w:b/>
                <w:bCs/>
              </w:rPr>
              <w:t>Hessen</w:t>
            </w:r>
          </w:p>
        </w:tc>
        <w:tc>
          <w:tcPr>
            <w:tcW w:w="0" w:type="auto"/>
          </w:tcPr>
          <w:p w14:paraId="5C224656" w14:textId="77777777" w:rsidR="0090768F" w:rsidRDefault="00000000">
            <w:pPr>
              <w:pStyle w:val="Compact"/>
            </w:pPr>
            <w:r>
              <w:t>§§ 83, 83a, 83b HSchG</w:t>
            </w:r>
          </w:p>
        </w:tc>
        <w:tc>
          <w:tcPr>
            <w:tcW w:w="0" w:type="auto"/>
          </w:tcPr>
          <w:p w14:paraId="29F131FA" w14:textId="77777777" w:rsidR="0090768F" w:rsidRDefault="00000000">
            <w:pPr>
              <w:pStyle w:val="Compact"/>
            </w:pPr>
            <w:r>
              <w:rPr>
                <w:b/>
                <w:bCs/>
              </w:rPr>
              <w:t>SchulDSVO</w:t>
            </w:r>
            <w:r>
              <w:t xml:space="preserve"> (full title includes </w:t>
            </w:r>
            <w:r>
              <w:rPr>
                <w:i/>
                <w:iCs/>
              </w:rPr>
              <w:t>“und statistische Erhebungen an Schulen”</w:t>
            </w:r>
            <w:r>
              <w:t>)</w:t>
            </w:r>
          </w:p>
        </w:tc>
        <w:tc>
          <w:tcPr>
            <w:tcW w:w="0" w:type="auto"/>
          </w:tcPr>
          <w:p w14:paraId="25170A68" w14:textId="77777777" w:rsidR="0090768F" w:rsidRDefault="00000000">
            <w:pPr>
              <w:pStyle w:val="Compact"/>
            </w:pPr>
            <w:r>
              <w:t>name and sections confirmed indirectly</w:t>
            </w:r>
          </w:p>
        </w:tc>
      </w:tr>
      <w:tr w:rsidR="0090768F" w14:paraId="18265622" w14:textId="77777777">
        <w:tc>
          <w:tcPr>
            <w:tcW w:w="0" w:type="auto"/>
          </w:tcPr>
          <w:p w14:paraId="3F474DAA" w14:textId="77777777" w:rsidR="0090768F" w:rsidRDefault="00000000">
            <w:pPr>
              <w:pStyle w:val="Compact"/>
            </w:pPr>
            <w:r>
              <w:t>Berlin, RLP, Sachsen, Saarland, SH, HH, HB, BB, MV, ST, TH</w:t>
            </w:r>
          </w:p>
        </w:tc>
        <w:tc>
          <w:tcPr>
            <w:tcW w:w="0" w:type="auto"/>
          </w:tcPr>
          <w:p w14:paraId="2D7B53CB" w14:textId="77777777" w:rsidR="0090768F" w:rsidRDefault="00000000">
            <w:pPr>
              <w:pStyle w:val="Compact"/>
            </w:pPr>
            <w:r>
              <w:t>—</w:t>
            </w:r>
          </w:p>
        </w:tc>
        <w:tc>
          <w:tcPr>
            <w:tcW w:w="0" w:type="auto"/>
          </w:tcPr>
          <w:p w14:paraId="6F4A4ED6" w14:textId="77777777" w:rsidR="0090768F" w:rsidRDefault="00000000">
            <w:pPr>
              <w:pStyle w:val="Compact"/>
            </w:pPr>
            <w:r>
              <w:t>—</w:t>
            </w:r>
          </w:p>
        </w:tc>
        <w:tc>
          <w:tcPr>
            <w:tcW w:w="0" w:type="auto"/>
          </w:tcPr>
          <w:p w14:paraId="10BF5B82" w14:textId="77777777" w:rsidR="0090768F" w:rsidRDefault="00000000">
            <w:pPr>
              <w:pStyle w:val="Compact"/>
            </w:pPr>
            <w:r>
              <w:rPr>
                <w:b/>
                <w:bCs/>
              </w:rPr>
              <w:t>not verified — do not cite section numbers for these ten Länder from this paper</w:t>
            </w:r>
          </w:p>
        </w:tc>
      </w:tr>
    </w:tbl>
    <w:p w14:paraId="11C309E8" w14:textId="77777777" w:rsidR="0090768F" w:rsidRDefault="00000000">
      <w:pPr>
        <w:pStyle w:val="BodyText"/>
      </w:pPr>
      <w:r>
        <w:rPr>
          <w:b/>
          <w:bCs/>
        </w:rPr>
        <w:t>What the ordinances actually require</w:t>
      </w:r>
      <w:r>
        <w:t>, on the verified NRW text:</w:t>
      </w:r>
    </w:p>
    <w:p w14:paraId="025FBB90" w14:textId="77777777" w:rsidR="0090768F" w:rsidRDefault="00000000">
      <w:pPr>
        <w:pStyle w:val="Compact"/>
        <w:numPr>
          <w:ilvl w:val="0"/>
          <w:numId w:val="5"/>
        </w:numPr>
      </w:pPr>
      <w:r>
        <w:t xml:space="preserve">An </w:t>
      </w:r>
      <w:r>
        <w:rPr>
          <w:b/>
          <w:bCs/>
        </w:rPr>
        <w:t>enumerated catalogue</w:t>
      </w:r>
      <w:r>
        <w:t xml:space="preserve"> of permitted data (VO-DV I § 1(2): </w:t>
      </w:r>
      <w:r>
        <w:rPr>
          <w:i/>
          <w:iCs/>
        </w:rPr>
        <w:t>“Die zur Verarbeitung zugelassenen Daten sind in den Anlagen genannt.”</w:t>
      </w:r>
      <w:r>
        <w:t>).</w:t>
      </w:r>
    </w:p>
    <w:p w14:paraId="2DAB3238" w14:textId="77777777" w:rsidR="0090768F" w:rsidRDefault="00000000">
      <w:pPr>
        <w:pStyle w:val="Compact"/>
        <w:numPr>
          <w:ilvl w:val="0"/>
          <w:numId w:val="5"/>
        </w:numPr>
      </w:pPr>
      <w:r>
        <w:rPr>
          <w:b/>
          <w:bCs/>
        </w:rPr>
        <w:t>Written authorisation by the Schulleitung for processing on private devices</w:t>
      </w:r>
      <w:r>
        <w:t xml:space="preserve">, including an Art. 30 record — and, decisively, </w:t>
      </w:r>
      <w:r>
        <w:rPr>
          <w:i/>
          <w:iCs/>
        </w:rPr>
        <w:t>“ist die Schule Verantwortlicher im Sinne des Artikels 4 Nummer 7 der Datenschutz-Grundverordnung”</w:t>
      </w:r>
      <w:r>
        <w:t xml:space="preserve"> even for that private-device processing. The authorisation may not be granted where a service device has been issued, and lapses when one is.</w:t>
      </w:r>
    </w:p>
    <w:p w14:paraId="1BB25CF3" w14:textId="77777777" w:rsidR="0090768F" w:rsidRDefault="00000000">
      <w:pPr>
        <w:pStyle w:val="Compact"/>
        <w:numPr>
          <w:ilvl w:val="0"/>
          <w:numId w:val="5"/>
        </w:numPr>
      </w:pPr>
      <w:r>
        <w:rPr>
          <w:b/>
          <w:bCs/>
        </w:rPr>
        <w:t>Auftragsverarbeitung</w:t>
      </w:r>
      <w:r>
        <w:t xml:space="preserve"> permitted only under Art. 28 and only on the instructions of the school or school supervisory authority.</w:t>
      </w:r>
    </w:p>
    <w:p w14:paraId="24A48F26" w14:textId="77777777" w:rsidR="0090768F" w:rsidRDefault="00000000">
      <w:pPr>
        <w:pStyle w:val="FirstParagraph"/>
      </w:pPr>
      <w:r>
        <w:rPr>
          <w:b/>
          <w:bCs/>
        </w:rPr>
        <w:t>One sharp detail worth a specific enquiry.</w:t>
      </w:r>
      <w:r>
        <w:t xml:space="preserve"> Anlage 3 Nr. 10 VO-DV I permits a teacher to hold on a private device </w:t>
      </w:r>
      <w:r>
        <w:rPr>
          <w:i/>
          <w:iCs/>
        </w:rPr>
        <w:t>“Leistungsbewertungen … einschließlich digital von diesen erstellter Leistungsnachweise”</w:t>
      </w:r>
      <w:r>
        <w:t xml:space="preserve">. A </w:t>
      </w:r>
      <w:r>
        <w:rPr>
          <w:b/>
          <w:bCs/>
        </w:rPr>
        <w:t xml:space="preserve">scanned handwritten script is not a </w:t>
      </w:r>
      <w:r>
        <w:rPr>
          <w:b/>
          <w:bCs/>
          <w:i/>
          <w:iCs/>
        </w:rPr>
        <w:t>digitally produced</w:t>
      </w:r>
      <w:r>
        <w:rPr>
          <w:b/>
          <w:bCs/>
        </w:rPr>
        <w:t xml:space="preserve"> Leistungsnachweis</w:t>
      </w:r>
      <w:r>
        <w:t xml:space="preserve"> — it is an image of a paper artefact. There is a real argument that the enumerated catalogue does not cover our core input on a private device at all. This should be put in writing to MSB NRW / LDI NRW before any NRW pilot, and it sharpens the case for school-device or on-premise deployment over teacher BYOD.</w:t>
      </w:r>
    </w:p>
    <w:p w14:paraId="58147979" w14:textId="77777777" w:rsidR="0090768F" w:rsidRDefault="00000000">
      <w:pPr>
        <w:pStyle w:val="Heading3"/>
      </w:pPr>
      <w:bookmarkStart w:id="36" w:name="X8bf575f80b655d89bff53917b391556d7d472f2"/>
      <w:bookmarkEnd w:id="35"/>
      <w:r>
        <w:lastRenderedPageBreak/>
        <w:t>5.6 Supervisory authorities and the most adverse document in the file</w:t>
      </w:r>
    </w:p>
    <w:p w14:paraId="2484FA8A" w14:textId="77777777" w:rsidR="0090768F" w:rsidRDefault="00000000">
      <w:pPr>
        <w:pStyle w:val="FirstParagraph"/>
      </w:pPr>
      <w:r>
        <w:rPr>
          <w:b/>
          <w:bCs/>
        </w:rPr>
        <w:t>What is published and verified:</w:t>
      </w:r>
    </w:p>
    <w:p w14:paraId="1C8C42F9" w14:textId="77777777" w:rsidR="0090768F" w:rsidRDefault="00000000">
      <w:pPr>
        <w:pStyle w:val="Compact"/>
        <w:numPr>
          <w:ilvl w:val="0"/>
          <w:numId w:val="6"/>
        </w:numPr>
      </w:pPr>
      <w:r>
        <w:rPr>
          <w:b/>
          <w:bCs/>
        </w:rPr>
        <w:t>DSK</w:t>
      </w:r>
      <w:r>
        <w:t xml:space="preserve">, </w:t>
      </w:r>
      <w:r>
        <w:rPr>
          <w:i/>
          <w:iCs/>
        </w:rPr>
        <w:t>Orientierungshilfe Künstliche Intelligenz und Datenschutz</w:t>
      </w:r>
      <w:r>
        <w:t xml:space="preserve">, V 1.0, 06.05.2024 — no V 2.0 exists. Its operative sentence for us: </w:t>
      </w:r>
      <w:r>
        <w:rPr>
          <w:i/>
          <w:iCs/>
        </w:rPr>
        <w:t>“muss das Verfahren so gestaltet werden, dass dem entscheidenden Menschen ein tatsächlicher Entscheidungsspielraum zukommt und nicht maßgeblich aufgrund des KI-Vorschlags entschieden wird. … Eine lediglich formelle Beteiligung eines Menschen im Entscheidungsprozess ist nicht ausreichend.”</w:t>
      </w:r>
    </w:p>
    <w:p w14:paraId="4BF1FED5" w14:textId="77777777" w:rsidR="0090768F" w:rsidRDefault="00000000">
      <w:pPr>
        <w:pStyle w:val="Compact"/>
        <w:numPr>
          <w:ilvl w:val="0"/>
          <w:numId w:val="6"/>
        </w:numPr>
      </w:pPr>
      <w:r>
        <w:rPr>
          <w:b/>
          <w:bCs/>
        </w:rPr>
        <w:t>DSK</w:t>
      </w:r>
      <w:r>
        <w:t xml:space="preserve">, </w:t>
      </w:r>
      <w:r>
        <w:rPr>
          <w:i/>
          <w:iCs/>
        </w:rPr>
        <w:t>Technische und organisatorische Maßnahmen bei KI-Systemen</w:t>
      </w:r>
      <w:r>
        <w:t xml:space="preserve"> (June 2025) and </w:t>
      </w:r>
      <w:r>
        <w:rPr>
          <w:i/>
          <w:iCs/>
        </w:rPr>
        <w:t>Datenschutzrechtliche Besonderheiten generativer KI-Systeme mit RAG-Methode</w:t>
      </w:r>
      <w:r>
        <w:t xml:space="preserve"> (October 2025).</w:t>
      </w:r>
    </w:p>
    <w:p w14:paraId="1DCA09F2" w14:textId="77777777" w:rsidR="0090768F" w:rsidRDefault="00000000">
      <w:pPr>
        <w:pStyle w:val="Compact"/>
        <w:numPr>
          <w:ilvl w:val="0"/>
          <w:numId w:val="6"/>
        </w:numPr>
      </w:pPr>
      <w:r>
        <w:rPr>
          <w:b/>
          <w:bCs/>
        </w:rPr>
        <w:t>DSK</w:t>
      </w:r>
      <w:r>
        <w:t xml:space="preserve">, </w:t>
      </w:r>
      <w:r>
        <w:rPr>
          <w:i/>
          <w:iCs/>
        </w:rPr>
        <w:t>Orientierungshilfe Online-Lernplattformen im Schulunterricht</w:t>
      </w:r>
      <w:r>
        <w:t>, 26.04.2018 — the most on-point document for the teacher-authorisation question (§7).</w:t>
      </w:r>
    </w:p>
    <w:p w14:paraId="6AEC5736" w14:textId="77777777" w:rsidR="0090768F" w:rsidRDefault="00000000">
      <w:pPr>
        <w:pStyle w:val="Compact"/>
        <w:numPr>
          <w:ilvl w:val="0"/>
          <w:numId w:val="6"/>
        </w:numPr>
      </w:pPr>
      <w:r>
        <w:rPr>
          <w:b/>
          <w:bCs/>
        </w:rPr>
        <w:t>LfDI Baden-Württemberg</w:t>
      </w:r>
      <w:r>
        <w:t xml:space="preserve">, </w:t>
      </w:r>
      <w:r>
        <w:rPr>
          <w:i/>
          <w:iCs/>
        </w:rPr>
        <w:t>Diskussionspapier Rechtsgrundlagen im Datenschutz beim Einsatz von KI</w:t>
      </w:r>
      <w:r>
        <w:t xml:space="preserve">, </w:t>
      </w:r>
      <w:r>
        <w:rPr>
          <w:b/>
          <w:bCs/>
        </w:rPr>
        <w:t>V 2.0, 17.10.2024</w:t>
      </w:r>
      <w:r>
        <w:t xml:space="preserve"> — the announcement notes V2.0 adds </w:t>
      </w:r>
      <w:r>
        <w:rPr>
          <w:i/>
          <w:iCs/>
        </w:rPr>
        <w:t>Rechtsgrundlagen für Schulen</w:t>
      </w:r>
      <w:r>
        <w:t xml:space="preserve">. </w:t>
      </w:r>
      <w:r>
        <w:rPr>
          <w:b/>
          <w:bCs/>
        </w:rPr>
        <w:t>Obtain and read in full; highest-priority outstanding document after the Bavarian Handlungsleitfaden.</w:t>
      </w:r>
    </w:p>
    <w:p w14:paraId="07DAABB4" w14:textId="77777777" w:rsidR="0090768F" w:rsidRDefault="00000000">
      <w:pPr>
        <w:pStyle w:val="Compact"/>
        <w:numPr>
          <w:ilvl w:val="0"/>
          <w:numId w:val="6"/>
        </w:numPr>
      </w:pPr>
      <w:r>
        <w:rPr>
          <w:b/>
          <w:bCs/>
        </w:rPr>
        <w:t>HmbBfDI</w:t>
      </w:r>
      <w:r>
        <w:t xml:space="preserve">, </w:t>
      </w:r>
      <w:r>
        <w:rPr>
          <w:i/>
          <w:iCs/>
        </w:rPr>
        <w:t>Diskussionspapier: Large Language Models und personenbezogene Daten</w:t>
      </w:r>
      <w:r>
        <w:t>, 15.07.2024 (whether updated: not confirmed).</w:t>
      </w:r>
    </w:p>
    <w:p w14:paraId="6AF9E03F" w14:textId="77777777" w:rsidR="0090768F" w:rsidRDefault="00000000">
      <w:pPr>
        <w:pStyle w:val="Compact"/>
        <w:numPr>
          <w:ilvl w:val="0"/>
          <w:numId w:val="6"/>
        </w:numPr>
      </w:pPr>
      <w:r>
        <w:rPr>
          <w:b/>
          <w:bCs/>
        </w:rPr>
        <w:t>BfDI</w:t>
      </w:r>
      <w:r>
        <w:t xml:space="preserve">, </w:t>
      </w:r>
      <w:r>
        <w:rPr>
          <w:i/>
          <w:iCs/>
        </w:rPr>
        <w:t>Handreichung KI</w:t>
      </w:r>
      <w:r>
        <w:t>, 22.12.2025 (surfaced, not read).</w:t>
      </w:r>
    </w:p>
    <w:p w14:paraId="0F1CB226" w14:textId="77777777" w:rsidR="0090768F" w:rsidRDefault="00000000">
      <w:pPr>
        <w:pStyle w:val="FirstParagraph"/>
      </w:pPr>
      <w:r>
        <w:rPr>
          <w:b/>
          <w:bCs/>
        </w:rPr>
        <w:t>No German supervisory authority has published a position specifically on AI-generated grades.</w:t>
      </w:r>
      <w:r>
        <w:t xml:space="preserve"> That is a negative finding from a truncated search, not a confirmed absence.</w:t>
      </w:r>
    </w:p>
    <w:p w14:paraId="5AEB0696" w14:textId="77777777" w:rsidR="0090768F" w:rsidRDefault="00000000">
      <w:pPr>
        <w:pStyle w:val="BodyText"/>
      </w:pPr>
      <w:r>
        <w:rPr>
          <w:b/>
          <w:bCs/>
        </w:rPr>
        <w:t>The most adverse credible document is not from a regulator.</w:t>
      </w:r>
      <w:r>
        <w:t xml:space="preserve"> The </w:t>
      </w:r>
      <w:r>
        <w:rPr>
          <w:b/>
          <w:bCs/>
        </w:rPr>
        <w:t>DKJS memorandum</w:t>
      </w:r>
      <w:r>
        <w:t xml:space="preserve"> </w:t>
      </w:r>
      <w:r>
        <w:rPr>
          <w:i/>
          <w:iCs/>
        </w:rPr>
        <w:t>Zum Einsatz von generativer KI in der schulischen Leistungsbewertung</w:t>
      </w:r>
      <w:r>
        <w:t xml:space="preserve"> (Spirit Legal, May 2025) reportedly concludes that AI-based grading of student work is generally unlawful under current German and EU law; that performance data remain personal even when pseudonymised during processing, because the teacher re-identifies at the moment of awarding the grade; that there is no valid Art. 6 basis because the general educational mandate is not objectively indispensable; that Art. 22 is engaged; and that performance data may reveal health information such as reading and spelling difficulties. </w:t>
      </w:r>
      <w:r>
        <w:rPr>
          <w:b/>
          <w:bCs/>
        </w:rPr>
        <w:t>Verification caveat: the DKJS server blocked retrieval; these are from a third-party summary. Obtain and read the original before citing it anywhere.</w:t>
      </w:r>
    </w:p>
    <w:p w14:paraId="05689DD5" w14:textId="77777777" w:rsidR="0090768F" w:rsidRDefault="00000000">
      <w:pPr>
        <w:pStyle w:val="BodyText"/>
      </w:pPr>
      <w:r>
        <w:rPr>
          <w:b/>
          <w:bCs/>
        </w:rPr>
        <w:t>Assessment.</w:t>
      </w:r>
      <w:r>
        <w:t xml:space="preserve"> It is a foundation-funded law-firm opinion, not a regulator’s position, and it appears to address AI grading in the strong sense — which the KMK also rejects and which nobody disputes. The gap between </w:t>
      </w:r>
      <w:r>
        <w:rPr>
          <w:i/>
          <w:iCs/>
        </w:rPr>
        <w:t>“AI decides the grade”</w:t>
      </w:r>
      <w:r>
        <w:t xml:space="preserve"> and </w:t>
      </w:r>
      <w:r>
        <w:rPr>
          <w:i/>
          <w:iCs/>
        </w:rPr>
        <w:t>“AI proposes, the teacher decides on a rubric they authored, having read the whole script, with an audit trail”</w:t>
      </w:r>
      <w:r>
        <w:t xml:space="preserve"> — the KMK’s own </w:t>
      </w:r>
      <w:r>
        <w:rPr>
          <w:i/>
          <w:iCs/>
        </w:rPr>
        <w:t>Korrekturassistenz</w:t>
      </w:r>
      <w:r>
        <w:t xml:space="preserve"> — is where we live, and the memorandum’s reasoning does not obviously close it. </w:t>
      </w:r>
      <w:r>
        <w:rPr>
          <w:b/>
          <w:bCs/>
        </w:rPr>
        <w:t>Do not concede the field; do commission a counter-opinion that engages it clause by clause.</w:t>
      </w:r>
      <w:r>
        <w:t xml:space="preserve"> This is a named budget item.</w:t>
      </w:r>
    </w:p>
    <w:p w14:paraId="197BB917" w14:textId="77777777" w:rsidR="0090768F" w:rsidRDefault="00000000">
      <w:pPr>
        <w:pStyle w:val="Heading3"/>
      </w:pPr>
      <w:bookmarkStart w:id="37" w:name="X1365c5a5499862a5a8211677e62fe63907c5fe3"/>
      <w:bookmarkEnd w:id="36"/>
      <w:r>
        <w:lastRenderedPageBreak/>
        <w:t>5.7 What the Länder guidance documents say — the hardest finding</w:t>
      </w:r>
    </w:p>
    <w:tbl>
      <w:tblPr>
        <w:tblStyle w:val="Table"/>
        <w:tblW w:w="5000" w:type="pct"/>
        <w:tblLook w:val="0020" w:firstRow="1" w:lastRow="0" w:firstColumn="0" w:lastColumn="0" w:noHBand="0" w:noVBand="0"/>
      </w:tblPr>
      <w:tblGrid>
        <w:gridCol w:w="1802"/>
        <w:gridCol w:w="5286"/>
        <w:gridCol w:w="2272"/>
      </w:tblGrid>
      <w:tr w:rsidR="0090768F" w14:paraId="1432F45D"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3A78707C" w14:textId="77777777" w:rsidR="0090768F" w:rsidRDefault="00000000">
            <w:pPr>
              <w:pStyle w:val="Compact"/>
            </w:pPr>
            <w:r>
              <w:t>Land</w:t>
            </w:r>
          </w:p>
        </w:tc>
        <w:tc>
          <w:tcPr>
            <w:tcW w:w="0" w:type="auto"/>
          </w:tcPr>
          <w:p w14:paraId="398029AD" w14:textId="77777777" w:rsidR="0090768F" w:rsidRDefault="00000000">
            <w:pPr>
              <w:pStyle w:val="Compact"/>
            </w:pPr>
            <w:r>
              <w:t>Verbatim</w:t>
            </w:r>
          </w:p>
        </w:tc>
        <w:tc>
          <w:tcPr>
            <w:tcW w:w="0" w:type="auto"/>
          </w:tcPr>
          <w:p w14:paraId="04CBA985" w14:textId="77777777" w:rsidR="0090768F" w:rsidRDefault="00000000">
            <w:pPr>
              <w:pStyle w:val="Compact"/>
            </w:pPr>
            <w:r>
              <w:t>Effect on us</w:t>
            </w:r>
          </w:p>
        </w:tc>
      </w:tr>
      <w:tr w:rsidR="0090768F" w14:paraId="0E09A9BD" w14:textId="77777777">
        <w:tc>
          <w:tcPr>
            <w:tcW w:w="0" w:type="auto"/>
          </w:tcPr>
          <w:p w14:paraId="01D54B3C" w14:textId="77777777" w:rsidR="0090768F" w:rsidRDefault="00000000">
            <w:pPr>
              <w:pStyle w:val="Compact"/>
            </w:pPr>
            <w:r>
              <w:rPr>
                <w:b/>
                <w:bCs/>
              </w:rPr>
              <w:t>Baden-Württemberg</w:t>
            </w:r>
          </w:p>
        </w:tc>
        <w:tc>
          <w:tcPr>
            <w:tcW w:w="0" w:type="auto"/>
          </w:tcPr>
          <w:p w14:paraId="6EB40028" w14:textId="77777777" w:rsidR="0090768F" w:rsidRDefault="00000000">
            <w:pPr>
              <w:pStyle w:val="Compact"/>
            </w:pPr>
            <w:r>
              <w:rPr>
                <w:i/>
                <w:iCs/>
              </w:rPr>
              <w:t xml:space="preserve">“Auch dürfen </w:t>
            </w:r>
            <w:r>
              <w:rPr>
                <w:b/>
                <w:bCs/>
                <w:i/>
                <w:iCs/>
              </w:rPr>
              <w:t>KI-Anwendungen keine Noten vergeben</w:t>
            </w:r>
            <w:r>
              <w:rPr>
                <w:i/>
                <w:iCs/>
              </w:rPr>
              <w:t xml:space="preserve"> oder andere wesentlichen schulischen Entscheidungen treffen.”</w:t>
            </w:r>
            <w:r>
              <w:t xml:space="preserve"> / </w:t>
            </w:r>
            <w:r>
              <w:rPr>
                <w:i/>
                <w:iCs/>
              </w:rPr>
              <w:t>“Die abschließende Bewertung … bleibt also weiterhin den Lehrkräften vorbehalten.”</w:t>
            </w:r>
          </w:p>
        </w:tc>
        <w:tc>
          <w:tcPr>
            <w:tcW w:w="0" w:type="auto"/>
          </w:tcPr>
          <w:p w14:paraId="0A76E3B1" w14:textId="77777777" w:rsidR="0090768F" w:rsidRDefault="00000000">
            <w:pPr>
              <w:pStyle w:val="Compact"/>
            </w:pPr>
            <w:r>
              <w:t>Consistent with our architecture — we propose, the teacher awards</w:t>
            </w:r>
          </w:p>
        </w:tc>
      </w:tr>
      <w:tr w:rsidR="0090768F" w14:paraId="31AE9D7A" w14:textId="77777777">
        <w:tc>
          <w:tcPr>
            <w:tcW w:w="0" w:type="auto"/>
          </w:tcPr>
          <w:p w14:paraId="23C16020" w14:textId="77777777" w:rsidR="0090768F" w:rsidRDefault="00000000">
            <w:pPr>
              <w:pStyle w:val="Compact"/>
            </w:pPr>
            <w:r>
              <w:rPr>
                <w:b/>
                <w:bCs/>
              </w:rPr>
              <w:t>Hessen</w:t>
            </w:r>
          </w:p>
        </w:tc>
        <w:tc>
          <w:tcPr>
            <w:tcW w:w="0" w:type="auto"/>
          </w:tcPr>
          <w:p w14:paraId="4C916266" w14:textId="77777777" w:rsidR="0090768F" w:rsidRDefault="00000000">
            <w:pPr>
              <w:pStyle w:val="Compact"/>
            </w:pPr>
            <w:r>
              <w:rPr>
                <w:i/>
                <w:iCs/>
              </w:rPr>
              <w:t xml:space="preserve">“…dass im Rahmen einer Nutzung </w:t>
            </w:r>
            <w:r>
              <w:rPr>
                <w:b/>
                <w:bCs/>
                <w:i/>
                <w:iCs/>
              </w:rPr>
              <w:t>keine Eingabe personenbezogener Daten von Schülerinnen und Schülern</w:t>
            </w:r>
            <w:r>
              <w:rPr>
                <w:i/>
                <w:iCs/>
              </w:rPr>
              <w:t xml:space="preserve"> erfolgt”</w:t>
            </w:r>
            <w:r>
              <w:t xml:space="preserve"> (Handreichung, July 2023)</w:t>
            </w:r>
          </w:p>
        </w:tc>
        <w:tc>
          <w:tcPr>
            <w:tcW w:w="0" w:type="auto"/>
          </w:tcPr>
          <w:p w14:paraId="0078B46E" w14:textId="77777777" w:rsidR="0090768F" w:rsidRDefault="00000000">
            <w:pPr>
              <w:pStyle w:val="Compact"/>
            </w:pPr>
            <w:r>
              <w:rPr>
                <w:b/>
                <w:bCs/>
              </w:rPr>
              <w:t>Catches our core workflow outright</w:t>
            </w:r>
            <w:r>
              <w:t>, regardless of who decides</w:t>
            </w:r>
          </w:p>
        </w:tc>
      </w:tr>
      <w:tr w:rsidR="0090768F" w14:paraId="2A95F6CD" w14:textId="77777777">
        <w:tc>
          <w:tcPr>
            <w:tcW w:w="0" w:type="auto"/>
          </w:tcPr>
          <w:p w14:paraId="12DC3009" w14:textId="77777777" w:rsidR="0090768F" w:rsidRDefault="00000000">
            <w:pPr>
              <w:pStyle w:val="Compact"/>
            </w:pPr>
            <w:r>
              <w:rPr>
                <w:b/>
                <w:bCs/>
              </w:rPr>
              <w:t>NRW</w:t>
            </w:r>
          </w:p>
        </w:tc>
        <w:tc>
          <w:tcPr>
            <w:tcW w:w="0" w:type="auto"/>
          </w:tcPr>
          <w:p w14:paraId="242B78AA" w14:textId="77777777" w:rsidR="0090768F" w:rsidRDefault="00000000">
            <w:pPr>
              <w:pStyle w:val="Compact"/>
            </w:pPr>
            <w:r>
              <w:rPr>
                <w:i/>
                <w:iCs/>
              </w:rPr>
              <w:t xml:space="preserve">“…dass </w:t>
            </w:r>
            <w:r>
              <w:rPr>
                <w:b/>
                <w:bCs/>
                <w:i/>
                <w:iCs/>
              </w:rPr>
              <w:t>keine personenbezogenen Daten der Schülerinnen und Schüler übertragen werden</w:t>
            </w:r>
            <w:r>
              <w:rPr>
                <w:i/>
                <w:iCs/>
              </w:rPr>
              <w:t>”</w:t>
            </w:r>
            <w:r>
              <w:t xml:space="preserve"> / </w:t>
            </w:r>
            <w:r>
              <w:rPr>
                <w:i/>
                <w:iCs/>
              </w:rPr>
              <w:t>“Die Verantwortung für die Einhaltung des schulischen Datenschutzes trägt die Leiterin oder der Leiter der jeweiligen Schule.”</w:t>
            </w:r>
            <w:r>
              <w:t xml:space="preserve"> (Handlungsleitfaden, 02/2023)</w:t>
            </w:r>
          </w:p>
        </w:tc>
        <w:tc>
          <w:tcPr>
            <w:tcW w:w="0" w:type="auto"/>
          </w:tcPr>
          <w:p w14:paraId="32C0D41C" w14:textId="77777777" w:rsidR="0090768F" w:rsidRDefault="00000000">
            <w:pPr>
              <w:pStyle w:val="Compact"/>
            </w:pPr>
            <w:r>
              <w:rPr>
                <w:b/>
                <w:bCs/>
              </w:rPr>
              <w:t>Same</w:t>
            </w:r>
          </w:p>
        </w:tc>
      </w:tr>
      <w:tr w:rsidR="0090768F" w14:paraId="58BEEE6A" w14:textId="77777777">
        <w:tc>
          <w:tcPr>
            <w:tcW w:w="0" w:type="auto"/>
          </w:tcPr>
          <w:p w14:paraId="5629D047" w14:textId="77777777" w:rsidR="0090768F" w:rsidRDefault="00000000">
            <w:pPr>
              <w:pStyle w:val="Compact"/>
            </w:pPr>
            <w:r>
              <w:rPr>
                <w:b/>
                <w:bCs/>
              </w:rPr>
              <w:t>Bayern</w:t>
            </w:r>
          </w:p>
        </w:tc>
        <w:tc>
          <w:tcPr>
            <w:tcW w:w="0" w:type="auto"/>
          </w:tcPr>
          <w:p w14:paraId="1D282606" w14:textId="77777777" w:rsidR="0090768F" w:rsidRDefault="00000000">
            <w:pPr>
              <w:pStyle w:val="Compact"/>
            </w:pPr>
            <w:r>
              <w:t xml:space="preserve">Current instrument: </w:t>
            </w:r>
            <w:r>
              <w:rPr>
                <w:i/>
                <w:iCs/>
              </w:rPr>
              <w:t>Handlungsleitfaden “Künstliche Intelligenz in der pädagogischen Praxis”</w:t>
            </w:r>
            <w:r>
              <w:t xml:space="preserve">, Fassung 19.05.2026. Bavaria supplies sanctioned tooling free of charge (ByCS learning platform AI functions, AIS.chat). Published examination material addresses </w:t>
            </w:r>
            <w:r>
              <w:rPr>
                <w:b/>
                <w:bCs/>
              </w:rPr>
              <w:t>student</w:t>
            </w:r>
            <w:r>
              <w:t xml:space="preserve"> cheating, not teacher-side correction.</w:t>
            </w:r>
          </w:p>
        </w:tc>
        <w:tc>
          <w:tcPr>
            <w:tcW w:w="0" w:type="auto"/>
          </w:tcPr>
          <w:p w14:paraId="28477778" w14:textId="77777777" w:rsidR="0090768F" w:rsidRDefault="00000000">
            <w:pPr>
              <w:pStyle w:val="Compact"/>
            </w:pPr>
            <w:r>
              <w:rPr>
                <w:b/>
                <w:bCs/>
              </w:rPr>
              <w:t>Contents unread — highest-priority outstanding document given market size</w:t>
            </w:r>
          </w:p>
        </w:tc>
      </w:tr>
    </w:tbl>
    <w:p w14:paraId="2FCD3EB6" w14:textId="77777777" w:rsidR="0090768F" w:rsidRDefault="00000000">
      <w:pPr>
        <w:pStyle w:val="BodyText"/>
      </w:pPr>
      <w:r>
        <w:rPr>
          <w:b/>
          <w:bCs/>
        </w:rPr>
        <w:t>Bottom line: the position is worse than the deck assumes, but not for the reason one would expect.</w:t>
      </w:r>
      <w:r>
        <w:t xml:space="preserve"> The problem in Hessen and NRW is not an AI-grading rule; it is a blanket prohibition on entering pupil personal data into AI applications, which is broader and catches us regardless of the human-decision architecture. Note that both documents date from early 2023 and predate the KMK’s own October 2024 endorsement of </w:t>
      </w:r>
      <w:r>
        <w:rPr>
          <w:i/>
          <w:iCs/>
        </w:rPr>
        <w:t>Korrekturassistenz</w:t>
      </w:r>
      <w:r>
        <w:t xml:space="preserve"> — which is the opening for asking both ministries to revisit them.</w:t>
      </w:r>
    </w:p>
    <w:p w14:paraId="6FEB9CAA" w14:textId="77777777" w:rsidR="0090768F" w:rsidRDefault="00000000">
      <w:pPr>
        <w:pStyle w:val="BodyText"/>
      </w:pPr>
      <w:r>
        <w:rPr>
          <w:b/>
          <w:bCs/>
        </w:rPr>
        <w:t>A warning on secondary sources.</w:t>
      </w:r>
      <w:r>
        <w:t xml:space="preserve"> Widely circulated per-Land comparison tables (paukki.de, lehrerki.de) do not reliably match the primary documents. Several entries checked did not match. </w:t>
      </w:r>
      <w:r>
        <w:rPr>
          <w:b/>
          <w:bCs/>
        </w:rPr>
        <w:t>Do not cite them.</w:t>
      </w:r>
    </w:p>
    <w:p w14:paraId="3CE609B6" w14:textId="77777777" w:rsidR="0090768F" w:rsidRDefault="00000000">
      <w:pPr>
        <w:pStyle w:val="Heading3"/>
      </w:pPr>
      <w:bookmarkStart w:id="38" w:name="X35e508e4bc14a070fd2ff5ad9765aad5797e98a"/>
      <w:bookmarkEnd w:id="37"/>
      <w:r>
        <w:t>5.8 Personalvertretung — the overlooked blocker</w:t>
      </w:r>
    </w:p>
    <w:p w14:paraId="600F70F1" w14:textId="77777777" w:rsidR="0090768F" w:rsidRDefault="00000000">
      <w:pPr>
        <w:pStyle w:val="FirstParagraph"/>
      </w:pPr>
      <w:r>
        <w:t xml:space="preserve">The co-determination provision is </w:t>
      </w:r>
      <w:r>
        <w:rPr>
          <w:b/>
          <w:bCs/>
        </w:rPr>
        <w:t>§ 80(1) Nr. 21 BPersVG</w:t>
      </w:r>
      <w:r>
        <w:t xml:space="preserve"> (not § 75, which was renumbered in the 2021 recodification): the Personalrat co-determines </w:t>
      </w:r>
      <w:r>
        <w:rPr>
          <w:i/>
          <w:iCs/>
        </w:rPr>
        <w:t>“die Einführung und Anwendung technischer Einrichtungen, die dazu bestimmt sind, das Verhalten oder die Leistung der Beschäftigten zu überwachen”</w:t>
      </w:r>
      <w:r>
        <w:t>. The Länder personnel-representation statutes parallel it (</w:t>
      </w:r>
      <w:r>
        <w:rPr>
          <w:b/>
          <w:bCs/>
        </w:rPr>
        <w:t>individual Länder provisions not verified</w:t>
      </w:r>
      <w:r>
        <w:t>).</w:t>
      </w:r>
    </w:p>
    <w:p w14:paraId="4B6CC7FC" w14:textId="77777777" w:rsidR="0090768F" w:rsidRDefault="00000000">
      <w:pPr>
        <w:pStyle w:val="BodyText"/>
      </w:pPr>
      <w:r>
        <w:rPr>
          <w:b/>
          <w:bCs/>
        </w:rPr>
        <w:t>This bites us harder than most edtech</w:t>
      </w:r>
      <w:r>
        <w:t xml:space="preserve">, because a grading-assistance system necessarily produces per-teacher correction throughput, turnaround times and — most dangerous — </w:t>
      </w:r>
      <w:r>
        <w:rPr>
          <w:b/>
          <w:bCs/>
        </w:rPr>
        <w:lastRenderedPageBreak/>
        <w:t>divergence rates between the teacher’s grade and the model’s proposal</w:t>
      </w:r>
      <w:r>
        <w:t xml:space="preserve">. That last metric is a direct quantified measure of teacher performance. Under the prevailing interpretation it is enough that the system is objectively </w:t>
      </w:r>
      <w:r>
        <w:rPr>
          <w:i/>
          <w:iCs/>
        </w:rPr>
        <w:t>suitable</w:t>
      </w:r>
      <w:r>
        <w:t xml:space="preserve"> for monitoring; intent is not required. We are very likely co-determination-liable in every Land.</w:t>
      </w:r>
    </w:p>
    <w:p w14:paraId="2740E0BF" w14:textId="77777777" w:rsidR="0090768F" w:rsidRDefault="00000000">
      <w:pPr>
        <w:pStyle w:val="BodyText"/>
      </w:pPr>
      <w:r>
        <w:rPr>
          <w:b/>
          <w:bCs/>
        </w:rPr>
        <w:t>Design the mitigation in now, not later:</w:t>
      </w:r>
      <w:r>
        <w:t xml:space="preserve"> no per-teacher aggregation in any admin-visible view by default; divergence statistics computed only in aggregate, k-anonymised, and switchable off at deployment; and a ready-made </w:t>
      </w:r>
      <w:r>
        <w:rPr>
          <w:b/>
          <w:bCs/>
        </w:rPr>
        <w:t>Dienstvereinbarung template</w:t>
      </w:r>
      <w:r>
        <w:t xml:space="preserve"> shipped with the product. Works councils approve far faster against a draft than against a blank page. Note the tension with §3.5: we need divergence evidence for the Art. 22 argument </w:t>
      </w:r>
      <w:r>
        <w:rPr>
          <w:i/>
          <w:iCs/>
        </w:rPr>
        <w:t>and</w:t>
      </w:r>
      <w:r>
        <w:t xml:space="preserve"> we must not expose it per teacher. The resolution is aggregate-only reporting with per-script audit records available to the school only on a defined, logged basis.</w:t>
      </w:r>
    </w:p>
    <w:p w14:paraId="7EFABCD3" w14:textId="77777777" w:rsidR="0090768F" w:rsidRDefault="00000000">
      <w:pPr>
        <w:pStyle w:val="Heading3"/>
      </w:pPr>
      <w:bookmarkStart w:id="39" w:name="X64e08ca19f062d23dbb7963c832f319a5ca0029"/>
      <w:bookmarkEnd w:id="38"/>
      <w:r>
        <w:t>5.9 Universities — a separate and cleaner regime</w:t>
      </w:r>
    </w:p>
    <w:p w14:paraId="742AE8C1" w14:textId="77777777" w:rsidR="0090768F" w:rsidRDefault="00000000">
      <w:pPr>
        <w:pStyle w:val="FirstParagraph"/>
      </w:pPr>
      <w:r>
        <w:t xml:space="preserve">The governing rule derives from the </w:t>
      </w:r>
      <w:r>
        <w:rPr>
          <w:i/>
          <w:iCs/>
        </w:rPr>
        <w:t>Gesetzesvorbehalt</w:t>
      </w:r>
      <w:r>
        <w:t xml:space="preserve"> in Art. 12(1) sentence 2 GG: </w:t>
      </w:r>
      <w:r>
        <w:rPr>
          <w:i/>
          <w:iCs/>
        </w:rPr>
        <w:t>“Regelungen über das Verfahren der Bewertung der Prüfungsleistungen, die Bestehensvoraussetzungen und die Notenvergabe”</w:t>
      </w:r>
      <w:r>
        <w:t xml:space="preserve"> must be laid down in a legal instrument — for state examinations a Rechtsverordnung, </w:t>
      </w:r>
      <w:r>
        <w:rPr>
          <w:b/>
          <w:bCs/>
        </w:rPr>
        <w:t>for university examinations a Satzung of the university</w:t>
      </w:r>
      <w:r>
        <w:t xml:space="preserve"> (BVerwG 10.04.2019 – 6 C 19.18).</w:t>
      </w:r>
    </w:p>
    <w:p w14:paraId="2D3028EE" w14:textId="77777777" w:rsidR="0090768F" w:rsidRDefault="00000000">
      <w:pPr>
        <w:pStyle w:val="BodyText"/>
      </w:pPr>
      <w:r>
        <w:rPr>
          <w:b/>
          <w:bCs/>
        </w:rPr>
        <w:t>Does a Prüfungsordnung need amending? Probably — but it depends on positioning.</w:t>
      </w:r>
      <w:r>
        <w:t xml:space="preserve"> BVerwG held that the </w:t>
      </w:r>
      <w:r>
        <w:rPr>
          <w:b/>
          <w:bCs/>
        </w:rPr>
        <w:t>number of examiners</w:t>
      </w:r>
      <w:r>
        <w:t xml:space="preserve"> and the </w:t>
      </w:r>
      <w:r>
        <w:rPr>
          <w:b/>
          <w:bCs/>
        </w:rPr>
        <w:t>method of resolving divergences</w:t>
      </w:r>
      <w:r>
        <w:t xml:space="preserve"> must be laid down in advance, because the result depends on the exercise of a judicially reviewable-only-in-part </w:t>
      </w:r>
      <w:r>
        <w:rPr>
          <w:i/>
          <w:iCs/>
        </w:rPr>
        <w:t>Beurteilungsspielraum</w:t>
      </w:r>
      <w:r>
        <w:t xml:space="preserve">. </w:t>
      </w:r>
      <w:r>
        <w:rPr>
          <w:b/>
          <w:bCs/>
        </w:rPr>
        <w:t>If GRADIAS is ever characterised as functionally a further assessor, it falls inside that rule and a Satzung amendment is required.</w:t>
      </w:r>
      <w:r>
        <w:t xml:space="preserve"> Therefore: never describe it as a “second corrector”, never present its output as a </w:t>
      </w:r>
      <w:r>
        <w:rPr>
          <w:i/>
          <w:iCs/>
        </w:rPr>
        <w:t>Zweitkorrektur</w:t>
      </w:r>
      <w:r>
        <w:t xml:space="preserve">, and never let a divergence-resolution rule in a Prüfungsordnung touch it. Positioned as an internal working aid of a single examiner — like a </w:t>
      </w:r>
      <w:r>
        <w:rPr>
          <w:i/>
          <w:iCs/>
        </w:rPr>
        <w:t>Lösungsskizze</w:t>
      </w:r>
      <w:r>
        <w:t>, a calculator, or a pre-sort by a student assistant — there is a defensible argument that the Satzung need not change.</w:t>
      </w:r>
    </w:p>
    <w:p w14:paraId="2B9EECD5" w14:textId="77777777" w:rsidR="0090768F" w:rsidRDefault="00000000">
      <w:pPr>
        <w:pStyle w:val="BodyText"/>
      </w:pPr>
      <w:r>
        <w:rPr>
          <w:b/>
          <w:bCs/>
        </w:rPr>
        <w:t>Commercially, universities are probably the easier entry.</w:t>
      </w:r>
      <w:r>
        <w:t xml:space="preserve"> They are autonomous, so there is no ministry gatekeeper, no Länder-guidance problem, and a controller that can actually sign an Art. 28 agreement. The cost is a long, high-touch, per-institution sale with a governance committee in the loop, and no Land-level switch. </w:t>
      </w:r>
      <w:r>
        <w:rPr>
          <w:i/>
          <w:iCs/>
        </w:rPr>
        <w:t>(HRK positions — the KI-LOTSE project and the November 2024 paper on AI, digital sovereignty and cybersecurity — could not be opened; do not assert an HRK position without reading them.)</w:t>
      </w:r>
    </w:p>
    <w:p w14:paraId="0AF06DF7" w14:textId="77777777" w:rsidR="0090768F" w:rsidRDefault="00000000">
      <w:pPr>
        <w:pStyle w:val="Heading3"/>
      </w:pPr>
      <w:bookmarkStart w:id="40" w:name="the-federal-layer-that-does-bind-us"/>
      <w:bookmarkEnd w:id="39"/>
      <w:r>
        <w:t>5.10 The federal layer that does bind us</w:t>
      </w:r>
    </w:p>
    <w:p w14:paraId="44B75441" w14:textId="77777777" w:rsidR="0090768F" w:rsidRDefault="00000000">
      <w:pPr>
        <w:pStyle w:val="FirstParagraph"/>
      </w:pPr>
      <w:r>
        <w:t xml:space="preserve">Schools are exclusively a Länder matter (Art. 30, 70 GG), so the Bund cannot authorise school use of our product at all. What the Bund does control binds us as </w:t>
      </w:r>
      <w:r>
        <w:rPr>
          <w:b/>
          <w:bCs/>
        </w:rPr>
        <w:t>provider</w:t>
      </w:r>
      <w:r>
        <w:t>:</w:t>
      </w:r>
    </w:p>
    <w:p w14:paraId="48280BF1" w14:textId="77777777" w:rsidR="0090768F" w:rsidRDefault="00000000">
      <w:pPr>
        <w:pStyle w:val="Compact"/>
        <w:numPr>
          <w:ilvl w:val="0"/>
          <w:numId w:val="7"/>
        </w:numPr>
      </w:pPr>
      <w:r>
        <w:rPr>
          <w:b/>
          <w:bCs/>
        </w:rPr>
        <w:t>KI-MIG — Gesetz zur Marktüberwachung und Innovationsförderung von künstlicher Intelligenz</w:t>
      </w:r>
      <w:r>
        <w:t>, issued 22.07.2026, BGBl. 2026 I Nr. 223, in force 29.07.2026. This is Germany’s AI Act implementing statute and it postdates most internal material we hold.</w:t>
      </w:r>
    </w:p>
    <w:p w14:paraId="435EFD95" w14:textId="77777777" w:rsidR="0090768F" w:rsidRDefault="00000000">
      <w:pPr>
        <w:pStyle w:val="Compact"/>
        <w:numPr>
          <w:ilvl w:val="1"/>
          <w:numId w:val="8"/>
        </w:numPr>
      </w:pPr>
      <w:r>
        <w:rPr>
          <w:b/>
          <w:bCs/>
        </w:rPr>
        <w:lastRenderedPageBreak/>
        <w:t>§ 2(1): the Bundesnetzagentur is the market surveillance authority</w:t>
      </w:r>
      <w:r>
        <w:t xml:space="preserve"> for Regulation (EU) 2024/1689 unless otherwise provided.</w:t>
      </w:r>
    </w:p>
    <w:p w14:paraId="2E331F96" w14:textId="77777777" w:rsidR="0090768F" w:rsidRDefault="00000000">
      <w:pPr>
        <w:pStyle w:val="Compact"/>
        <w:numPr>
          <w:ilvl w:val="1"/>
          <w:numId w:val="8"/>
        </w:numPr>
      </w:pPr>
      <w:r>
        <w:rPr>
          <w:b/>
          <w:bCs/>
        </w:rPr>
        <w:t xml:space="preserve">§ 2(6): where public bodies of the Länder place on the market, put into service or </w:t>
      </w:r>
      <w:r>
        <w:rPr>
          <w:b/>
          <w:bCs/>
          <w:i/>
          <w:iCs/>
        </w:rPr>
        <w:t>use</w:t>
      </w:r>
      <w:r>
        <w:rPr>
          <w:b/>
          <w:bCs/>
        </w:rPr>
        <w:t xml:space="preserve"> AI systems, market surveillance falls to the authorities competent under Land law.</w:t>
      </w:r>
      <w:r>
        <w:t xml:space="preserve"> So </w:t>
      </w:r>
      <w:r>
        <w:rPr>
          <w:b/>
          <w:bCs/>
        </w:rPr>
        <w:t>we</w:t>
      </w:r>
      <w:r>
        <w:t xml:space="preserve"> face the BNetzA; </w:t>
      </w:r>
      <w:r>
        <w:rPr>
          <w:b/>
          <w:bCs/>
        </w:rPr>
        <w:t>our customers</w:t>
      </w:r>
      <w:r>
        <w:t xml:space="preserve"> face sixteen different Land supervisors. Plan for both.</w:t>
      </w:r>
    </w:p>
    <w:p w14:paraId="7A4F8AE4" w14:textId="77777777" w:rsidR="0090768F" w:rsidRDefault="00000000">
      <w:pPr>
        <w:pStyle w:val="Compact"/>
        <w:numPr>
          <w:ilvl w:val="1"/>
          <w:numId w:val="8"/>
        </w:numPr>
      </w:pPr>
      <w:r>
        <w:rPr>
          <w:b/>
          <w:bCs/>
        </w:rPr>
        <w:t>§ 13: the BNetzA must establish at least one KI-Reallabor</w:t>
      </w:r>
      <w:r>
        <w:t xml:space="preserve"> (regulatory sandbox) under Arts. 57/58 AI Act, with the competent data protection authority involved for the Art. 59 assessment. </w:t>
      </w:r>
      <w:r>
        <w:rPr>
          <w:b/>
          <w:bCs/>
        </w:rPr>
        <w:t>This is a concrete, named, currently-open route to regulatory engagement rather than guesswork, and is arguably the single most actionable item in this paper.</w:t>
      </w:r>
    </w:p>
    <w:p w14:paraId="58903F05" w14:textId="77777777" w:rsidR="0090768F" w:rsidRDefault="00000000">
      <w:pPr>
        <w:pStyle w:val="Compact"/>
        <w:numPr>
          <w:ilvl w:val="1"/>
          <w:numId w:val="8"/>
        </w:numPr>
      </w:pPr>
      <w:r>
        <w:rPr>
          <w:b/>
          <w:bCs/>
        </w:rPr>
        <w:t>§ 14</w:t>
      </w:r>
      <w:r>
        <w:t xml:space="preserve"> makes failure to perform the Art. 27 FRIA an offence subject to a fine — which makes our pre-completed FRIA template a direct answer to a customer’s own liability, not a convenience.</w:t>
      </w:r>
    </w:p>
    <w:p w14:paraId="30CE75C3" w14:textId="77777777" w:rsidR="0090768F" w:rsidRDefault="00000000">
      <w:pPr>
        <w:pStyle w:val="Compact"/>
        <w:numPr>
          <w:ilvl w:val="0"/>
          <w:numId w:val="7"/>
        </w:numPr>
      </w:pPr>
      <w:r>
        <w:t xml:space="preserve">The Bundestag research service confirms the classification: </w:t>
      </w:r>
      <w:r>
        <w:rPr>
          <w:i/>
          <w:iCs/>
        </w:rPr>
        <w:t>“der gesamte Anwendungsbereich Bildung als ‘hochrisikoreich’ eingestuft wurde … betrifft die Regulierung auch automatisierte Bewertungen von Lernergebnissen, etwa durch Lernplattformen oder KI-gestützte Korrektursysteme”</w:t>
      </w:r>
      <w:r>
        <w:t xml:space="preserve"> (WD 8 – 3000 – 004/25, 28.02.2025).</w:t>
      </w:r>
    </w:p>
    <w:p w14:paraId="7B889699" w14:textId="77777777" w:rsidR="0090768F" w:rsidRDefault="00000000">
      <w:pPr>
        <w:pStyle w:val="Heading3"/>
      </w:pPr>
      <w:bookmarkStart w:id="41" w:name="kmk-what-it-is-and-what-it-can-do"/>
      <w:bookmarkEnd w:id="40"/>
      <w:r>
        <w:t>5.11 KMK — what it is and what it can do</w:t>
      </w:r>
    </w:p>
    <w:p w14:paraId="420666D7" w14:textId="77777777" w:rsidR="0090768F" w:rsidRDefault="00000000">
      <w:pPr>
        <w:pStyle w:val="FirstParagraph"/>
      </w:pPr>
      <w:r>
        <w:t xml:space="preserve">The </w:t>
      </w:r>
      <w:r>
        <w:rPr>
          <w:b/>
          <w:bCs/>
        </w:rPr>
        <w:t>Kultusministerkonferenz</w:t>
      </w:r>
      <w:r>
        <w:t xml:space="preserve"> remains the umbrella name; since </w:t>
      </w:r>
      <w:r>
        <w:rPr>
          <w:b/>
          <w:bCs/>
        </w:rPr>
        <w:t>1 July 2024</w:t>
      </w:r>
      <w:r>
        <w:t xml:space="preserve"> three autonomous conferences sit under it — </w:t>
      </w:r>
      <w:r>
        <w:rPr>
          <w:b/>
          <w:bCs/>
        </w:rPr>
        <w:t>Bildungsministerkonferenz</w:t>
      </w:r>
      <w:r>
        <w:t xml:space="preserve">, Wissenschaftsministerkonferenz, Kulturministerkonferenz. The October 2024 AI recommendation is correctly cited as a </w:t>
      </w:r>
      <w:r>
        <w:rPr>
          <w:i/>
          <w:iCs/>
        </w:rPr>
        <w:t>Beschluss der Bildungsministerkonferenz vom 10.10.2024</w:t>
      </w:r>
      <w:r>
        <w:t>, published by the Sekretariat der Kultusministerkonferenz. Getting this right signals competence to ministry readers.</w:t>
      </w:r>
    </w:p>
    <w:p w14:paraId="0AA4184E" w14:textId="77777777" w:rsidR="0090768F" w:rsidRDefault="00000000">
      <w:pPr>
        <w:pStyle w:val="BodyText"/>
      </w:pPr>
      <w:r>
        <w:rPr>
          <w:b/>
          <w:bCs/>
        </w:rPr>
        <w:t>The full operative passage</w:t>
      </w:r>
      <w:r>
        <w:t xml:space="preserve"> (p. 6), beyond the sentence quoted in §5.1:</w:t>
      </w:r>
    </w:p>
    <w:p w14:paraId="544525C7" w14:textId="77777777" w:rsidR="0090768F" w:rsidRDefault="00000000">
      <w:pPr>
        <w:pStyle w:val="BlockText"/>
      </w:pPr>
      <w:r>
        <w:rPr>
          <w:i/>
          <w:iCs/>
        </w:rPr>
        <w:t>“KI-Anwendungen können den Lehrkräften aber durchaus Unterstützungspotenziale im Korrektur- und Bewertungsprozess bieten (</w:t>
      </w:r>
      <w:r>
        <w:rPr>
          <w:b/>
          <w:bCs/>
          <w:i/>
          <w:iCs/>
        </w:rPr>
        <w:t>Vorkorrektur, Korrekturassistenz</w:t>
      </w:r>
      <w:r>
        <w:rPr>
          <w:i/>
          <w:iCs/>
        </w:rPr>
        <w:t xml:space="preserve"> und anschließende adaptive Lernunterstützung) … Herausforderungen im Einsatz von KI-Anwendungen als Korrekturassistenz liegen u. a. in </w:t>
      </w:r>
      <w:r>
        <w:rPr>
          <w:b/>
          <w:bCs/>
          <w:i/>
          <w:iCs/>
        </w:rPr>
        <w:t>Datenschutz und Datensicherheit, fehlender Transparenz und Nachvollziehbarkeit der Entscheidungsfindung sowie der Gefahr von Diskriminierung durch Bias</w:t>
      </w:r>
      <w:r>
        <w:rPr>
          <w:i/>
          <w:iCs/>
        </w:rPr>
        <w:t xml:space="preserve">. Um die Potenziale … rechtlich und ethisch einwandfrei zu realisieren, </w:t>
      </w:r>
      <w:r>
        <w:rPr>
          <w:b/>
          <w:bCs/>
          <w:i/>
          <w:iCs/>
        </w:rPr>
        <w:t>bedarf es länderseits entsprechender Regelungen über einen Einsatz als Entscheidungsunterstützungssystem. Die abschließende Leistungsbewertung bleibt den Prüfenden vorbehalten.</w:t>
      </w:r>
      <w:r>
        <w:rPr>
          <w:i/>
          <w:iCs/>
        </w:rPr>
        <w:t>”</w:t>
      </w:r>
    </w:p>
    <w:p w14:paraId="7BC71B08" w14:textId="77777777" w:rsidR="0090768F" w:rsidRDefault="00000000">
      <w:pPr>
        <w:pStyle w:val="FirstParagraph"/>
      </w:pPr>
      <w:r>
        <w:t xml:space="preserve">Three things happen at once in that passage: the automated-grade path is closed and the two reasons named; the assistive path is opened </w:t>
      </w:r>
      <w:r>
        <w:rPr>
          <w:b/>
          <w:bCs/>
        </w:rPr>
        <w:t>by name</w:t>
      </w:r>
      <w:r>
        <w:t>; and the price of entry is set out — which is effectively a product requirements document written by the buyer.</w:t>
      </w:r>
    </w:p>
    <w:p w14:paraId="2064F6A6" w14:textId="77777777" w:rsidR="0090768F" w:rsidRDefault="00000000">
      <w:pPr>
        <w:pStyle w:val="BodyText"/>
      </w:pPr>
      <w:r>
        <w:lastRenderedPageBreak/>
        <w:t xml:space="preserve">Two further passages matter commercially. The Länder intend to build </w:t>
      </w:r>
      <w:r>
        <w:rPr>
          <w:b/>
          <w:bCs/>
        </w:rPr>
        <w:t>their own</w:t>
      </w:r>
      <w:r>
        <w:t xml:space="preserve"> infrastructure: a </w:t>
      </w:r>
      <w:r>
        <w:rPr>
          <w:i/>
          <w:iCs/>
        </w:rPr>
        <w:t>“ländergemeinsame Schnittstellenlösung zum datenschutzkonformen und kostenfreien Zugang zu LLM im schulischen Bereich”</w:t>
      </w:r>
      <w:r>
        <w:t xml:space="preserve"> so that schools are </w:t>
      </w:r>
      <w:r>
        <w:rPr>
          <w:i/>
          <w:iCs/>
        </w:rPr>
        <w:t>“von größeren Prüfaufwänden befreit”</w:t>
      </w:r>
      <w:r>
        <w:t xml:space="preserve">, and a </w:t>
      </w:r>
      <w:r>
        <w:rPr>
          <w:i/>
          <w:iCs/>
        </w:rPr>
        <w:t>“hoheitlich betreibbares, datenschutzkonformes, für pädagogische Zwecke trainiertes … LLM (z. B. beim FWU)”</w:t>
      </w:r>
      <w:r>
        <w:t xml:space="preserve">. </w:t>
      </w:r>
      <w:r>
        <w:rPr>
          <w:b/>
          <w:bCs/>
        </w:rPr>
        <w:t>That is a competitive threat and a channel opportunity at once: the state intends to be the default supplier of the model layer. Our defensible position is the workflow and evidence layer on top — model-agnostic, able to run against the Land’s own LLM.</w:t>
      </w:r>
      <w:r>
        <w:t xml:space="preserve"> And on examination formats: </w:t>
      </w:r>
      <w:r>
        <w:rPr>
          <w:i/>
          <w:iCs/>
        </w:rPr>
        <w:t>“Nach erfolgreicher Erprobung sind die Länderverordnungen zu Leistungsnachweisen und … Abschlussprüfungen entsprechend anzupassen.”</w:t>
      </w:r>
      <w:r>
        <w:t xml:space="preserve"> The KMK already contemplates ordinance amendment.</w:t>
      </w:r>
    </w:p>
    <w:p w14:paraId="5C56F1C7" w14:textId="77777777" w:rsidR="0090768F" w:rsidRDefault="00000000">
      <w:pPr>
        <w:pStyle w:val="BodyText"/>
      </w:pPr>
      <w:r>
        <w:rPr>
          <w:b/>
          <w:bCs/>
        </w:rPr>
        <w:t>Legal force: none.</w:t>
      </w:r>
      <w:r>
        <w:t xml:space="preserve"> The KMK says of itself that it </w:t>
      </w:r>
      <w:r>
        <w:rPr>
          <w:i/>
          <w:iCs/>
        </w:rPr>
        <w:t>“fasst … keine Beschlüsse als Verfassungsorgan mit der daraus folgenden Rechtswirkung”</w:t>
      </w:r>
      <w:r>
        <w:t>; its decisions operate as political commitment and a guide to action. A KMK recommendation creates cover, not authorisation. That is the direct answer to half of Question 6.</w:t>
      </w:r>
    </w:p>
    <w:p w14:paraId="0E865755" w14:textId="77777777" w:rsidR="0090768F" w:rsidRDefault="00000000">
      <w:pPr>
        <w:pStyle w:val="Heading2"/>
      </w:pPr>
      <w:bookmarkStart w:id="42" w:name="X1c77f10a2e801fc5fcf9be2754c1e7827a2c381"/>
      <w:bookmarkStart w:id="43" w:name="_Toc240060402"/>
      <w:bookmarkEnd w:id="29"/>
      <w:bookmarkEnd w:id="41"/>
      <w:r>
        <w:t>6. Question 4 — Why is AI processing legally different from ordinary data processing?</w:t>
      </w:r>
      <w:bookmarkEnd w:id="43"/>
    </w:p>
    <w:p w14:paraId="52D10AE7" w14:textId="77777777" w:rsidR="0090768F" w:rsidRDefault="00000000">
      <w:pPr>
        <w:pStyle w:val="FirstParagraph"/>
      </w:pPr>
      <w:r>
        <w:t xml:space="preserve">The objection to expect from engineering and from sceptical buyers is: </w:t>
      </w:r>
      <w:r>
        <w:rPr>
          <w:i/>
          <w:iCs/>
        </w:rPr>
        <w:t>we have had spreadsheets calculating grades for thirty years — what is actually new?</w:t>
      </w:r>
      <w:r>
        <w:t xml:space="preserve"> Seven answers.</w:t>
      </w:r>
    </w:p>
    <w:p w14:paraId="389C3482" w14:textId="77777777" w:rsidR="0090768F" w:rsidRDefault="00000000">
      <w:pPr>
        <w:pStyle w:val="BodyText"/>
      </w:pPr>
      <w:r>
        <w:rPr>
          <w:b/>
          <w:bCs/>
        </w:rPr>
        <w:t>(i) Article 22 GDPR has a threshold that ordinary calculation never crosses.</w:t>
      </w:r>
      <w:r>
        <w:t xml:space="preserve"> A spreadsheet summing marks a teacher entered is not a decision based solely on automated processing: the human generated every input and arithmetic is not evaluation. A model that reads a free-text answer and </w:t>
      </w:r>
      <w:r>
        <w:rPr>
          <w:i/>
          <w:iCs/>
        </w:rPr>
        <w:t>judges</w:t>
      </w:r>
      <w:r>
        <w:t xml:space="preserve"> it produces the evaluative content itself. The regime is </w:t>
      </w:r>
      <w:r>
        <w:rPr>
          <w:b/>
          <w:bCs/>
        </w:rPr>
        <w:t>discontinuous, not graduated</w:t>
      </w:r>
      <w:r>
        <w:t xml:space="preserve"> — which is why “it is just a better calculator” is wrong as a matter of law whatever its merits as engineering. And </w:t>
      </w:r>
      <w:r>
        <w:rPr>
          <w:i/>
          <w:iCs/>
        </w:rPr>
        <w:t>SCHUFA</w:t>
      </w:r>
      <w:r>
        <w:t xml:space="preserve"> means you cannot step back across the threshold by inserting a nominal human: the test is behavioural, so the </w:t>
      </w:r>
      <w:r>
        <w:rPr>
          <w:i/>
          <w:iCs/>
        </w:rPr>
        <w:t>effectiveness</w:t>
      </w:r>
      <w:r>
        <w:t xml:space="preserve"> of the tool determines the </w:t>
      </w:r>
      <w:r>
        <w:rPr>
          <w:i/>
          <w:iCs/>
        </w:rPr>
        <w:t>applicability</w:t>
      </w:r>
      <w:r>
        <w:t xml:space="preserve"> of the regime.</w:t>
      </w:r>
    </w:p>
    <w:p w14:paraId="5B972AFA" w14:textId="77777777" w:rsidR="0090768F" w:rsidRDefault="00000000">
      <w:pPr>
        <w:pStyle w:val="BodyText"/>
      </w:pPr>
      <w:r>
        <w:rPr>
          <w:b/>
          <w:bCs/>
        </w:rPr>
        <w:t>(ii) The DPIA moves from discretionary to effectively mandatory.</w:t>
      </w:r>
      <w:r>
        <w:t xml:space="preserve"> For a spreadsheet an Art. 35 screening normally concludes “no high risk”. For AI, three triggers fire at once (§3.6). The pivot is that </w:t>
      </w:r>
      <w:r>
        <w:rPr>
          <w:b/>
          <w:bCs/>
        </w:rPr>
        <w:t>novelty itself is a risk factor</w:t>
      </w:r>
      <w:r>
        <w:t xml:space="preserve"> in EU data protection law — Art. 35(1) says “in particular using new technologies”, and WP248 criterion 8 is “innovative use”. No other tool category is penalised for being new.</w:t>
      </w:r>
    </w:p>
    <w:p w14:paraId="5158AB29" w14:textId="77777777" w:rsidR="0090768F" w:rsidRDefault="00000000">
      <w:pPr>
        <w:pStyle w:val="BodyText"/>
      </w:pPr>
      <w:r>
        <w:rPr>
          <w:b/>
          <w:bCs/>
        </w:rPr>
        <w:t>(iii) An entire second statute attaches, with product-safety architecture.</w:t>
      </w:r>
      <w:r>
        <w:t xml:space="preserve"> This is the largest discontinuity and the one that most surprises software teams. A spreadsheet is governed by contract, the GDPR and general tort law. An AI grading system is additionally governed by a New Legislative Framework regime: conformity assessment before placing on the market; a formal </w:t>
      </w:r>
      <w:r>
        <w:rPr>
          <w:b/>
          <w:bCs/>
        </w:rPr>
        <w:t>EU declaration of conformity</w:t>
      </w:r>
      <w:r>
        <w:t xml:space="preserve"> the company signs; </w:t>
      </w:r>
      <w:r>
        <w:rPr>
          <w:b/>
          <w:bCs/>
        </w:rPr>
        <w:t>CE marking</w:t>
      </w:r>
      <w:r>
        <w:t xml:space="preserve"> — the same mark as on a toaster or a lift; registration in a </w:t>
      </w:r>
      <w:r>
        <w:rPr>
          <w:b/>
          <w:bCs/>
        </w:rPr>
        <w:t>public EU database</w:t>
      </w:r>
      <w:r>
        <w:t xml:space="preserve">; a </w:t>
      </w:r>
      <w:r>
        <w:rPr>
          <w:b/>
          <w:bCs/>
        </w:rPr>
        <w:t>quality management system</w:t>
      </w:r>
      <w:r>
        <w:t xml:space="preserve">; post-market monitoring and serious-incident reporting on 15/10/2-day clocks; and market surveillance authorities with powers to demand documentation, test, and withdraw the product from the market. This is an organisational </w:t>
      </w:r>
      <w:r>
        <w:lastRenderedPageBreak/>
        <w:t>change, not a legal-review change: someone must own the QMS, someone must sign the declaration, and somebody’s calendar must carry the 15-day incident clock.</w:t>
      </w:r>
    </w:p>
    <w:p w14:paraId="51AB24C7" w14:textId="77777777" w:rsidR="0090768F" w:rsidRDefault="00000000">
      <w:pPr>
        <w:pStyle w:val="BodyText"/>
      </w:pPr>
      <w:r>
        <w:rPr>
          <w:b/>
          <w:bCs/>
        </w:rPr>
        <w:t>(iv) Training data and secondary use collide with purpose limitation.</w:t>
      </w:r>
      <w:r>
        <w:t xml:space="preserve"> A spreadsheet does not learn. A model does, and the temptation to improve it on customer scripts is structural. Purpose limitation, the narrowed Art. 6(4) compatibility route for public-task controllers, and EDPB Opinion 28/2024 together mean </w:t>
      </w:r>
      <w:r>
        <w:rPr>
          <w:b/>
          <w:bCs/>
        </w:rPr>
        <w:t>the most natural product-improvement loop is the most legally dangerous thing the company can do</w:t>
      </w:r>
      <w:r>
        <w:t xml:space="preserve">. AI Act Art. 10 then adds an affirmative </w:t>
      </w:r>
      <w:r>
        <w:rPr>
          <w:i/>
          <w:iCs/>
        </w:rPr>
        <w:t>obligation</w:t>
      </w:r>
      <w:r>
        <w:t xml:space="preserve"> about the provenance, representativeness and bias characteristics of that data — with no analogue for conventional software.</w:t>
      </w:r>
    </w:p>
    <w:p w14:paraId="2DAEBAD0" w14:textId="77777777" w:rsidR="0090768F" w:rsidRDefault="00000000">
      <w:pPr>
        <w:pStyle w:val="BodyText"/>
      </w:pPr>
      <w:r>
        <w:rPr>
          <w:b/>
          <w:bCs/>
        </w:rPr>
        <w:t>(v) Explainability meets the reasoned-decision requirement of administrative and examination law.</w:t>
      </w:r>
      <w:r>
        <w:t xml:space="preserve"> Two demands converge. Under the GDPR, </w:t>
      </w:r>
      <w:r>
        <w:rPr>
          <w:i/>
          <w:iCs/>
        </w:rPr>
        <w:t>Dun &amp; Bradstreet</w:t>
      </w:r>
      <w:r>
        <w:t xml:space="preserve"> requires the “procedure and principles actually applied”. Under German examination law, the examiner must give reasons capable of judicial review and must </w:t>
      </w:r>
      <w:r>
        <w:rPr>
          <w:i/>
          <w:iCs/>
        </w:rPr>
        <w:t>re-exercise</w:t>
      </w:r>
      <w:r>
        <w:t xml:space="preserve"> judgment on objection in the </w:t>
      </w:r>
      <w:r>
        <w:rPr>
          <w:i/>
          <w:iCs/>
        </w:rPr>
        <w:t>Überdenkensverfahren</w:t>
      </w:r>
      <w:r>
        <w:t xml:space="preserve"> — months later. A model that outputs “7/10” with no rationale is therefore not merely unhelpful; </w:t>
      </w:r>
      <w:r>
        <w:rPr>
          <w:b/>
          <w:bCs/>
        </w:rPr>
        <w:t>it prevents the deploying authority from performing its own legal duty</w:t>
      </w:r>
      <w:r>
        <w:t>. Per-criterion rationale generation is a legal requirement of the product, not a feature. Practically this means a durable, exportable per-script audit record: original scan, rubric version, model version, proposal, teacher’s edits, final grade and reasons — which is also what AI Act Art. 12 logging will want.</w:t>
      </w:r>
    </w:p>
    <w:p w14:paraId="23419335" w14:textId="77777777" w:rsidR="0090768F" w:rsidRDefault="00000000">
      <w:pPr>
        <w:pStyle w:val="BodyText"/>
      </w:pPr>
      <w:r>
        <w:rPr>
          <w:b/>
          <w:bCs/>
        </w:rPr>
        <w:t>(vi) Accuracy and bias become measured, declared and maintained properties.</w:t>
      </w:r>
      <w:r>
        <w:t xml:space="preserve"> A spreadsheet’s arithmetic is correct or it is a bug. A model’s accuracy is a statistical property subject to AI Act Art. 15 (declared metrics in the instructions for use), Art. 10(2)(f)–(g) (examination for and mitigation of bias), Art. 10(3) (representative, error-free, complete data sets), Art. 10(4) (per-deployment-context validation), and GDPR Art. 5(1)(a) and (d). </w:t>
      </w:r>
      <w:r>
        <w:rPr>
          <w:b/>
          <w:bCs/>
        </w:rPr>
        <w:t>Nobody has ever had to prove a spreadsheet is unbiased across dialects.</w:t>
      </w:r>
      <w:r>
        <w:t xml:space="preserve"> We will have to prove the model is not systematically harsher on non-native syntax, dyslexic orthography or untidy handwriting — and keep proving it after every model update. </w:t>
      </w:r>
      <w:r>
        <w:rPr>
          <w:b/>
          <w:bCs/>
        </w:rPr>
        <w:t>That is a permanent recurring engineering cost line and it belongs in the financial model, not the risk register.</w:t>
      </w:r>
    </w:p>
    <w:p w14:paraId="25B92356" w14:textId="77777777" w:rsidR="0090768F" w:rsidRDefault="00000000">
      <w:pPr>
        <w:pStyle w:val="BodyText"/>
      </w:pPr>
      <w:r>
        <w:rPr>
          <w:b/>
          <w:bCs/>
        </w:rPr>
        <w:t>(vii) Automation bias becomes a legal, not merely a UX, problem.</w:t>
      </w:r>
      <w:r>
        <w:t xml:space="preserve"> This is the synthesis. The same human factor — a teacher’s tendency to accept the machine’s answer — appears in three instruments binding three different parties:</w:t>
      </w:r>
    </w:p>
    <w:tbl>
      <w:tblPr>
        <w:tblStyle w:val="Table"/>
        <w:tblW w:w="5000" w:type="pct"/>
        <w:tblLook w:val="0020" w:firstRow="1" w:lastRow="0" w:firstColumn="0" w:lastColumn="0" w:noHBand="0" w:noVBand="0"/>
      </w:tblPr>
      <w:tblGrid>
        <w:gridCol w:w="3353"/>
        <w:gridCol w:w="2306"/>
        <w:gridCol w:w="3701"/>
      </w:tblGrid>
      <w:tr w:rsidR="0090768F" w14:paraId="64E82099"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4A8D4DDE" w14:textId="77777777" w:rsidR="0090768F" w:rsidRDefault="00000000">
            <w:pPr>
              <w:pStyle w:val="Compact"/>
            </w:pPr>
            <w:r>
              <w:t>Instrument</w:t>
            </w:r>
          </w:p>
        </w:tc>
        <w:tc>
          <w:tcPr>
            <w:tcW w:w="0" w:type="auto"/>
          </w:tcPr>
          <w:p w14:paraId="29F11D42" w14:textId="77777777" w:rsidR="0090768F" w:rsidRDefault="00000000">
            <w:pPr>
              <w:pStyle w:val="Compact"/>
            </w:pPr>
            <w:r>
              <w:t>Binds</w:t>
            </w:r>
          </w:p>
        </w:tc>
        <w:tc>
          <w:tcPr>
            <w:tcW w:w="0" w:type="auto"/>
          </w:tcPr>
          <w:p w14:paraId="21FC3E20" w14:textId="77777777" w:rsidR="0090768F" w:rsidRDefault="00000000">
            <w:pPr>
              <w:pStyle w:val="Compact"/>
            </w:pPr>
            <w:r>
              <w:t>Demands</w:t>
            </w:r>
          </w:p>
        </w:tc>
      </w:tr>
      <w:tr w:rsidR="0090768F" w14:paraId="7CA2AF58" w14:textId="77777777">
        <w:tc>
          <w:tcPr>
            <w:tcW w:w="0" w:type="auto"/>
          </w:tcPr>
          <w:p w14:paraId="383778A8" w14:textId="77777777" w:rsidR="0090768F" w:rsidRDefault="00000000">
            <w:pPr>
              <w:pStyle w:val="Compact"/>
            </w:pPr>
            <w:r>
              <w:t>GDPR Art. 22 + WP251rev.01 (</w:t>
            </w:r>
            <w:r>
              <w:rPr>
                <w:i/>
                <w:iCs/>
              </w:rPr>
              <w:t>“meaningful, rather than just a token gesture”</w:t>
            </w:r>
            <w:r>
              <w:t>)</w:t>
            </w:r>
          </w:p>
        </w:tc>
        <w:tc>
          <w:tcPr>
            <w:tcW w:w="0" w:type="auto"/>
          </w:tcPr>
          <w:p w14:paraId="431C8E29" w14:textId="77777777" w:rsidR="0090768F" w:rsidRDefault="00000000">
            <w:pPr>
              <w:pStyle w:val="Compact"/>
            </w:pPr>
            <w:r>
              <w:t>the controller (the school)</w:t>
            </w:r>
          </w:p>
        </w:tc>
        <w:tc>
          <w:tcPr>
            <w:tcW w:w="0" w:type="auto"/>
          </w:tcPr>
          <w:p w14:paraId="39869F86" w14:textId="77777777" w:rsidR="0090768F" w:rsidRDefault="00000000">
            <w:pPr>
              <w:pStyle w:val="Compact"/>
            </w:pPr>
            <w:r>
              <w:t>that review be real</w:t>
            </w:r>
          </w:p>
        </w:tc>
      </w:tr>
      <w:tr w:rsidR="0090768F" w14:paraId="6FC1C378" w14:textId="77777777">
        <w:tc>
          <w:tcPr>
            <w:tcW w:w="0" w:type="auto"/>
          </w:tcPr>
          <w:p w14:paraId="082DB0BE" w14:textId="77777777" w:rsidR="0090768F" w:rsidRDefault="00000000">
            <w:pPr>
              <w:pStyle w:val="Compact"/>
            </w:pPr>
            <w:r>
              <w:t xml:space="preserve">CJEU C-634/21 </w:t>
            </w:r>
            <w:r>
              <w:rPr>
                <w:i/>
                <w:iCs/>
              </w:rPr>
              <w:t>SCHUFA</w:t>
            </w:r>
            <w:r>
              <w:t xml:space="preserve"> (“draws strongly on”)</w:t>
            </w:r>
          </w:p>
        </w:tc>
        <w:tc>
          <w:tcPr>
            <w:tcW w:w="0" w:type="auto"/>
          </w:tcPr>
          <w:p w14:paraId="5BE2208B" w14:textId="77777777" w:rsidR="0090768F" w:rsidRDefault="00000000">
            <w:pPr>
              <w:pStyle w:val="Compact"/>
            </w:pPr>
            <w:r>
              <w:t>both</w:t>
            </w:r>
          </w:p>
        </w:tc>
        <w:tc>
          <w:tcPr>
            <w:tcW w:w="0" w:type="auto"/>
          </w:tcPr>
          <w:p w14:paraId="0D076531" w14:textId="77777777" w:rsidR="0090768F" w:rsidRDefault="00000000">
            <w:pPr>
              <w:pStyle w:val="Compact"/>
            </w:pPr>
            <w:r>
              <w:t>that reliance not be de facto determinative</w:t>
            </w:r>
          </w:p>
        </w:tc>
      </w:tr>
      <w:tr w:rsidR="0090768F" w14:paraId="7D800CBC" w14:textId="77777777">
        <w:tc>
          <w:tcPr>
            <w:tcW w:w="0" w:type="auto"/>
          </w:tcPr>
          <w:p w14:paraId="7774B50C" w14:textId="77777777" w:rsidR="0090768F" w:rsidRDefault="00000000">
            <w:pPr>
              <w:pStyle w:val="Compact"/>
            </w:pPr>
            <w:r>
              <w:t>AI Act Art. 14(4)(b) + Art. 26(2)</w:t>
            </w:r>
          </w:p>
        </w:tc>
        <w:tc>
          <w:tcPr>
            <w:tcW w:w="0" w:type="auto"/>
          </w:tcPr>
          <w:p w14:paraId="53528146" w14:textId="77777777" w:rsidR="0090768F" w:rsidRDefault="00000000">
            <w:pPr>
              <w:pStyle w:val="Compact"/>
            </w:pPr>
            <w:r>
              <w:t>the provider (design) and the deployer (staffing)</w:t>
            </w:r>
          </w:p>
        </w:tc>
        <w:tc>
          <w:tcPr>
            <w:tcW w:w="0" w:type="auto"/>
          </w:tcPr>
          <w:p w14:paraId="1F363445" w14:textId="77777777" w:rsidR="0090768F" w:rsidRDefault="00000000">
            <w:pPr>
              <w:pStyle w:val="Compact"/>
            </w:pPr>
            <w:r>
              <w:t xml:space="preserve">that the system be </w:t>
            </w:r>
            <w:r>
              <w:rPr>
                <w:i/>
                <w:iCs/>
              </w:rPr>
              <w:t>designed</w:t>
            </w:r>
            <w:r>
              <w:t xml:space="preserve"> to counter it and the humans be competent and empowered</w:t>
            </w:r>
          </w:p>
        </w:tc>
      </w:tr>
    </w:tbl>
    <w:p w14:paraId="3475880D" w14:textId="77777777" w:rsidR="0090768F" w:rsidRDefault="00000000">
      <w:pPr>
        <w:pStyle w:val="BodyText"/>
      </w:pPr>
      <w:r>
        <w:lastRenderedPageBreak/>
        <w:t xml:space="preserve">So a UI decision — where the number appears, how many clicks acceptance takes — is simultaneously the determinant of whether the school is inside Art. 22, an Art. 14 design requirement on us, an Art. 26(2) staffing requirement on the school, and the evidence base under Art. 12 that either supports or destroys the argument if it is ever tested. </w:t>
      </w:r>
      <w:r>
        <w:rPr>
          <w:b/>
          <w:bCs/>
        </w:rPr>
        <w:t xml:space="preserve">In a spreadsheet the interface is a usability question. Here the interface </w:t>
      </w:r>
      <w:r>
        <w:rPr>
          <w:b/>
          <w:bCs/>
          <w:i/>
          <w:iCs/>
        </w:rPr>
        <w:t>is</w:t>
      </w:r>
      <w:r>
        <w:rPr>
          <w:b/>
          <w:bCs/>
        </w:rPr>
        <w:t xml:space="preserve"> the compliance posture.</w:t>
      </w:r>
    </w:p>
    <w:p w14:paraId="1BF12906" w14:textId="77777777" w:rsidR="0090768F" w:rsidRDefault="00000000">
      <w:pPr>
        <w:pStyle w:val="Heading2"/>
      </w:pPr>
      <w:bookmarkStart w:id="44" w:name="X46d3f5f50202e2c09063b55cc562db40215e2c9"/>
      <w:bookmarkStart w:id="45" w:name="_Toc240060403"/>
      <w:bookmarkEnd w:id="42"/>
      <w:r>
        <w:t>7. Question 5 — Can a teacher use the service, or must the school authorise it?</w:t>
      </w:r>
      <w:bookmarkEnd w:id="45"/>
    </w:p>
    <w:p w14:paraId="0DBF9DE7" w14:textId="77777777" w:rsidR="0090768F" w:rsidRDefault="00000000">
      <w:pPr>
        <w:pStyle w:val="FirstParagraph"/>
      </w:pPr>
      <w:r>
        <w:rPr>
          <w:b/>
          <w:bCs/>
        </w:rPr>
        <w:t>Short answer: no teacher can lawfully sign up alone, in any of the three countries. And the exposure is not primarily ours — it lands on the teacher personally and on the school. That asymmetry is itself a reason not to build the motion.</w:t>
      </w:r>
    </w:p>
    <w:p w14:paraId="0B196EC7" w14:textId="77777777" w:rsidR="0090768F" w:rsidRDefault="00000000">
      <w:pPr>
        <w:pStyle w:val="Heading3"/>
      </w:pPr>
      <w:bookmarkStart w:id="46" w:name="germany"/>
      <w:r>
        <w:t>7.1 Germany</w:t>
      </w:r>
    </w:p>
    <w:p w14:paraId="69BB832F" w14:textId="77777777" w:rsidR="0090768F" w:rsidRDefault="00000000">
      <w:pPr>
        <w:pStyle w:val="FirstParagraph"/>
      </w:pPr>
      <w:r>
        <w:rPr>
          <w:b/>
          <w:bCs/>
        </w:rPr>
        <w:t>Who is the controller.</w:t>
      </w:r>
      <w:r>
        <w:t xml:space="preserve"> The school. NRW says so expressly, even for processing on a teacher’s private device: </w:t>
      </w:r>
      <w:r>
        <w:rPr>
          <w:i/>
          <w:iCs/>
        </w:rPr>
        <w:t>“ist die Schule Verantwortlicher im Sinne des Artikels 4 Nummer 7 der DSGVO”</w:t>
      </w:r>
      <w:r>
        <w:t xml:space="preserve"> (§ 2(2) VO-DV I), and the Schulleitung bears the overall data-protection responsibility. Bavaria: </w:t>
      </w:r>
      <w:r>
        <w:rPr>
          <w:i/>
          <w:iCs/>
        </w:rPr>
        <w:t>“jede bayerische öffentliche Schule als datenschutzrechtlich verantwortliche Stelle”</w:t>
      </w:r>
      <w:r>
        <w:t xml:space="preserve">. Niedersachsen conditions platform use on </w:t>
      </w:r>
      <w:r>
        <w:rPr>
          <w:i/>
          <w:iCs/>
        </w:rPr>
        <w:t>“die Schulleitung dem Einsatz zugestimmt hat”</w:t>
      </w:r>
      <w:r>
        <w:t xml:space="preserve"> (§ 31(5) NSchG). The DSK’s general formulation is </w:t>
      </w:r>
      <w:r>
        <w:rPr>
          <w:i/>
          <w:iCs/>
        </w:rPr>
        <w:t>“Maßgeblich ist, welche Stelle über den grundsätzlichen Einsatz … und die näheren Umstände der Umsetzung verantwortlich entscheidet.”</w:t>
      </w:r>
    </w:p>
    <w:p w14:paraId="59A4996F" w14:textId="77777777" w:rsidR="0090768F" w:rsidRDefault="00000000">
      <w:pPr>
        <w:pStyle w:val="BodyText"/>
      </w:pPr>
      <w:r>
        <w:t xml:space="preserve">Note the </w:t>
      </w:r>
      <w:r>
        <w:rPr>
          <w:b/>
          <w:bCs/>
        </w:rPr>
        <w:t>Schulträger split</w:t>
      </w:r>
      <w:r>
        <w:t xml:space="preserve">: the Schulträger (municipality) supplies the </w:t>
      </w:r>
      <w:r>
        <w:rPr>
          <w:i/>
          <w:iCs/>
        </w:rPr>
        <w:t>äußere Schulangelegenheiten</w:t>
      </w:r>
      <w:r>
        <w:t xml:space="preserve"> — buildings, hardware, network — while teaching and assessment sit with the school and the Land. </w:t>
      </w:r>
      <w:r>
        <w:rPr>
          <w:b/>
          <w:bCs/>
        </w:rPr>
        <w:t>We are squarely an inner matter; the Schulträger is not the counterparty even though it may own the devices.</w:t>
      </w:r>
      <w:r>
        <w:t xml:space="preserve"> Getting this wrong in a sales conversation is a common and costly error.</w:t>
      </w:r>
    </w:p>
    <w:p w14:paraId="1A9F1EBA" w14:textId="77777777" w:rsidR="0090768F" w:rsidRDefault="00000000">
      <w:pPr>
        <w:pStyle w:val="BodyText"/>
      </w:pPr>
      <w:r>
        <w:rPr>
          <w:b/>
          <w:bCs/>
        </w:rPr>
        <w:t>The teacher is inside the controller, not a controller.</w:t>
      </w:r>
      <w:r>
        <w:t xml:space="preserve"> A teacher is a </w:t>
      </w:r>
      <w:r>
        <w:rPr>
          <w:i/>
          <w:iCs/>
        </w:rPr>
        <w:t>Beschäftigter</w:t>
      </w:r>
      <w:r>
        <w:t xml:space="preserve"> under Art. 29 GDPR, acting on instructions. Three consequences:</w:t>
      </w:r>
    </w:p>
    <w:p w14:paraId="656A9285" w14:textId="77777777" w:rsidR="0090768F" w:rsidRDefault="00000000">
      <w:pPr>
        <w:pStyle w:val="Compact"/>
        <w:numPr>
          <w:ilvl w:val="0"/>
          <w:numId w:val="9"/>
        </w:numPr>
      </w:pPr>
      <w:r>
        <w:rPr>
          <w:b/>
          <w:bCs/>
        </w:rPr>
        <w:t>A teacher cannot conclude an Art. 28 agreement.</w:t>
      </w:r>
      <w:r>
        <w:t xml:space="preserve"> A processing agreement binds the controller; a teacher without </w:t>
      </w:r>
      <w:r>
        <w:rPr>
          <w:i/>
          <w:iCs/>
        </w:rPr>
        <w:t>Vertretungsmacht</w:t>
      </w:r>
      <w:r>
        <w:t xml:space="preserve"> cannot bind the school or the Land. A click-wrap “AVV” accepted by a teacher is void as against the controller — which leaves the transfer of pupil data to us with </w:t>
      </w:r>
      <w:r>
        <w:rPr>
          <w:b/>
          <w:bCs/>
        </w:rPr>
        <w:t>no Art. 28 basis at all</w:t>
      </w:r>
      <w:r>
        <w:t>, i.e. an unlawful disclosure to a third party rather than processing on behalf.</w:t>
      </w:r>
    </w:p>
    <w:p w14:paraId="4483E70F" w14:textId="77777777" w:rsidR="0090768F" w:rsidRDefault="00000000">
      <w:pPr>
        <w:pStyle w:val="Compact"/>
        <w:numPr>
          <w:ilvl w:val="0"/>
          <w:numId w:val="9"/>
        </w:numPr>
      </w:pPr>
      <w:r>
        <w:rPr>
          <w:b/>
          <w:bCs/>
        </w:rPr>
        <w:t>Verbot mit Erlaubnisvorbehalt.</w:t>
      </w:r>
      <w:r>
        <w:t xml:space="preserve"> The ordinances enumerate permitted data and permitted processing. Anything outside is prohibited unless separately justified, and a teacher cannot self-authorise.</w:t>
      </w:r>
    </w:p>
    <w:p w14:paraId="13441620" w14:textId="77777777" w:rsidR="0090768F" w:rsidRDefault="00000000">
      <w:pPr>
        <w:pStyle w:val="Compact"/>
        <w:numPr>
          <w:ilvl w:val="0"/>
          <w:numId w:val="9"/>
        </w:numPr>
      </w:pPr>
      <w:r>
        <w:rPr>
          <w:b/>
          <w:bCs/>
        </w:rPr>
        <w:t>Private-device processing requires written authorisation</w:t>
      </w:r>
      <w:r>
        <w:t xml:space="preserve"> by the Schulleitung, with an Art. 30 record and adequate access protection (NRW); in Bavaria processing for school purposes is in principle permitted only on school devices.</w:t>
      </w:r>
    </w:p>
    <w:p w14:paraId="36117DC7" w14:textId="77777777" w:rsidR="0090768F" w:rsidRDefault="00000000">
      <w:pPr>
        <w:pStyle w:val="FirstParagraph"/>
      </w:pPr>
      <w:r>
        <w:t xml:space="preserve">The DSK’s 2018 </w:t>
      </w:r>
      <w:r>
        <w:rPr>
          <w:i/>
          <w:iCs/>
        </w:rPr>
        <w:t>Orientierungshilfe Online-Lernplattformen</w:t>
      </w:r>
      <w:r>
        <w:t xml:space="preserve"> is the most directly on-point supervisory text:</w:t>
      </w:r>
    </w:p>
    <w:p w14:paraId="5812FEF4" w14:textId="77777777" w:rsidR="0090768F" w:rsidRDefault="00000000">
      <w:pPr>
        <w:pStyle w:val="BlockText"/>
      </w:pPr>
      <w:r>
        <w:rPr>
          <w:i/>
          <w:iCs/>
        </w:rPr>
        <w:lastRenderedPageBreak/>
        <w:t>“Lehrende dürfen im Rahmen der Freiheit der Gestaltung des Unterrichts nur insoweit Online-Lernplattformen im Unterricht einsetzen, als die Schule oder die Schulaufsicht über den Einsatz der jeweiligen Online-Lernplattform entschieden hat.”</w:t>
      </w:r>
    </w:p>
    <w:p w14:paraId="6BCBB14D" w14:textId="77777777" w:rsidR="0090768F" w:rsidRDefault="00000000">
      <w:pPr>
        <w:pStyle w:val="FirstParagraph"/>
      </w:pPr>
      <w:r>
        <w:rPr>
          <w:b/>
          <w:bCs/>
        </w:rPr>
        <w:t>Personal exposure.</w:t>
      </w:r>
      <w:r>
        <w:t xml:space="preserve"> Grades and pupil assessments fall under the official-secrecy duty (§ 37 BeamtStG for Beamte, equivalent contractual duties otherwise). Disclosure to an unauthorised third party is a breach of duty and, at the criminal margin, engages </w:t>
      </w:r>
      <w:r>
        <w:rPr>
          <w:b/>
          <w:bCs/>
        </w:rPr>
        <w:t>§ 203(2) StGB</w:t>
      </w:r>
      <w:r>
        <w:t xml:space="preserve">. In NRW, § 10 VO-DV I additionally contains an </w:t>
      </w:r>
      <w:r>
        <w:rPr>
          <w:i/>
          <w:iCs/>
        </w:rPr>
        <w:t>Ordnungswidrigkeiten</w:t>
      </w:r>
      <w:r>
        <w:t xml:space="preserve"> provision.</w:t>
      </w:r>
    </w:p>
    <w:p w14:paraId="005DCEF0" w14:textId="77777777" w:rsidR="0090768F" w:rsidRDefault="00000000">
      <w:pPr>
        <w:pStyle w:val="BodyText"/>
      </w:pPr>
      <w:r>
        <w:rPr>
          <w:b/>
          <w:bCs/>
        </w:rPr>
        <w:t>Verdict.</w:t>
      </w:r>
      <w:r>
        <w:t xml:space="preserve"> A go-to-market that quietly relies on individual teachers signing up transfers the company’s regulatory risk onto its own users. That is a legal problem, a reputational problem, and the kind of thing that ends badly in public. </w:t>
      </w:r>
      <w:r>
        <w:rPr>
          <w:b/>
          <w:bCs/>
        </w:rPr>
        <w:t>Do not ship the teacher-direct model with real pupil scripts.</w:t>
      </w:r>
    </w:p>
    <w:p w14:paraId="29D87952" w14:textId="77777777" w:rsidR="0090768F" w:rsidRDefault="00000000">
      <w:pPr>
        <w:pStyle w:val="Heading3"/>
      </w:pPr>
      <w:bookmarkStart w:id="47" w:name="X3b1e42829ab14f458c41d28445a9cf0ffc4fdca"/>
      <w:bookmarkEnd w:id="46"/>
      <w:r>
        <w:t>7.2 Does anonymisation rescue it? Almost certainly not</w:t>
      </w:r>
    </w:p>
    <w:p w14:paraId="70B3181A" w14:textId="77777777" w:rsidR="0090768F" w:rsidRDefault="00000000">
      <w:pPr>
        <w:pStyle w:val="FirstParagraph"/>
      </w:pPr>
      <w:r>
        <w:t>The theory is sound — fully anonymised scripts, no identifiers, teacher acting as a private person — but the execution fails on handwriting.</w:t>
      </w:r>
    </w:p>
    <w:p w14:paraId="21B09974" w14:textId="77777777" w:rsidR="0090768F" w:rsidRDefault="00000000">
      <w:pPr>
        <w:pStyle w:val="Compact"/>
        <w:numPr>
          <w:ilvl w:val="0"/>
          <w:numId w:val="10"/>
        </w:numPr>
      </w:pPr>
      <w:r>
        <w:rPr>
          <w:b/>
          <w:bCs/>
        </w:rPr>
        <w:t>Handwriting is a persistent, individual, re-identifying trait.</w:t>
      </w:r>
      <w:r>
        <w:t xml:space="preserve"> Stripping the name does not anonymise the image. Within a class of 25–30 the hand alone identifies, and the recipient of the output is the teacher, who knows every hand in the room.</w:t>
      </w:r>
    </w:p>
    <w:p w14:paraId="0EFBC24C" w14:textId="77777777" w:rsidR="0090768F" w:rsidRDefault="00000000">
      <w:pPr>
        <w:pStyle w:val="Compact"/>
        <w:numPr>
          <w:ilvl w:val="0"/>
          <w:numId w:val="10"/>
        </w:numPr>
      </w:pPr>
      <w:r>
        <w:rPr>
          <w:b/>
          <w:bCs/>
        </w:rPr>
        <w:t>Recital 26 asks whether identification is reasonably likely for anyone, including the recipient.</w:t>
      </w:r>
      <w:r>
        <w:t xml:space="preserve"> Here identification is not merely likely; it is the purpose. The DKJS memorandum reportedly makes the same point: the teacher re-identifies at the moment of awarding the grade.</w:t>
      </w:r>
    </w:p>
    <w:p w14:paraId="6B599833" w14:textId="77777777" w:rsidR="0090768F" w:rsidRDefault="00000000">
      <w:pPr>
        <w:pStyle w:val="Compact"/>
        <w:numPr>
          <w:ilvl w:val="0"/>
          <w:numId w:val="10"/>
        </w:numPr>
      </w:pPr>
      <w:r>
        <w:rPr>
          <w:b/>
          <w:bCs/>
        </w:rPr>
        <w:t>Content re-identifies.</w:t>
      </w:r>
      <w:r>
        <w:t xml:space="preserve"> Essays contain personal detail; mathematics working contains idiosyncratic errors.</w:t>
      </w:r>
    </w:p>
    <w:p w14:paraId="6730DE60" w14:textId="77777777" w:rsidR="0090768F" w:rsidRDefault="00000000">
      <w:pPr>
        <w:pStyle w:val="Compact"/>
        <w:numPr>
          <w:ilvl w:val="0"/>
          <w:numId w:val="10"/>
        </w:numPr>
      </w:pPr>
      <w:r>
        <w:rPr>
          <w:b/>
          <w:bCs/>
        </w:rPr>
        <w:t>Art. 9 overlay.</w:t>
      </w:r>
      <w:r>
        <w:t xml:space="preserve"> Handwriting and error patterns can disclose dyslexia, dyscalculia or motor impairment — health data, intended or not.</w:t>
      </w:r>
    </w:p>
    <w:p w14:paraId="58D000D6" w14:textId="77777777" w:rsidR="0090768F" w:rsidRDefault="00000000">
      <w:pPr>
        <w:pStyle w:val="FirstParagraph"/>
      </w:pPr>
      <w:r>
        <w:rPr>
          <w:b/>
          <w:bCs/>
        </w:rPr>
        <w:t>The narrow version that does work, and should be built:</w:t>
      </w:r>
      <w:r>
        <w:t xml:space="preserve"> typed input with all identifiers removed and no per-pupil linkage; and, for the teacher acting privately, rubric drafting, model-answer generation, item design and calibration on synthetic scripts. </w:t>
      </w:r>
      <w:r>
        <w:rPr>
          <w:b/>
          <w:bCs/>
        </w:rPr>
        <w:t>No real pupil work.</w:t>
      </w:r>
      <w:r>
        <w:t xml:space="preserve"> That is a genuine, lawful, sellable product — it is simply not the one described in the deck.</w:t>
      </w:r>
    </w:p>
    <w:p w14:paraId="3EBCE42A" w14:textId="77777777" w:rsidR="0090768F" w:rsidRDefault="00000000">
      <w:pPr>
        <w:pStyle w:val="Heading3"/>
      </w:pPr>
      <w:bookmarkStart w:id="48" w:name="united-kingdom"/>
      <w:bookmarkEnd w:id="47"/>
      <w:r>
        <w:t>7.3 United Kingdom</w:t>
      </w:r>
    </w:p>
    <w:p w14:paraId="6F89F19A" w14:textId="77777777" w:rsidR="0090768F" w:rsidRDefault="00000000">
      <w:pPr>
        <w:pStyle w:val="FirstParagraph"/>
      </w:pPr>
      <w:r>
        <w:t xml:space="preserve">Same destination, slightly different route. The controller is the </w:t>
      </w:r>
      <w:r>
        <w:rPr>
          <w:b/>
          <w:bCs/>
        </w:rPr>
        <w:t>governing body</w:t>
      </w:r>
      <w:r>
        <w:t xml:space="preserve"> (maintained school), the </w:t>
      </w:r>
      <w:r>
        <w:rPr>
          <w:b/>
          <w:bCs/>
        </w:rPr>
        <w:t>academy trust</w:t>
      </w:r>
      <w:r>
        <w:t xml:space="preserve"> (academies — the trust signs, not the school), the institution (independent, FE, HE), and in </w:t>
      </w:r>
      <w:r>
        <w:rPr>
          <w:b/>
          <w:bCs/>
        </w:rPr>
        <w:t>Scotland the local authority</w:t>
      </w:r>
      <w:r>
        <w:t xml:space="preserve">. DfE: </w:t>
      </w:r>
      <w:r>
        <w:rPr>
          <w:i/>
          <w:iCs/>
        </w:rPr>
        <w:t>“the school or the multi-academy trust is the data controller”</w:t>
      </w:r>
      <w:r>
        <w:t xml:space="preserve">; </w:t>
      </w:r>
      <w:r>
        <w:rPr>
          <w:i/>
          <w:iCs/>
        </w:rPr>
        <w:t>“the responsibility and accountability for compliance sits with governors and trustees.”</w:t>
      </w:r>
    </w:p>
    <w:p w14:paraId="1A0692B0" w14:textId="77777777" w:rsidR="0090768F" w:rsidRDefault="00000000">
      <w:pPr>
        <w:pStyle w:val="BodyText"/>
      </w:pPr>
      <w:r>
        <w:t xml:space="preserve">A teacher uploading scripts to an unapproved tool is processing outside the controller’s documented instructions. The school remains liable; there is no documented lawful basis </w:t>
      </w:r>
      <w:r>
        <w:lastRenderedPageBreak/>
        <w:t xml:space="preserve">for that route, no DPIA, no Art. 28 contract, and the privacy notice does not cover it — so Arts. 5(1)(a), 5(2), 28, 30 and 35 are breached at once, and Art. 9 has no condition. </w:t>
      </w:r>
      <w:r>
        <w:rPr>
          <w:b/>
          <w:bCs/>
        </w:rPr>
        <w:t>If the assessment is coursework or non-examination assessment, it is additionally a JCQ centre-malpractice matter</w:t>
      </w:r>
      <w:r>
        <w:t xml:space="preserve">, not merely a data matter, because JCQ’s Instructions require that </w:t>
      </w:r>
      <w:r>
        <w:rPr>
          <w:i/>
          <w:iCs/>
        </w:rPr>
        <w:t>“Teachers must not use artificial intelligence as the sole means of marking candidates’ work”</w:t>
      </w:r>
      <w:r>
        <w:t>.</w:t>
      </w:r>
    </w:p>
    <w:p w14:paraId="09363997" w14:textId="77777777" w:rsidR="0090768F" w:rsidRDefault="00000000">
      <w:pPr>
        <w:pStyle w:val="BodyText"/>
      </w:pPr>
      <w:r>
        <w:t xml:space="preserve">The guidance is explicit to staff. DfE tells them to </w:t>
      </w:r>
      <w:r>
        <w:rPr>
          <w:i/>
          <w:iCs/>
        </w:rPr>
        <w:t>“check that the type of tool being used is approved by your school”</w:t>
      </w:r>
      <w:r>
        <w:t xml:space="preserve"> and to consult the DPO before entering pupil personal data, warning that doing so </w:t>
      </w:r>
      <w:r>
        <w:rPr>
          <w:i/>
          <w:iCs/>
        </w:rPr>
        <w:t>“could result in a data breach”</w:t>
      </w:r>
      <w:r>
        <w:t xml:space="preserve">. Scotland’s guardrails stop the teacher dead: the checklist asks </w:t>
      </w:r>
      <w:r>
        <w:rPr>
          <w:i/>
          <w:iCs/>
        </w:rPr>
        <w:t>“Is the tool approved for use by my local authority”</w:t>
      </w:r>
      <w:r>
        <w:t xml:space="preserve"> and instructs that if the answer is no or don’t know, </w:t>
      </w:r>
      <w:r>
        <w:rPr>
          <w:i/>
          <w:iCs/>
        </w:rPr>
        <w:t>“you should not use AI for this purpose”</w:t>
      </w:r>
      <w:r>
        <w:t>. Northern Ireland is absolute — only two GenAI tools are approved within the EdIS/C2k service (Microsoft Copilot for Office 365 and Google Gemini for Education, both with EA-completed DPIAs), anything else requires a DPIA and DPO consultation, and staff must complete mandatory training first. Wales requires a DPIA and DPO consultation before deploying any AI tool.</w:t>
      </w:r>
    </w:p>
    <w:p w14:paraId="004C0C8F" w14:textId="77777777" w:rsidR="0090768F" w:rsidRDefault="00000000">
      <w:pPr>
        <w:pStyle w:val="BodyText"/>
      </w:pPr>
      <w:r>
        <w:rPr>
          <w:b/>
          <w:bCs/>
        </w:rPr>
        <w:t>Our own exposure is larger in the UK than the formal analysis suggests</w:t>
      </w:r>
      <w:r>
        <w:t xml:space="preserve">, because of the ICO’s </w:t>
      </w:r>
      <w:r>
        <w:rPr>
          <w:i/>
          <w:iCs/>
        </w:rPr>
        <w:t>Edtech examined</w:t>
      </w:r>
      <w:r>
        <w:t xml:space="preserve"> audit (24 June 2026, 28 providers reaching an estimated 70–90%+ of UK schools, 596 recommendations, 98% accepted). Its headline statement is the one that matters: </w:t>
      </w:r>
      <w:r>
        <w:rPr>
          <w:i/>
          <w:iCs/>
        </w:rPr>
        <w:t>“If you determine the purposes and means of processing, you are a controller, regardless of how any contract describes your role.”</w:t>
      </w:r>
      <w:r>
        <w:t xml:space="preserve"> </w:t>
      </w:r>
      <w:r>
        <w:rPr>
          <w:b/>
          <w:bCs/>
        </w:rPr>
        <w:t>A self-service tier accepting pupil scripts without a school contract puts us in controller territory with no lawful basis and brings the Children’s code into play in full.</w:t>
      </w:r>
    </w:p>
    <w:p w14:paraId="008A6DFE" w14:textId="77777777" w:rsidR="0090768F" w:rsidRDefault="00000000">
      <w:pPr>
        <w:pStyle w:val="Heading3"/>
      </w:pPr>
      <w:bookmarkStart w:id="49" w:name="united-states"/>
      <w:bookmarkEnd w:id="48"/>
      <w:r>
        <w:t>7.4 United States</w:t>
      </w:r>
    </w:p>
    <w:p w14:paraId="59AA6AE9" w14:textId="77777777" w:rsidR="0090768F" w:rsidRDefault="00000000">
      <w:pPr>
        <w:pStyle w:val="FirstParagraph"/>
      </w:pPr>
      <w:r>
        <w:t xml:space="preserve">The LEA or institution holds the education records; the teacher is a school official </w:t>
      </w:r>
      <w:r>
        <w:rPr>
          <w:i/>
          <w:iCs/>
        </w:rPr>
        <w:t>within</w:t>
      </w:r>
      <w:r>
        <w:t xml:space="preserve"> the institution, with no authority to disclose them outward. A teacher uploading scripts to an unapproved vendor is making a </w:t>
      </w:r>
      <w:r>
        <w:rPr>
          <w:b/>
          <w:bCs/>
        </w:rPr>
        <w:t>disclosure</w:t>
      </w:r>
      <w:r>
        <w:t xml:space="preserve"> the institution has not authorised.</w:t>
      </w:r>
    </w:p>
    <w:p w14:paraId="79D45959" w14:textId="77777777" w:rsidR="0090768F" w:rsidRDefault="00000000">
      <w:pPr>
        <w:pStyle w:val="BodyText"/>
      </w:pPr>
      <w:r>
        <w:t>The school-official exception structurally cannot be satisfied by a teacher’s click:</w:t>
      </w:r>
    </w:p>
    <w:tbl>
      <w:tblPr>
        <w:tblStyle w:val="Table"/>
        <w:tblW w:w="5000" w:type="pct"/>
        <w:tblLook w:val="0020" w:firstRow="1" w:lastRow="0" w:firstColumn="0" w:lastColumn="0" w:noHBand="0" w:noVBand="0"/>
      </w:tblPr>
      <w:tblGrid>
        <w:gridCol w:w="4089"/>
        <w:gridCol w:w="5271"/>
      </w:tblGrid>
      <w:tr w:rsidR="0090768F" w14:paraId="1571F76D"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6274B5A6" w14:textId="77777777" w:rsidR="0090768F" w:rsidRDefault="00000000">
            <w:pPr>
              <w:pStyle w:val="Compact"/>
            </w:pPr>
            <w:r>
              <w:t>Condition</w:t>
            </w:r>
          </w:p>
        </w:tc>
        <w:tc>
          <w:tcPr>
            <w:tcW w:w="0" w:type="auto"/>
          </w:tcPr>
          <w:p w14:paraId="32698722" w14:textId="77777777" w:rsidR="0090768F" w:rsidRDefault="00000000">
            <w:pPr>
              <w:pStyle w:val="Compact"/>
            </w:pPr>
            <w:r>
              <w:t>Can a teacher’s acceptance satisfy it?</w:t>
            </w:r>
          </w:p>
        </w:tc>
      </w:tr>
      <w:tr w:rsidR="0090768F" w14:paraId="4CA455F2" w14:textId="77777777">
        <w:tc>
          <w:tcPr>
            <w:tcW w:w="0" w:type="auto"/>
          </w:tcPr>
          <w:p w14:paraId="502DBC6E" w14:textId="77777777" w:rsidR="0090768F" w:rsidRDefault="00000000">
            <w:pPr>
              <w:pStyle w:val="Compact"/>
            </w:pPr>
            <w:r>
              <w:t>34 CFR § 99.31(a)(1)(i)(B)(1) — performs a service the institution would otherwise use employees for</w:t>
            </w:r>
          </w:p>
        </w:tc>
        <w:tc>
          <w:tcPr>
            <w:tcW w:w="0" w:type="auto"/>
          </w:tcPr>
          <w:p w14:paraId="05A2ABC5" w14:textId="77777777" w:rsidR="0090768F" w:rsidRDefault="00000000">
            <w:pPr>
              <w:pStyle w:val="Compact"/>
            </w:pPr>
            <w:r>
              <w:t>Yes, in substance</w:t>
            </w:r>
          </w:p>
        </w:tc>
      </w:tr>
      <w:tr w:rsidR="0090768F" w14:paraId="72E3C622" w14:textId="77777777">
        <w:tc>
          <w:tcPr>
            <w:tcW w:w="0" w:type="auto"/>
          </w:tcPr>
          <w:p w14:paraId="5781F34A" w14:textId="77777777" w:rsidR="0090768F" w:rsidRDefault="00000000">
            <w:pPr>
              <w:pStyle w:val="Compact"/>
            </w:pPr>
            <w:r>
              <w:t xml:space="preserve">§ 99.31(a)(1)(i)(B)(2) — </w:t>
            </w:r>
            <w:r>
              <w:rPr>
                <w:b/>
                <w:bCs/>
              </w:rPr>
              <w:t>under the direct control of the institution</w:t>
            </w:r>
            <w:r>
              <w:t xml:space="preserve"> as to use and maintenance of records</w:t>
            </w:r>
          </w:p>
        </w:tc>
        <w:tc>
          <w:tcPr>
            <w:tcW w:w="0" w:type="auto"/>
          </w:tcPr>
          <w:p w14:paraId="2F5F3793" w14:textId="77777777" w:rsidR="0090768F" w:rsidRDefault="00000000">
            <w:pPr>
              <w:pStyle w:val="Compact"/>
            </w:pPr>
            <w:r>
              <w:rPr>
                <w:b/>
                <w:bCs/>
              </w:rPr>
              <w:t>No.</w:t>
            </w:r>
            <w:r>
              <w:t xml:space="preserve"> A consumer ToS is drafted by the vendor and usually unilaterally amendable; ED’s own guidance says unilateral amendment </w:t>
            </w:r>
            <w:r>
              <w:rPr>
                <w:i/>
                <w:iCs/>
              </w:rPr>
              <w:t>“makes it difficult for a school or district to demonstrate direct control”</w:t>
            </w:r>
          </w:p>
        </w:tc>
      </w:tr>
      <w:tr w:rsidR="0090768F" w14:paraId="3ADD6CDE" w14:textId="77777777">
        <w:tc>
          <w:tcPr>
            <w:tcW w:w="0" w:type="auto"/>
          </w:tcPr>
          <w:p w14:paraId="27350E59" w14:textId="77777777" w:rsidR="0090768F" w:rsidRDefault="00000000">
            <w:pPr>
              <w:pStyle w:val="Compact"/>
            </w:pPr>
            <w:r>
              <w:t>§ 99.31(a)(1)(i)(B)(3) — subject to the § 99.33(a) use and redisclosure limits</w:t>
            </w:r>
          </w:p>
        </w:tc>
        <w:tc>
          <w:tcPr>
            <w:tcW w:w="0" w:type="auto"/>
          </w:tcPr>
          <w:p w14:paraId="397439E2" w14:textId="77777777" w:rsidR="0090768F" w:rsidRDefault="00000000">
            <w:pPr>
              <w:pStyle w:val="Compact"/>
            </w:pPr>
            <w:r>
              <w:t>Only if the ToS says so; consumer terms usually assert the opposite</w:t>
            </w:r>
          </w:p>
        </w:tc>
      </w:tr>
      <w:tr w:rsidR="0090768F" w14:paraId="0CF3541C" w14:textId="77777777">
        <w:tc>
          <w:tcPr>
            <w:tcW w:w="0" w:type="auto"/>
          </w:tcPr>
          <w:p w14:paraId="5BA64B5A" w14:textId="77777777" w:rsidR="0090768F" w:rsidRDefault="00000000">
            <w:pPr>
              <w:pStyle w:val="Compact"/>
            </w:pPr>
            <w:r>
              <w:lastRenderedPageBreak/>
              <w:t xml:space="preserve">§ 99.7(a)(3)(iii) — institution has specified school-official criteria in its </w:t>
            </w:r>
            <w:r>
              <w:rPr>
                <w:b/>
                <w:bCs/>
              </w:rPr>
              <w:t>annual notification</w:t>
            </w:r>
          </w:p>
        </w:tc>
        <w:tc>
          <w:tcPr>
            <w:tcW w:w="0" w:type="auto"/>
          </w:tcPr>
          <w:p w14:paraId="15A59935" w14:textId="77777777" w:rsidR="0090768F" w:rsidRDefault="00000000">
            <w:pPr>
              <w:pStyle w:val="Compact"/>
            </w:pPr>
            <w:r>
              <w:rPr>
                <w:b/>
                <w:bCs/>
              </w:rPr>
              <w:t>No.</w:t>
            </w:r>
            <w:r>
              <w:t xml:space="preserve"> A teacher cannot amend the district’s FERPA notice</w:t>
            </w:r>
          </w:p>
        </w:tc>
      </w:tr>
      <w:tr w:rsidR="0090768F" w14:paraId="7E16BBB3" w14:textId="77777777">
        <w:tc>
          <w:tcPr>
            <w:tcW w:w="0" w:type="auto"/>
          </w:tcPr>
          <w:p w14:paraId="6DEE5F15" w14:textId="77777777" w:rsidR="0090768F" w:rsidRDefault="00000000">
            <w:pPr>
              <w:pStyle w:val="Compact"/>
            </w:pPr>
            <w:r>
              <w:t>§ 99.31(a)(1)(ii) — institution uses reasonable methods to limit access</w:t>
            </w:r>
          </w:p>
        </w:tc>
        <w:tc>
          <w:tcPr>
            <w:tcW w:w="0" w:type="auto"/>
          </w:tcPr>
          <w:p w14:paraId="6CC28936" w14:textId="77777777" w:rsidR="0090768F" w:rsidRDefault="00000000">
            <w:pPr>
              <w:pStyle w:val="Compact"/>
            </w:pPr>
            <w:r>
              <w:rPr>
                <w:b/>
                <w:bCs/>
              </w:rPr>
              <w:t>No.</w:t>
            </w:r>
            <w:r>
              <w:t xml:space="preserve"> The institution does not know the tool exists</w:t>
            </w:r>
          </w:p>
        </w:tc>
      </w:tr>
    </w:tbl>
    <w:p w14:paraId="492BAF33" w14:textId="77777777" w:rsidR="0090768F" w:rsidRDefault="00000000">
      <w:pPr>
        <w:pStyle w:val="BodyText"/>
      </w:pPr>
      <w:r>
        <w:rPr>
          <w:b/>
          <w:bCs/>
        </w:rPr>
        <w:t>COPPA compounds it for under-13s.</w:t>
      </w:r>
      <w:r>
        <w:t xml:space="preserve"> The FTC’s school-authorisation position is a policy statement, not a codified exception — the Commission proposed one in 2024 and then withdrew it pending an ED FERPA rulemaking that has not happened. Its stated principle is that </w:t>
      </w:r>
      <w:r>
        <w:rPr>
          <w:i/>
          <w:iCs/>
        </w:rPr>
        <w:t>“ed tech providers cannot outsource compliance responsibilities to schools, or force students to choose between their privacy and education”</w:t>
      </w:r>
      <w:r>
        <w:t>, and the Edmodo order defines “School” in the singular. A vendor that takes a teacher’s word for school authorisation is doing what Edmodo did.</w:t>
      </w:r>
    </w:p>
    <w:p w14:paraId="2BED0408" w14:textId="77777777" w:rsidR="0090768F" w:rsidRDefault="00000000">
      <w:pPr>
        <w:pStyle w:val="BodyText"/>
      </w:pPr>
      <w:r>
        <w:rPr>
          <w:b/>
          <w:bCs/>
        </w:rPr>
        <w:t>State law is where the teeth are.</w:t>
      </w:r>
      <w:r>
        <w:t xml:space="preserve"> California SOPIPA binds the </w:t>
      </w:r>
      <w:r>
        <w:rPr>
          <w:i/>
          <w:iCs/>
        </w:rPr>
        <w:t>operator</w:t>
      </w:r>
      <w:r>
        <w:t xml:space="preserve"> directly with no contract required; Illinois SOPPA requires a written agreement </w:t>
      </w:r>
      <w:r>
        <w:rPr>
          <w:b/>
          <w:bCs/>
        </w:rPr>
        <w:t>before</w:t>
      </w:r>
      <w:r>
        <w:t xml:space="preserve"> receiving covered information and public posting of it — so the absence of a posted agreement for a district whose teachers are using our product is publicly discoverable evidence. New York, Connecticut, Colorado and others impose prescribed clauses and, in Connecticut, publication within five business days.</w:t>
      </w:r>
    </w:p>
    <w:p w14:paraId="3EC06BD7" w14:textId="77777777" w:rsidR="0090768F" w:rsidRDefault="00000000">
      <w:pPr>
        <w:pStyle w:val="BodyText"/>
      </w:pPr>
      <w:r>
        <w:rPr>
          <w:b/>
          <w:bCs/>
        </w:rPr>
        <w:t>The practical reality, stated plainly rather than wished away.</w:t>
      </w:r>
      <w:r>
        <w:t xml:space="preserve"> US districts accessed an average of </w:t>
      </w:r>
      <w:r>
        <w:rPr>
          <w:b/>
          <w:bCs/>
        </w:rPr>
        <w:t>2,982 distinct edtech tools</w:t>
      </w:r>
      <w:r>
        <w:t xml:space="preserve"> in 2024–25, with educators accessing an average of 1,045 monthly. No district vets three thousand tools. The gap between what is accessed and what is contracted is structural. Our exposure in that gap is: holding unlawfully disclosed records with no deletion instruction from anyone with authority; direct operator liability under state statutes regardless of who clicked; COPPA liability for under-13 data with no valid authorisation; and discovery at the worst possible moment — a parent complaint or a breach. </w:t>
      </w:r>
      <w:r>
        <w:rPr>
          <w:b/>
          <w:bCs/>
        </w:rPr>
        <w:t>And it poisons the enterprise sale: a district that discovers unapproved use issues a cease-and-desist and adds us to a blocklist, often one shared across a state alliance.</w:t>
      </w:r>
    </w:p>
    <w:p w14:paraId="76F5F523" w14:textId="77777777" w:rsidR="0090768F" w:rsidRDefault="00000000">
      <w:pPr>
        <w:pStyle w:val="Heading3"/>
      </w:pPr>
      <w:bookmarkStart w:id="50" w:name="Xb7f23ec4ab1d92ca8f70a4c45a174c52e93c86b"/>
      <w:bookmarkEnd w:id="49"/>
      <w:r>
        <w:t>7.5 Recommendation — one architecture for all three markets</w:t>
      </w:r>
    </w:p>
    <w:p w14:paraId="54CA3E58" w14:textId="77777777" w:rsidR="0090768F" w:rsidRDefault="00000000">
      <w:pPr>
        <w:pStyle w:val="Compact"/>
        <w:numPr>
          <w:ilvl w:val="0"/>
          <w:numId w:val="11"/>
        </w:numPr>
      </w:pPr>
      <w:r>
        <w:rPr>
          <w:b/>
          <w:bCs/>
        </w:rPr>
        <w:t>Never offer self-service sign-up that accepts identifiable pupil work.</w:t>
      </w:r>
      <w:r>
        <w:t xml:space="preserve"> Gate script upload behind institutional tenancy with a signed processing agreement.</w:t>
      </w:r>
    </w:p>
    <w:p w14:paraId="6DC68EE8" w14:textId="77777777" w:rsidR="0090768F" w:rsidRDefault="00000000">
      <w:pPr>
        <w:pStyle w:val="Compact"/>
        <w:numPr>
          <w:ilvl w:val="0"/>
          <w:numId w:val="11"/>
        </w:numPr>
      </w:pPr>
      <w:r>
        <w:rPr>
          <w:b/>
          <w:bCs/>
        </w:rPr>
        <w:t>Do offer a teacher tier</w:t>
      </w:r>
      <w:r>
        <w:t xml:space="preserve"> on </w:t>
      </w:r>
      <w:r>
        <w:rPr>
          <w:b/>
          <w:bCs/>
        </w:rPr>
        <w:t>synthetic or de-identified</w:t>
      </w:r>
      <w:r>
        <w:t xml:space="preserve"> material only, with pupil-identifying upload </w:t>
      </w:r>
      <w:r>
        <w:rPr>
          <w:b/>
          <w:bCs/>
        </w:rPr>
        <w:t>technically disabled</w:t>
      </w:r>
      <w:r>
        <w:t xml:space="preserve"> — not merely prohibited in the terms. This preserves bottom-up adoption, which is how edtech actually spreads, without the controllership problem. Restrict it to what is genuinely useful there: rubric drafting, model answers, item design, calibration.</w:t>
      </w:r>
    </w:p>
    <w:p w14:paraId="75654B6C" w14:textId="77777777" w:rsidR="0090768F" w:rsidRDefault="00000000">
      <w:pPr>
        <w:pStyle w:val="Compact"/>
        <w:numPr>
          <w:ilvl w:val="0"/>
          <w:numId w:val="11"/>
        </w:numPr>
      </w:pPr>
      <w:r>
        <w:rPr>
          <w:b/>
          <w:bCs/>
        </w:rPr>
        <w:t>Build the institutional conversion path into that tier:</w:t>
      </w:r>
      <w:r>
        <w:t xml:space="preserve"> a pre-filled DPIA/FRIA, a processing agreement, a data map, and the relevant market’s conformance self-assessment, one click from the teacher’s account. Make it trivially easy for the teacher to hand their DPO a signable package.</w:t>
      </w:r>
    </w:p>
    <w:p w14:paraId="4A0B52DD" w14:textId="77777777" w:rsidR="0090768F" w:rsidRDefault="00000000">
      <w:pPr>
        <w:pStyle w:val="Compact"/>
        <w:numPr>
          <w:ilvl w:val="0"/>
          <w:numId w:val="11"/>
        </w:numPr>
      </w:pPr>
      <w:r>
        <w:rPr>
          <w:b/>
          <w:bCs/>
        </w:rPr>
        <w:lastRenderedPageBreak/>
        <w:t>Verify the domain and organisation on tenancy creation</w:t>
      </w:r>
      <w:r>
        <w:t>, and require an authorising signatory who is not the requesting teacher.</w:t>
      </w:r>
    </w:p>
    <w:p w14:paraId="2F76C007" w14:textId="77777777" w:rsidR="0090768F" w:rsidRDefault="00000000">
      <w:pPr>
        <w:pStyle w:val="Compact"/>
        <w:numPr>
          <w:ilvl w:val="0"/>
          <w:numId w:val="11"/>
        </w:numPr>
      </w:pPr>
      <w:r>
        <w:rPr>
          <w:b/>
          <w:bCs/>
        </w:rPr>
        <w:t>Split the commercial offer explicitly</w:t>
      </w:r>
      <w:r>
        <w:t xml:space="preserve">: a </w:t>
      </w:r>
      <w:r>
        <w:rPr>
          <w:i/>
          <w:iCs/>
        </w:rPr>
        <w:t>Vorbereitung</w:t>
      </w:r>
      <w:r>
        <w:t xml:space="preserve"> tier (teacher-direct, no pupil data, lawful today, ships now, builds the user base) and a </w:t>
      </w:r>
      <w:r>
        <w:rPr>
          <w:i/>
          <w:iCs/>
        </w:rPr>
        <w:t>Korrekturassistenz</w:t>
      </w:r>
      <w:r>
        <w:t xml:space="preserve"> tier (institutional contract, full compliance stack). This is not a compromise — it is the only structure that lets us sell anything at all in the next twelve months while the institutional motion matures.</w:t>
      </w:r>
    </w:p>
    <w:p w14:paraId="79B19AEA" w14:textId="77777777" w:rsidR="0090768F" w:rsidRDefault="00000000">
      <w:pPr>
        <w:pStyle w:val="Heading2"/>
      </w:pPr>
      <w:bookmarkStart w:id="51" w:name="X0ba19953bef1fdbca40ee42b6bd0b533c7db76e"/>
      <w:bookmarkStart w:id="52" w:name="_Toc240060404"/>
      <w:bookmarkEnd w:id="44"/>
      <w:bookmarkEnd w:id="50"/>
      <w:r>
        <w:t>8. Question 6 — Could a Land or the Bund authorise all schools at once?</w:t>
      </w:r>
      <w:bookmarkEnd w:id="52"/>
    </w:p>
    <w:p w14:paraId="2D910310" w14:textId="77777777" w:rsidR="0090768F" w:rsidRDefault="00000000">
      <w:pPr>
        <w:pStyle w:val="Heading3"/>
      </w:pPr>
      <w:bookmarkStart w:id="53" w:name="germany-1"/>
      <w:r>
        <w:t>8.1 Germany</w:t>
      </w:r>
    </w:p>
    <w:p w14:paraId="2F2F40A0" w14:textId="77777777" w:rsidR="0090768F" w:rsidRDefault="00000000">
      <w:pPr>
        <w:pStyle w:val="FirstParagraph"/>
      </w:pPr>
      <w:r>
        <w:rPr>
          <w:b/>
          <w:bCs/>
        </w:rPr>
        <w:t>Bund: no.</w:t>
      </w:r>
      <w:r>
        <w:t xml:space="preserve"> Schools are exclusively a Länder matter under Art. 30 and Art. 70 GG. The Bund’s levers are product-side only — KI-MIG, the AI Act, the BDSG, the TDDDG.</w:t>
      </w:r>
    </w:p>
    <w:p w14:paraId="42CEFC5D" w14:textId="77777777" w:rsidR="0090768F" w:rsidRDefault="00000000">
      <w:pPr>
        <w:pStyle w:val="BodyText"/>
      </w:pPr>
      <w:r>
        <w:rPr>
          <w:b/>
          <w:bCs/>
        </w:rPr>
        <w:t>Land: yes, by five mechanisms of very different cost and speed.</w:t>
      </w:r>
    </w:p>
    <w:tbl>
      <w:tblPr>
        <w:tblStyle w:val="Table"/>
        <w:tblW w:w="5000" w:type="pct"/>
        <w:tblLook w:val="0020" w:firstRow="1" w:lastRow="0" w:firstColumn="0" w:lastColumn="0" w:noHBand="0" w:noVBand="0"/>
      </w:tblPr>
      <w:tblGrid>
        <w:gridCol w:w="365"/>
        <w:gridCol w:w="2930"/>
        <w:gridCol w:w="2175"/>
        <w:gridCol w:w="2327"/>
        <w:gridCol w:w="1563"/>
      </w:tblGrid>
      <w:tr w:rsidR="0090768F" w14:paraId="330F3ACA"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19B44525" w14:textId="77777777" w:rsidR="0090768F" w:rsidRDefault="00000000">
            <w:pPr>
              <w:pStyle w:val="Compact"/>
            </w:pPr>
            <w:r>
              <w:t>#</w:t>
            </w:r>
          </w:p>
        </w:tc>
        <w:tc>
          <w:tcPr>
            <w:tcW w:w="0" w:type="auto"/>
          </w:tcPr>
          <w:p w14:paraId="33CD4940" w14:textId="77777777" w:rsidR="0090768F" w:rsidRDefault="00000000">
            <w:pPr>
              <w:pStyle w:val="Compact"/>
            </w:pPr>
            <w:r>
              <w:t>Mechanism</w:t>
            </w:r>
          </w:p>
        </w:tc>
        <w:tc>
          <w:tcPr>
            <w:tcW w:w="0" w:type="auto"/>
          </w:tcPr>
          <w:p w14:paraId="657FE78D" w14:textId="77777777" w:rsidR="0090768F" w:rsidRDefault="00000000">
            <w:pPr>
              <w:pStyle w:val="Compact"/>
            </w:pPr>
            <w:r>
              <w:t>What it takes</w:t>
            </w:r>
          </w:p>
        </w:tc>
        <w:tc>
          <w:tcPr>
            <w:tcW w:w="0" w:type="auto"/>
          </w:tcPr>
          <w:p w14:paraId="76E2FB1D" w14:textId="77777777" w:rsidR="0090768F" w:rsidRDefault="00000000">
            <w:pPr>
              <w:pStyle w:val="Compact"/>
            </w:pPr>
            <w:r>
              <w:t>Legal effect</w:t>
            </w:r>
          </w:p>
        </w:tc>
        <w:tc>
          <w:tcPr>
            <w:tcW w:w="0" w:type="auto"/>
          </w:tcPr>
          <w:p w14:paraId="7CC88124" w14:textId="77777777" w:rsidR="0090768F" w:rsidRDefault="00000000">
            <w:pPr>
              <w:pStyle w:val="Compact"/>
            </w:pPr>
            <w:r>
              <w:t>Realistic timeline</w:t>
            </w:r>
          </w:p>
        </w:tc>
      </w:tr>
      <w:tr w:rsidR="0090768F" w14:paraId="00249EA2" w14:textId="77777777">
        <w:tc>
          <w:tcPr>
            <w:tcW w:w="0" w:type="auto"/>
          </w:tcPr>
          <w:p w14:paraId="6A4F22D5" w14:textId="77777777" w:rsidR="0090768F" w:rsidRDefault="00000000">
            <w:pPr>
              <w:pStyle w:val="Compact"/>
            </w:pPr>
            <w:r>
              <w:t>1</w:t>
            </w:r>
          </w:p>
        </w:tc>
        <w:tc>
          <w:tcPr>
            <w:tcW w:w="0" w:type="auto"/>
          </w:tcPr>
          <w:p w14:paraId="78F84235" w14:textId="77777777" w:rsidR="0090768F" w:rsidRDefault="00000000">
            <w:pPr>
              <w:pStyle w:val="Compact"/>
            </w:pPr>
            <w:r>
              <w:rPr>
                <w:b/>
                <w:bCs/>
              </w:rPr>
              <w:t>Amendment of the Landesverordnung</w:t>
            </w:r>
            <w:r>
              <w:t xml:space="preserve"> (e.g. VO-DV I NRW, DUVO BW)</w:t>
            </w:r>
          </w:p>
        </w:tc>
        <w:tc>
          <w:tcPr>
            <w:tcW w:w="0" w:type="auto"/>
          </w:tcPr>
          <w:p w14:paraId="6710DC9E" w14:textId="77777777" w:rsidR="0090768F" w:rsidRDefault="00000000">
            <w:pPr>
              <w:pStyle w:val="Compact"/>
            </w:pPr>
            <w:r>
              <w:t xml:space="preserve">Ministry drafts; in NRW </w:t>
            </w:r>
            <w:r>
              <w:rPr>
                <w:b/>
                <w:bCs/>
              </w:rPr>
              <w:t>§ 122(4) SchulG requires the consent of the Landtag education committee</w:t>
            </w:r>
            <w:r>
              <w:t>; association consultation; publication</w:t>
            </w:r>
          </w:p>
        </w:tc>
        <w:tc>
          <w:tcPr>
            <w:tcW w:w="0" w:type="auto"/>
          </w:tcPr>
          <w:p w14:paraId="0CEC92DC" w14:textId="77777777" w:rsidR="0090768F" w:rsidRDefault="00000000">
            <w:pPr>
              <w:pStyle w:val="Compact"/>
            </w:pPr>
            <w:r>
              <w:rPr>
                <w:b/>
                <w:bCs/>
              </w:rPr>
              <w:t>Strongest</w:t>
            </w:r>
            <w:r>
              <w:t xml:space="preserve"> — creates the Art. 6(1)(e)/(3) basis and extends the permitted-data catalogue</w:t>
            </w:r>
          </w:p>
        </w:tc>
        <w:tc>
          <w:tcPr>
            <w:tcW w:w="0" w:type="auto"/>
          </w:tcPr>
          <w:p w14:paraId="6ACAC641" w14:textId="77777777" w:rsidR="0090768F" w:rsidRDefault="00000000">
            <w:pPr>
              <w:pStyle w:val="Compact"/>
            </w:pPr>
            <w:r>
              <w:rPr>
                <w:b/>
                <w:bCs/>
              </w:rPr>
              <w:t>18–36 months</w:t>
            </w:r>
            <w:r>
              <w:t xml:space="preserve"> and a legislative window </w:t>
            </w:r>
            <w:r>
              <w:rPr>
                <w:i/>
                <w:iCs/>
              </w:rPr>
              <w:t>(estimate)</w:t>
            </w:r>
          </w:p>
        </w:tc>
      </w:tr>
      <w:tr w:rsidR="0090768F" w14:paraId="68B374BB" w14:textId="77777777">
        <w:tc>
          <w:tcPr>
            <w:tcW w:w="0" w:type="auto"/>
          </w:tcPr>
          <w:p w14:paraId="17E65970" w14:textId="77777777" w:rsidR="0090768F" w:rsidRDefault="00000000">
            <w:pPr>
              <w:pStyle w:val="Compact"/>
            </w:pPr>
            <w:r>
              <w:t>2</w:t>
            </w:r>
          </w:p>
        </w:tc>
        <w:tc>
          <w:tcPr>
            <w:tcW w:w="0" w:type="auto"/>
          </w:tcPr>
          <w:p w14:paraId="7B01D415" w14:textId="77777777" w:rsidR="0090768F" w:rsidRDefault="00000000">
            <w:pPr>
              <w:pStyle w:val="Compact"/>
            </w:pPr>
            <w:r>
              <w:rPr>
                <w:b/>
                <w:bCs/>
              </w:rPr>
              <w:t>Listing in a Land register / Zulassung</w:t>
            </w:r>
          </w:p>
        </w:tc>
        <w:tc>
          <w:tcPr>
            <w:tcW w:w="0" w:type="auto"/>
          </w:tcPr>
          <w:p w14:paraId="10323342" w14:textId="77777777" w:rsidR="0090768F" w:rsidRDefault="00000000">
            <w:pPr>
              <w:pStyle w:val="Compact"/>
            </w:pPr>
            <w:r>
              <w:t>Ministry decision</w:t>
            </w:r>
          </w:p>
        </w:tc>
        <w:tc>
          <w:tcPr>
            <w:tcW w:w="0" w:type="auto"/>
          </w:tcPr>
          <w:p w14:paraId="70E519CE" w14:textId="77777777" w:rsidR="0090768F" w:rsidRDefault="00000000">
            <w:pPr>
              <w:pStyle w:val="Compact"/>
            </w:pPr>
            <w:r>
              <w:t xml:space="preserve">Would be decisive — </w:t>
            </w:r>
            <w:r>
              <w:rPr>
                <w:b/>
                <w:bCs/>
              </w:rPr>
              <w:t>but the premise needs checking; see below</w:t>
            </w:r>
          </w:p>
        </w:tc>
        <w:tc>
          <w:tcPr>
            <w:tcW w:w="0" w:type="auto"/>
          </w:tcPr>
          <w:p w14:paraId="201BE1D5" w14:textId="77777777" w:rsidR="0090768F" w:rsidRDefault="00000000">
            <w:pPr>
              <w:pStyle w:val="Compact"/>
            </w:pPr>
            <w:r>
              <w:t>unknown</w:t>
            </w:r>
          </w:p>
        </w:tc>
      </w:tr>
      <w:tr w:rsidR="0090768F" w14:paraId="7BA923E9" w14:textId="77777777">
        <w:tc>
          <w:tcPr>
            <w:tcW w:w="0" w:type="auto"/>
          </w:tcPr>
          <w:p w14:paraId="4792074B" w14:textId="77777777" w:rsidR="0090768F" w:rsidRDefault="00000000">
            <w:pPr>
              <w:pStyle w:val="Compact"/>
            </w:pPr>
            <w:r>
              <w:t>3</w:t>
            </w:r>
          </w:p>
        </w:tc>
        <w:tc>
          <w:tcPr>
            <w:tcW w:w="0" w:type="auto"/>
          </w:tcPr>
          <w:p w14:paraId="482EAE86" w14:textId="77777777" w:rsidR="0090768F" w:rsidRDefault="00000000">
            <w:pPr>
              <w:pStyle w:val="Compact"/>
            </w:pPr>
            <w:r>
              <w:rPr>
                <w:b/>
                <w:bCs/>
              </w:rPr>
              <w:t>Rahmenvertrag / Landeslizenz</w:t>
            </w:r>
          </w:p>
        </w:tc>
        <w:tc>
          <w:tcPr>
            <w:tcW w:w="0" w:type="auto"/>
          </w:tcPr>
          <w:p w14:paraId="41EA2232" w14:textId="77777777" w:rsidR="0090768F" w:rsidRDefault="00000000">
            <w:pPr>
              <w:pStyle w:val="Compact"/>
            </w:pPr>
            <w:r>
              <w:t>Procurement (EU-wide tender above threshold); the Land signs the Art. 28 agreement centrally</w:t>
            </w:r>
          </w:p>
        </w:tc>
        <w:tc>
          <w:tcPr>
            <w:tcW w:w="0" w:type="auto"/>
          </w:tcPr>
          <w:p w14:paraId="4E2EB7FF" w14:textId="77777777" w:rsidR="0090768F" w:rsidRDefault="00000000">
            <w:pPr>
              <w:pStyle w:val="Compact"/>
            </w:pPr>
            <w:r>
              <w:t>Very strong in practice — solves controllership, the processing agreement, funding and legitimacy in one move</w:t>
            </w:r>
          </w:p>
        </w:tc>
        <w:tc>
          <w:tcPr>
            <w:tcW w:w="0" w:type="auto"/>
          </w:tcPr>
          <w:p w14:paraId="715597B0" w14:textId="77777777" w:rsidR="0090768F" w:rsidRDefault="00000000">
            <w:pPr>
              <w:pStyle w:val="Compact"/>
            </w:pPr>
            <w:r>
              <w:rPr>
                <w:b/>
                <w:bCs/>
              </w:rPr>
              <w:t>12–24 months</w:t>
            </w:r>
            <w:r>
              <w:t xml:space="preserve"> incl. tender </w:t>
            </w:r>
            <w:r>
              <w:rPr>
                <w:i/>
                <w:iCs/>
              </w:rPr>
              <w:t>(estimate)</w:t>
            </w:r>
          </w:p>
        </w:tc>
      </w:tr>
      <w:tr w:rsidR="0090768F" w14:paraId="6D01794D" w14:textId="77777777">
        <w:tc>
          <w:tcPr>
            <w:tcW w:w="0" w:type="auto"/>
          </w:tcPr>
          <w:p w14:paraId="22D38DEB" w14:textId="77777777" w:rsidR="0090768F" w:rsidRDefault="00000000">
            <w:pPr>
              <w:pStyle w:val="Compact"/>
            </w:pPr>
            <w:r>
              <w:t>4</w:t>
            </w:r>
          </w:p>
        </w:tc>
        <w:tc>
          <w:tcPr>
            <w:tcW w:w="0" w:type="auto"/>
          </w:tcPr>
          <w:p w14:paraId="28F835FB" w14:textId="77777777" w:rsidR="0090768F" w:rsidRDefault="00000000">
            <w:pPr>
              <w:pStyle w:val="Compact"/>
            </w:pPr>
            <w:r>
              <w:rPr>
                <w:b/>
                <w:bCs/>
              </w:rPr>
              <w:t>KMK / Bildungs-MK recommendation</w:t>
            </w:r>
          </w:p>
        </w:tc>
        <w:tc>
          <w:tcPr>
            <w:tcW w:w="0" w:type="auto"/>
          </w:tcPr>
          <w:p w14:paraId="553BAE35" w14:textId="77777777" w:rsidR="0090768F" w:rsidRDefault="00000000">
            <w:pPr>
              <w:pStyle w:val="Compact"/>
            </w:pPr>
            <w:r>
              <w:t>Political</w:t>
            </w:r>
          </w:p>
        </w:tc>
        <w:tc>
          <w:tcPr>
            <w:tcW w:w="0" w:type="auto"/>
          </w:tcPr>
          <w:p w14:paraId="6D9700CA" w14:textId="77777777" w:rsidR="0090768F" w:rsidRDefault="00000000">
            <w:pPr>
              <w:pStyle w:val="Compact"/>
            </w:pPr>
            <w:r>
              <w:rPr>
                <w:b/>
                <w:bCs/>
              </w:rPr>
              <w:t>None.</w:t>
            </w:r>
            <w:r>
              <w:t xml:space="preserve"> Cover, not authorisation (§5.11)</w:t>
            </w:r>
          </w:p>
        </w:tc>
        <w:tc>
          <w:tcPr>
            <w:tcW w:w="0" w:type="auto"/>
          </w:tcPr>
          <w:p w14:paraId="550647E8" w14:textId="77777777" w:rsidR="0090768F" w:rsidRDefault="00000000">
            <w:pPr>
              <w:pStyle w:val="Compact"/>
            </w:pPr>
            <w:r>
              <w:t>—</w:t>
            </w:r>
          </w:p>
        </w:tc>
      </w:tr>
      <w:tr w:rsidR="0090768F" w14:paraId="31905C52" w14:textId="77777777">
        <w:tc>
          <w:tcPr>
            <w:tcW w:w="0" w:type="auto"/>
          </w:tcPr>
          <w:p w14:paraId="6C977FFF" w14:textId="77777777" w:rsidR="0090768F" w:rsidRDefault="00000000">
            <w:pPr>
              <w:pStyle w:val="Compact"/>
            </w:pPr>
            <w:r>
              <w:t>5</w:t>
            </w:r>
          </w:p>
        </w:tc>
        <w:tc>
          <w:tcPr>
            <w:tcW w:w="0" w:type="auto"/>
          </w:tcPr>
          <w:p w14:paraId="0B1651C0" w14:textId="77777777" w:rsidR="0090768F" w:rsidRDefault="00000000">
            <w:pPr>
              <w:pStyle w:val="Compact"/>
            </w:pPr>
            <w:r>
              <w:rPr>
                <w:b/>
                <w:bCs/>
              </w:rPr>
              <w:t>Verwaltungsvorschrift / Handreichung / Schulleiterbrief</w:t>
            </w:r>
          </w:p>
        </w:tc>
        <w:tc>
          <w:tcPr>
            <w:tcW w:w="0" w:type="auto"/>
          </w:tcPr>
          <w:p w14:paraId="724AECD1" w14:textId="77777777" w:rsidR="0090768F" w:rsidRDefault="00000000">
            <w:pPr>
              <w:pStyle w:val="Compact"/>
            </w:pPr>
            <w:r>
              <w:t>Ministry, unilateral</w:t>
            </w:r>
          </w:p>
        </w:tc>
        <w:tc>
          <w:tcPr>
            <w:tcW w:w="0" w:type="auto"/>
          </w:tcPr>
          <w:p w14:paraId="3F6C055D" w14:textId="77777777" w:rsidR="0090768F" w:rsidRDefault="00000000">
            <w:pPr>
              <w:pStyle w:val="Compact"/>
            </w:pPr>
            <w:r>
              <w:t xml:space="preserve">Binds schools internally as an instruction; </w:t>
            </w:r>
            <w:r>
              <w:rPr>
                <w:b/>
                <w:bCs/>
              </w:rPr>
              <w:t xml:space="preserve">fastest </w:t>
            </w:r>
            <w:r>
              <w:rPr>
                <w:b/>
                <w:bCs/>
              </w:rPr>
              <w:lastRenderedPageBreak/>
              <w:t>lever by far</w:t>
            </w:r>
            <w:r>
              <w:t xml:space="preserve">; cannot create a legal basis where none exists, but can authorise use </w:t>
            </w:r>
            <w:r>
              <w:rPr>
                <w:i/>
                <w:iCs/>
              </w:rPr>
              <w:t>within</w:t>
            </w:r>
            <w:r>
              <w:t xml:space="preserve"> one</w:t>
            </w:r>
          </w:p>
        </w:tc>
        <w:tc>
          <w:tcPr>
            <w:tcW w:w="0" w:type="auto"/>
          </w:tcPr>
          <w:p w14:paraId="2E1688F1" w14:textId="77777777" w:rsidR="0090768F" w:rsidRDefault="00000000">
            <w:pPr>
              <w:pStyle w:val="Compact"/>
            </w:pPr>
            <w:r>
              <w:rPr>
                <w:b/>
                <w:bCs/>
              </w:rPr>
              <w:lastRenderedPageBreak/>
              <w:t>3–9 months</w:t>
            </w:r>
            <w:r>
              <w:t xml:space="preserve"> </w:t>
            </w:r>
            <w:r>
              <w:rPr>
                <w:i/>
                <w:iCs/>
              </w:rPr>
              <w:t>(estimate)</w:t>
            </w:r>
          </w:p>
        </w:tc>
      </w:tr>
    </w:tbl>
    <w:p w14:paraId="0A32764E" w14:textId="77777777" w:rsidR="0090768F" w:rsidRDefault="00000000">
      <w:pPr>
        <w:pStyle w:val="BodyText"/>
      </w:pPr>
      <w:r>
        <w:t xml:space="preserve">Two further gates apply to all of them: </w:t>
      </w:r>
      <w:r>
        <w:rPr>
          <w:b/>
          <w:bCs/>
        </w:rPr>
        <w:t>Hauptpersonalrat co-determination</w:t>
      </w:r>
      <w:r>
        <w:t xml:space="preserve"> at Land level (§5.8), frequently the longest pole, mitigated by arriving with a draft Dienstvereinbarung; and </w:t>
      </w:r>
      <w:r>
        <w:rPr>
          <w:b/>
          <w:bCs/>
        </w:rPr>
        <w:t>Schulkonferenz / parent representation</w:t>
      </w:r>
      <w:r>
        <w:t xml:space="preserve"> where use is mandatory for pupils — the DSK’s 2018 rule is that mandatory use of a platform can only be prescribed by or under a statute. Our teacher-side positioning helps here, but parents must still be informed and the Art. 13/14 notices updated.</w:t>
      </w:r>
    </w:p>
    <w:p w14:paraId="4CF150DF" w14:textId="77777777" w:rsidR="0090768F" w:rsidRDefault="00000000">
      <w:pPr>
        <w:pStyle w:val="BodyText"/>
      </w:pPr>
      <w:r>
        <w:rPr>
          <w:b/>
          <w:bCs/>
        </w:rPr>
        <w:t>A premise in the current plan that does not hold up.</w:t>
      </w:r>
      <w:r>
        <w:t xml:space="preserve"> The public-acceptance route is built around the NRW </w:t>
      </w:r>
      <w:r>
        <w:rPr>
          <w:i/>
          <w:iCs/>
        </w:rPr>
        <w:t>Softwarekatalog</w:t>
      </w:r>
      <w:r>
        <w:t xml:space="preserve"> / </w:t>
      </w:r>
      <w:r>
        <w:rPr>
          <w:i/>
          <w:iCs/>
        </w:rPr>
        <w:t>Verzeichnis der zur Verarbeitung zugelassenen Programme</w:t>
      </w:r>
      <w:r>
        <w:t>. That mechanism could not be confirmed to exist in that form today:</w:t>
      </w:r>
    </w:p>
    <w:p w14:paraId="60B8603D" w14:textId="77777777" w:rsidR="0090768F" w:rsidRDefault="00000000">
      <w:pPr>
        <w:pStyle w:val="Compact"/>
        <w:numPr>
          <w:ilvl w:val="0"/>
          <w:numId w:val="12"/>
        </w:numPr>
      </w:pPr>
      <w:r>
        <w:t xml:space="preserve">The </w:t>
      </w:r>
      <w:r>
        <w:rPr>
          <w:b/>
          <w:bCs/>
        </w:rPr>
        <w:t>current VO-DV I contains no approved-programs provision</w:t>
      </w:r>
      <w:r>
        <w:t xml:space="preserve"> — the word </w:t>
      </w:r>
      <w:r>
        <w:rPr>
          <w:i/>
          <w:iCs/>
        </w:rPr>
        <w:t>Programm</w:t>
      </w:r>
      <w:r>
        <w:t xml:space="preserve"> does not occur in the consolidated text. The 2022 amendment replaced program-approval logic with a </w:t>
      </w:r>
      <w:r>
        <w:rPr>
          <w:b/>
          <w:bCs/>
        </w:rPr>
        <w:t>configuration-based</w:t>
      </w:r>
      <w:r>
        <w:t xml:space="preserve"> standard (§ 2(1): processing is permitted on school devices and networks where confidentiality, integrity and availability are assured </w:t>
      </w:r>
      <w:r>
        <w:rPr>
          <w:i/>
          <w:iCs/>
        </w:rPr>
        <w:t>“über die Konfiguration”</w:t>
      </w:r>
      <w:r>
        <w:t>).</w:t>
      </w:r>
    </w:p>
    <w:p w14:paraId="1C50ED36" w14:textId="77777777" w:rsidR="0090768F" w:rsidRDefault="00000000">
      <w:pPr>
        <w:pStyle w:val="Compact"/>
        <w:numPr>
          <w:ilvl w:val="0"/>
          <w:numId w:val="12"/>
        </w:numPr>
      </w:pPr>
      <w:r>
        <w:t xml:space="preserve">The Ministry’s own FAQ describes </w:t>
      </w:r>
      <w:r>
        <w:rPr>
          <w:b/>
          <w:bCs/>
        </w:rPr>
        <w:t>per-school assessment</w:t>
      </w:r>
      <w:r>
        <w:t xml:space="preserve">: </w:t>
      </w:r>
      <w:r>
        <w:rPr>
          <w:i/>
          <w:iCs/>
        </w:rPr>
        <w:t>“Die Entscheidung über die Nutzung liegt im pflichtgemäßen Ermessen der Schule.”</w:t>
      </w:r>
    </w:p>
    <w:p w14:paraId="67A8FD6B" w14:textId="77777777" w:rsidR="0090768F" w:rsidRDefault="00000000">
      <w:pPr>
        <w:pStyle w:val="Compact"/>
        <w:numPr>
          <w:ilvl w:val="0"/>
          <w:numId w:val="12"/>
        </w:numPr>
      </w:pPr>
      <w:r>
        <w:t xml:space="preserve">The one adjacent formal approval regime in NRW is the </w:t>
      </w:r>
      <w:r>
        <w:rPr>
          <w:b/>
          <w:bCs/>
        </w:rPr>
        <w:t>Zulassung von Lernmitteln</w:t>
      </w:r>
      <w:r>
        <w:t xml:space="preserve"> (BASS 16-01 Nr. 2) — a different instrument with different legal effects, and we would not qualify as a Lernmittel. It is plausible the two have been conflated.</w:t>
      </w:r>
    </w:p>
    <w:p w14:paraId="590ED2AD" w14:textId="77777777" w:rsidR="0090768F" w:rsidRDefault="00000000">
      <w:pPr>
        <w:pStyle w:val="FirstParagraph"/>
      </w:pPr>
      <w:r>
        <w:rPr>
          <w:i/>
          <w:iCs/>
        </w:rPr>
        <w:t>Honest caveat: a 2017 union article refers to checking whether software is approved by the ministry, and a Landtag answer of 12.03.2025 reportedly mentions a list on the Bildungsportal; neither could be retrieved, and the pre-2022 VO-DV I text could not be obtained. A narrower or historical register may exist.</w:t>
      </w:r>
    </w:p>
    <w:p w14:paraId="28B52AC3" w14:textId="77777777" w:rsidR="0090768F" w:rsidRDefault="00000000">
      <w:pPr>
        <w:pStyle w:val="BodyText"/>
      </w:pPr>
      <w:r>
        <w:rPr>
          <w:b/>
          <w:bCs/>
        </w:rPr>
        <w:t>Recommended action: put the question in writing to MSB NRW rather than designing a go-to-market around an unverified mechanism.</w:t>
      </w:r>
      <w:r>
        <w:t xml:space="preserve"> This is the single highest-value clarification available to us, because an entire commercial strategy currently rests on it.</w:t>
      </w:r>
    </w:p>
    <w:p w14:paraId="4936549B" w14:textId="77777777" w:rsidR="0090768F" w:rsidRDefault="00000000">
      <w:pPr>
        <w:pStyle w:val="BodyText"/>
      </w:pPr>
      <w:r>
        <w:rPr>
          <w:b/>
          <w:bCs/>
        </w:rPr>
        <w:t>Sequencing recommendation.</w:t>
      </w:r>
      <w:r>
        <w:t xml:space="preserve"> Do not start with mechanism 1. Start with </w:t>
      </w:r>
      <w:r>
        <w:rPr>
          <w:b/>
          <w:bCs/>
        </w:rPr>
        <w:t>5</w:t>
      </w:r>
      <w:r>
        <w:t xml:space="preserve"> — an administrative instruction permitting pilot use — run a </w:t>
      </w:r>
      <w:r>
        <w:rPr>
          <w:b/>
          <w:bCs/>
        </w:rPr>
        <w:t>Reallabor under § 13 KI-MIG</w:t>
      </w:r>
      <w:r>
        <w:t xml:space="preserve"> with the BNetzA and the Land supervisory authority in the room, generate the divergence-rate evidence that answers the DSK’s </w:t>
      </w:r>
      <w:r>
        <w:rPr>
          <w:i/>
          <w:iCs/>
        </w:rPr>
        <w:t>“tatsächlicher Entscheidungsspielraum”</w:t>
      </w:r>
      <w:r>
        <w:t xml:space="preserve"> test, and use that evidence to earn mechanism 3 or 1. Asking a ministry to amend a Verordnung for an unproven product is asking it to take a political risk without cover.</w:t>
      </w:r>
    </w:p>
    <w:p w14:paraId="44588903" w14:textId="77777777" w:rsidR="0090768F" w:rsidRDefault="00000000">
      <w:pPr>
        <w:pStyle w:val="Heading3"/>
      </w:pPr>
      <w:bookmarkStart w:id="54" w:name="X01eb6a0cf2de96114f983a77c03ddfd4e9bf626"/>
      <w:bookmarkEnd w:id="53"/>
      <w:r>
        <w:lastRenderedPageBreak/>
        <w:t>8.2 United Kingdom — the answer differs by nation</w:t>
      </w:r>
    </w:p>
    <w:tbl>
      <w:tblPr>
        <w:tblStyle w:val="Table"/>
        <w:tblW w:w="5000" w:type="pct"/>
        <w:tblLook w:val="0020" w:firstRow="1" w:lastRow="0" w:firstColumn="0" w:lastColumn="0" w:noHBand="0" w:noVBand="0"/>
      </w:tblPr>
      <w:tblGrid>
        <w:gridCol w:w="1186"/>
        <w:gridCol w:w="1843"/>
        <w:gridCol w:w="2042"/>
        <w:gridCol w:w="2325"/>
        <w:gridCol w:w="1964"/>
      </w:tblGrid>
      <w:tr w:rsidR="0090768F" w14:paraId="097A04B5"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138D159A" w14:textId="77777777" w:rsidR="0090768F" w:rsidRDefault="00000000">
            <w:pPr>
              <w:pStyle w:val="Compact"/>
            </w:pPr>
            <w:r>
              <w:t>Nation</w:t>
            </w:r>
          </w:p>
        </w:tc>
        <w:tc>
          <w:tcPr>
            <w:tcW w:w="0" w:type="auto"/>
          </w:tcPr>
          <w:p w14:paraId="268282CC" w14:textId="77777777" w:rsidR="0090768F" w:rsidRDefault="00000000">
            <w:pPr>
              <w:pStyle w:val="Compact"/>
            </w:pPr>
            <w:r>
              <w:t>Single national decision reaches all schools?</w:t>
            </w:r>
          </w:p>
        </w:tc>
        <w:tc>
          <w:tcPr>
            <w:tcW w:w="0" w:type="auto"/>
          </w:tcPr>
          <w:p w14:paraId="77E09B61" w14:textId="77777777" w:rsidR="0090768F" w:rsidRDefault="00000000">
            <w:pPr>
              <w:pStyle w:val="Compact"/>
            </w:pPr>
            <w:r>
              <w:t>Mechanism</w:t>
            </w:r>
          </w:p>
        </w:tc>
        <w:tc>
          <w:tcPr>
            <w:tcW w:w="0" w:type="auto"/>
          </w:tcPr>
          <w:p w14:paraId="7EB5DF2E" w14:textId="77777777" w:rsidR="0090768F" w:rsidRDefault="00000000">
            <w:pPr>
              <w:pStyle w:val="Compact"/>
            </w:pPr>
            <w:r>
              <w:t>Gatekeeper</w:t>
            </w:r>
          </w:p>
        </w:tc>
        <w:tc>
          <w:tcPr>
            <w:tcW w:w="0" w:type="auto"/>
          </w:tcPr>
          <w:p w14:paraId="223FED29" w14:textId="77777777" w:rsidR="0090768F" w:rsidRDefault="00000000">
            <w:pPr>
              <w:pStyle w:val="Compact"/>
            </w:pPr>
            <w:r>
              <w:t>Realistic timeline</w:t>
            </w:r>
          </w:p>
        </w:tc>
      </w:tr>
      <w:tr w:rsidR="0090768F" w14:paraId="521D8960" w14:textId="77777777">
        <w:tc>
          <w:tcPr>
            <w:tcW w:w="0" w:type="auto"/>
          </w:tcPr>
          <w:p w14:paraId="291339D2" w14:textId="77777777" w:rsidR="0090768F" w:rsidRDefault="00000000">
            <w:pPr>
              <w:pStyle w:val="Compact"/>
            </w:pPr>
            <w:r>
              <w:rPr>
                <w:b/>
                <w:bCs/>
              </w:rPr>
              <w:t>England</w:t>
            </w:r>
          </w:p>
        </w:tc>
        <w:tc>
          <w:tcPr>
            <w:tcW w:w="0" w:type="auto"/>
          </w:tcPr>
          <w:p w14:paraId="619DEB41" w14:textId="77777777" w:rsidR="0090768F" w:rsidRDefault="00000000">
            <w:pPr>
              <w:pStyle w:val="Compact"/>
            </w:pPr>
            <w:r>
              <w:rPr>
                <w:b/>
                <w:bCs/>
              </w:rPr>
              <w:t>No</w:t>
            </w:r>
          </w:p>
        </w:tc>
        <w:tc>
          <w:tcPr>
            <w:tcW w:w="0" w:type="auto"/>
          </w:tcPr>
          <w:p w14:paraId="0256FEC6" w14:textId="77777777" w:rsidR="0090768F" w:rsidRDefault="00000000">
            <w:pPr>
              <w:pStyle w:val="Compact"/>
            </w:pPr>
            <w:r>
              <w:t>DfE-approved buying framework; trust-level contracts</w:t>
            </w:r>
          </w:p>
        </w:tc>
        <w:tc>
          <w:tcPr>
            <w:tcW w:w="0" w:type="auto"/>
          </w:tcPr>
          <w:p w14:paraId="5E78A375" w14:textId="77777777" w:rsidR="0090768F" w:rsidRDefault="00000000">
            <w:pPr>
              <w:pStyle w:val="Compact"/>
            </w:pPr>
            <w:r>
              <w:t>~24,000 schools / ~1,200 trusts</w:t>
            </w:r>
          </w:p>
        </w:tc>
        <w:tc>
          <w:tcPr>
            <w:tcW w:w="0" w:type="auto"/>
          </w:tcPr>
          <w:p w14:paraId="55239BD1" w14:textId="77777777" w:rsidR="0090768F" w:rsidRDefault="00000000">
            <w:pPr>
              <w:pStyle w:val="Compact"/>
            </w:pPr>
            <w:r>
              <w:t xml:space="preserve">framework 12–24m; adoption ongoing </w:t>
            </w:r>
            <w:r>
              <w:rPr>
                <w:i/>
                <w:iCs/>
              </w:rPr>
              <w:t>(estimate)</w:t>
            </w:r>
          </w:p>
        </w:tc>
      </w:tr>
      <w:tr w:rsidR="0090768F" w14:paraId="4B5C0D65" w14:textId="77777777">
        <w:tc>
          <w:tcPr>
            <w:tcW w:w="0" w:type="auto"/>
          </w:tcPr>
          <w:p w14:paraId="522C09A8" w14:textId="77777777" w:rsidR="0090768F" w:rsidRDefault="00000000">
            <w:pPr>
              <w:pStyle w:val="Compact"/>
            </w:pPr>
            <w:r>
              <w:rPr>
                <w:b/>
                <w:bCs/>
              </w:rPr>
              <w:t>Wales</w:t>
            </w:r>
          </w:p>
        </w:tc>
        <w:tc>
          <w:tcPr>
            <w:tcW w:w="0" w:type="auto"/>
          </w:tcPr>
          <w:p w14:paraId="7E7B4D71" w14:textId="77777777" w:rsidR="0090768F" w:rsidRDefault="00000000">
            <w:pPr>
              <w:pStyle w:val="Compact"/>
            </w:pPr>
            <w:r>
              <w:rPr>
                <w:b/>
                <w:bCs/>
              </w:rPr>
              <w:t>Effectively yes</w:t>
            </w:r>
          </w:p>
        </w:tc>
        <w:tc>
          <w:tcPr>
            <w:tcW w:w="0" w:type="auto"/>
          </w:tcPr>
          <w:p w14:paraId="5B56D8F7" w14:textId="77777777" w:rsidR="0090768F" w:rsidRDefault="00000000">
            <w:pPr>
              <w:pStyle w:val="Compact"/>
            </w:pPr>
            <w:r>
              <w:t>Hwb service listing</w:t>
            </w:r>
          </w:p>
        </w:tc>
        <w:tc>
          <w:tcPr>
            <w:tcW w:w="0" w:type="auto"/>
          </w:tcPr>
          <w:p w14:paraId="2DCE71BE" w14:textId="77777777" w:rsidR="0090768F" w:rsidRDefault="00000000">
            <w:pPr>
              <w:pStyle w:val="Compact"/>
            </w:pPr>
            <w:r>
              <w:t>Welsh Government Hwb team / EdTech Technical Standards Group</w:t>
            </w:r>
          </w:p>
        </w:tc>
        <w:tc>
          <w:tcPr>
            <w:tcW w:w="0" w:type="auto"/>
          </w:tcPr>
          <w:p w14:paraId="63EE6315" w14:textId="77777777" w:rsidR="0090768F" w:rsidRDefault="00000000">
            <w:pPr>
              <w:pStyle w:val="Compact"/>
            </w:pPr>
            <w:r>
              <w:t xml:space="preserve">18–30m, plus a Welsh-language capability </w:t>
            </w:r>
            <w:r>
              <w:rPr>
                <w:i/>
                <w:iCs/>
              </w:rPr>
              <w:t>(estimate)</w:t>
            </w:r>
          </w:p>
        </w:tc>
      </w:tr>
      <w:tr w:rsidR="0090768F" w14:paraId="67C21D02" w14:textId="77777777">
        <w:tc>
          <w:tcPr>
            <w:tcW w:w="0" w:type="auto"/>
          </w:tcPr>
          <w:p w14:paraId="257AC3B2" w14:textId="77777777" w:rsidR="0090768F" w:rsidRDefault="00000000">
            <w:pPr>
              <w:pStyle w:val="Compact"/>
            </w:pPr>
            <w:r>
              <w:rPr>
                <w:b/>
                <w:bCs/>
              </w:rPr>
              <w:t>Scotland</w:t>
            </w:r>
          </w:p>
        </w:tc>
        <w:tc>
          <w:tcPr>
            <w:tcW w:w="0" w:type="auto"/>
          </w:tcPr>
          <w:p w14:paraId="71B23BA2" w14:textId="77777777" w:rsidR="0090768F" w:rsidRDefault="00000000">
            <w:pPr>
              <w:pStyle w:val="Compact"/>
            </w:pPr>
            <w:r>
              <w:rPr>
                <w:b/>
                <w:bCs/>
              </w:rPr>
              <w:t>Partly</w:t>
            </w:r>
          </w:p>
        </w:tc>
        <w:tc>
          <w:tcPr>
            <w:tcW w:w="0" w:type="auto"/>
          </w:tcPr>
          <w:p w14:paraId="5DA6A9FD" w14:textId="77777777" w:rsidR="0090768F" w:rsidRDefault="00000000">
            <w:pPr>
              <w:pStyle w:val="Compact"/>
            </w:pPr>
            <w:r>
              <w:t xml:space="preserve">Glow listing </w:t>
            </w:r>
            <w:r>
              <w:rPr>
                <w:b/>
                <w:bCs/>
              </w:rPr>
              <w:t>plus</w:t>
            </w:r>
            <w:r>
              <w:t xml:space="preserve"> local-authority opt-in</w:t>
            </w:r>
          </w:p>
        </w:tc>
        <w:tc>
          <w:tcPr>
            <w:tcW w:w="0" w:type="auto"/>
          </w:tcPr>
          <w:p w14:paraId="5DD43DBA" w14:textId="77777777" w:rsidR="0090768F" w:rsidRDefault="00000000">
            <w:pPr>
              <w:pStyle w:val="Compact"/>
            </w:pPr>
            <w:r>
              <w:t xml:space="preserve">Education Scotland </w:t>
            </w:r>
            <w:r>
              <w:rPr>
                <w:b/>
                <w:bCs/>
              </w:rPr>
              <w:t>and</w:t>
            </w:r>
            <w:r>
              <w:t xml:space="preserve"> 32 local authorities, which are the controllers</w:t>
            </w:r>
          </w:p>
        </w:tc>
        <w:tc>
          <w:tcPr>
            <w:tcW w:w="0" w:type="auto"/>
          </w:tcPr>
          <w:p w14:paraId="3250FB36" w14:textId="77777777" w:rsidR="0090768F" w:rsidRDefault="00000000">
            <w:pPr>
              <w:pStyle w:val="Compact"/>
            </w:pPr>
            <w:r>
              <w:t xml:space="preserve">18–36m </w:t>
            </w:r>
            <w:r>
              <w:rPr>
                <w:i/>
                <w:iCs/>
              </w:rPr>
              <w:t>(estimate)</w:t>
            </w:r>
          </w:p>
        </w:tc>
      </w:tr>
      <w:tr w:rsidR="0090768F" w14:paraId="0335BC92" w14:textId="77777777">
        <w:tc>
          <w:tcPr>
            <w:tcW w:w="0" w:type="auto"/>
          </w:tcPr>
          <w:p w14:paraId="1CDFC021" w14:textId="77777777" w:rsidR="0090768F" w:rsidRDefault="00000000">
            <w:pPr>
              <w:pStyle w:val="Compact"/>
            </w:pPr>
            <w:r>
              <w:rPr>
                <w:b/>
                <w:bCs/>
              </w:rPr>
              <w:t>N. Ireland</w:t>
            </w:r>
          </w:p>
        </w:tc>
        <w:tc>
          <w:tcPr>
            <w:tcW w:w="0" w:type="auto"/>
          </w:tcPr>
          <w:p w14:paraId="4EDA62C4" w14:textId="77777777" w:rsidR="0090768F" w:rsidRDefault="00000000">
            <w:pPr>
              <w:pStyle w:val="Compact"/>
            </w:pPr>
            <w:r>
              <w:rPr>
                <w:b/>
                <w:bCs/>
              </w:rPr>
              <w:t>Effectively yes</w:t>
            </w:r>
          </w:p>
        </w:tc>
        <w:tc>
          <w:tcPr>
            <w:tcW w:w="0" w:type="auto"/>
          </w:tcPr>
          <w:p w14:paraId="2B0BDC8F" w14:textId="77777777" w:rsidR="0090768F" w:rsidRDefault="00000000">
            <w:pPr>
              <w:pStyle w:val="Compact"/>
            </w:pPr>
            <w:r>
              <w:t>EdIS/C2k approved-tools list</w:t>
            </w:r>
          </w:p>
        </w:tc>
        <w:tc>
          <w:tcPr>
            <w:tcW w:w="0" w:type="auto"/>
          </w:tcPr>
          <w:p w14:paraId="01192E3F" w14:textId="77777777" w:rsidR="0090768F" w:rsidRDefault="00000000">
            <w:pPr>
              <w:pStyle w:val="Compact"/>
            </w:pPr>
            <w:r>
              <w:t>Education Authority</w:t>
            </w:r>
          </w:p>
        </w:tc>
        <w:tc>
          <w:tcPr>
            <w:tcW w:w="0" w:type="auto"/>
          </w:tcPr>
          <w:p w14:paraId="3E0FE7A0" w14:textId="77777777" w:rsidR="0090768F" w:rsidRDefault="00000000">
            <w:pPr>
              <w:pStyle w:val="Compact"/>
            </w:pPr>
            <w:r>
              <w:t xml:space="preserve">24–36m </w:t>
            </w:r>
            <w:r>
              <w:rPr>
                <w:i/>
                <w:iCs/>
              </w:rPr>
              <w:t>(estimate)</w:t>
            </w:r>
          </w:p>
        </w:tc>
      </w:tr>
    </w:tbl>
    <w:p w14:paraId="3F8FEB01" w14:textId="77777777" w:rsidR="0090768F" w:rsidRDefault="00000000">
      <w:pPr>
        <w:pStyle w:val="BodyText"/>
      </w:pPr>
      <w:r>
        <w:rPr>
          <w:b/>
          <w:bCs/>
        </w:rPr>
        <w:t>England has no national switch.</w:t>
      </w:r>
      <w:r>
        <w:t xml:space="preserve"> DfE cannot mandate software for academies: academies are independent charitable companies contracting with the Secretary of State through funding agreements, and the new direction power inserted by the Children’s Wellbeing and Schools Act 2026 s.56 is a compliance-enforcement power attached to existing funding-agreement duties, not a procurement power. For maintained schools the LA can recommend and run frameworks but generally cannot compel a governing body’s purchasing choice. What DfE </w:t>
      </w:r>
      <w:r>
        <w:rPr>
          <w:i/>
          <w:iCs/>
        </w:rPr>
        <w:t>can</w:t>
      </w:r>
      <w:r>
        <w:t xml:space="preserve"> do is approve a buying framework (converting a full procurement into a direct award), publish guidance the sector follows, fund adoption (Oak/Aila, the content-store pilot, the </w:t>
      </w:r>
      <w:r>
        <w:rPr>
          <w:b/>
          <w:bCs/>
        </w:rPr>
        <w:t>£23m EdTech Impact Testbed Programme</w:t>
      </w:r>
      <w:r>
        <w:t xml:space="preserve"> running FY2026-27 to FY2029-30), and shape Ofsted’s framing of “the provider’s decision-making”. </w:t>
      </w:r>
      <w:r>
        <w:rPr>
          <w:b/>
          <w:bCs/>
        </w:rPr>
        <w:t>The unit of scale in England is the multi-academy trust — around 1,200 of them, the largest running 50+ schools, and the trust is both controller and buyer. Target trust CEOs, trust DPOs and trust directors of education, not headteachers.</w:t>
      </w:r>
    </w:p>
    <w:p w14:paraId="0F376786" w14:textId="77777777" w:rsidR="0090768F" w:rsidRDefault="00000000">
      <w:pPr>
        <w:pStyle w:val="BodyText"/>
      </w:pPr>
      <w:r>
        <w:rPr>
          <w:b/>
          <w:bCs/>
        </w:rPr>
        <w:t>Wales is the best single-decision opportunity in the UK.</w:t>
      </w:r>
      <w:r>
        <w:t xml:space="preserve"> Hwb already provisions Microsoft Copilot Chat, Google Gemini, NotebookLM, Adobe Express and Microsoft Learning Accelerators to every maintained school, with every service “comprehensively reviewed” and legal advice taken on contracts. The route in appears to run through the local-authority EdTech lead to the </w:t>
      </w:r>
      <w:r>
        <w:rPr>
          <w:b/>
          <w:bCs/>
        </w:rPr>
        <w:t>EdTech Technical Standards Group</w:t>
      </w:r>
      <w:r>
        <w:t xml:space="preserve"> — </w:t>
      </w:r>
      <w:r>
        <w:rPr>
          <w:i/>
          <w:iCs/>
        </w:rPr>
        <w:t>moderate confidence; no formal published supplier-assurance framework or approved-supplier list could be evidenced.</w:t>
      </w:r>
      <w:r>
        <w:t xml:space="preserve"> Wales is small enough (22 LAs, ~1,500 schools) to be a proof point, and Welsh-language capability is a real product cost for an OCR/LLM marking tool.</w:t>
      </w:r>
    </w:p>
    <w:p w14:paraId="5B8B4835" w14:textId="77777777" w:rsidR="0090768F" w:rsidRDefault="00000000">
      <w:pPr>
        <w:pStyle w:val="BodyText"/>
      </w:pPr>
      <w:r>
        <w:rPr>
          <w:b/>
          <w:bCs/>
        </w:rPr>
        <w:lastRenderedPageBreak/>
        <w:t>Scotland: a Glow listing is necessary but not sufficient</w:t>
      </w:r>
      <w:r>
        <w:t xml:space="preserve">, because local authorities are the controllers and even Glow-provisioned AI is on an opt-in basis. </w:t>
      </w:r>
      <w:r>
        <w:rPr>
          <w:b/>
          <w:bCs/>
        </w:rPr>
        <w:t>No published process for adding a third-party service to Glow could be found</w:t>
      </w:r>
      <w:r>
        <w:t>; the route is Education Scotland directly, plus ADES and COSLA.</w:t>
      </w:r>
    </w:p>
    <w:p w14:paraId="095E12DE" w14:textId="77777777" w:rsidR="0090768F" w:rsidRDefault="00000000">
      <w:pPr>
        <w:pStyle w:val="BodyText"/>
      </w:pPr>
      <w:r>
        <w:rPr>
          <w:b/>
          <w:bCs/>
        </w:rPr>
        <w:t>Northern Ireland is a single gate that is both the obstacle and the prize.</w:t>
      </w:r>
      <w:r>
        <w:t xml:space="preserve"> One EA decision would reach every grant-aided school (~1,100); without it we are confined to per-school DPIAs against DE Circular 2026/02.</w:t>
      </w:r>
    </w:p>
    <w:p w14:paraId="79067A8E" w14:textId="77777777" w:rsidR="0090768F" w:rsidRDefault="00000000">
      <w:pPr>
        <w:pStyle w:val="Heading3"/>
      </w:pPr>
      <w:bookmarkStart w:id="55" w:name="united-states-1"/>
      <w:bookmarkEnd w:id="54"/>
      <w:r>
        <w:t>8.3 United States</w:t>
      </w:r>
    </w:p>
    <w:p w14:paraId="0898845D" w14:textId="77777777" w:rsidR="0090768F" w:rsidRDefault="00000000">
      <w:pPr>
        <w:pStyle w:val="FirstParagraph"/>
      </w:pPr>
      <w:r>
        <w:rPr>
          <w:b/>
          <w:bCs/>
        </w:rPr>
        <w:t>The federal government cannot.</w:t>
      </w:r>
      <w:r>
        <w:t xml:space="preserve"> Education is reserved to the states; FERPA is a spending-clause condition on institutions and creates no federal authority to designate a school official on an institution’s behalf. The designation under § 99.31(a)(1) and the annual-notification criteria under § 99.7(a)(3)(iii) are institution-specific acts by definition. The federal contribution has been money and encouragement — EO 14277, the July 2025 Dear Colleague Letter on AI grant funds, the April 2026 supplemental priority — with </w:t>
      </w:r>
      <w:r>
        <w:rPr>
          <w:b/>
          <w:bCs/>
        </w:rPr>
        <w:t>no conditions on accuracy, bias, human oversight or contestability</w:t>
      </w:r>
      <w:r>
        <w:t>. The one genuine exception is federally operated systems: DoDEA and the Bureau of Indian Education, where a single federal contract does reach many schools.</w:t>
      </w:r>
    </w:p>
    <w:p w14:paraId="5E1A911E" w14:textId="77777777" w:rsidR="0090768F" w:rsidRDefault="00000000">
      <w:pPr>
        <w:pStyle w:val="BodyText"/>
      </w:pPr>
      <w:r>
        <w:rPr>
          <w:b/>
          <w:bCs/>
        </w:rPr>
        <w:t>A state can go a long way but not all the way.</w:t>
      </w:r>
      <w:r>
        <w:t xml:space="preserve"> Four mechanisms, ascending: state education-agency approved-product lists (advisory; shortens district review but does not replace the district’s contract); statewide master service agreements (eliminates the procurement, but each district still executes a participating addendum and its own agreement); purchasing cooperatives (one solicitation other members piggyback on); and — the one to build the go-to-market around — </w:t>
      </w:r>
      <w:r>
        <w:rPr>
          <w:b/>
          <w:bCs/>
        </w:rPr>
        <w:t>the SDPC National Data Privacy Agreement</w:t>
      </w:r>
      <w:r>
        <w:t>.</w:t>
      </w:r>
    </w:p>
    <w:p w14:paraId="3C3E019E" w14:textId="77777777" w:rsidR="0090768F" w:rsidRDefault="00000000">
      <w:pPr>
        <w:pStyle w:val="BodyText"/>
      </w:pPr>
      <w:r>
        <w:rPr>
          <w:b/>
          <w:bCs/>
        </w:rPr>
        <w:t>The NDPA, and why it is the answer.</w:t>
      </w:r>
      <w:r>
        <w:t xml:space="preserve"> Maintained by the Student Data Privacy Consortium within the Access 4 Learning Community; current version </w:t>
      </w:r>
      <w:r>
        <w:rPr>
          <w:b/>
          <w:bCs/>
        </w:rPr>
        <w:t>NDPA v2.2, published 19 November 2025</w:t>
      </w:r>
      <w:r>
        <w:t xml:space="preserve">; over 222,000 standard agreements executed since 2016 across districts in 41 states and roughly 35 state alliances </w:t>
      </w:r>
      <w:r>
        <w:rPr>
          <w:i/>
          <w:iCs/>
        </w:rPr>
        <w:t>(SDPC-reported figures, not independently verified)</w:t>
      </w:r>
      <w:r>
        <w:t xml:space="preserve">. The mechanism that matters is </w:t>
      </w:r>
      <w:r>
        <w:rPr>
          <w:b/>
          <w:bCs/>
        </w:rPr>
        <w:t>Exhibit E, “General Offer of Privacy Terms”</w:t>
      </w:r>
      <w:r>
        <w:t>: a vendor signs a full agreement with one district and, in Exhibit E, extends the identical terms to any other subscribing LEA within the scope of the offer, which that LEA accepts by countersigning a single page. Executed agreements and offers are published in the SDPC Resource Registry, which districts search before procuring. State-specific exhibits carry state statutory requirements — New York’s Exhibits G, J, K and L for Education Law § 2-d are the clearest case.</w:t>
      </w:r>
    </w:p>
    <w:p w14:paraId="31D0DC72" w14:textId="77777777" w:rsidR="0090768F" w:rsidRDefault="00000000">
      <w:pPr>
        <w:pStyle w:val="BodyText"/>
      </w:pPr>
      <w:r>
        <w:rPr>
          <w:b/>
          <w:bCs/>
        </w:rPr>
        <w:t>This is as close as the US comes to “authorise many schools at once”, and it is a private-sector mechanism, not a governmental one.</w:t>
      </w:r>
      <w:r>
        <w:t xml:space="preserve"> It does not remove the per-district act; it reduces it from a negotiation to a countersignature. </w:t>
      </w:r>
      <w:r>
        <w:rPr>
          <w:b/>
          <w:bCs/>
        </w:rPr>
        <w:t>Caution: Exhibit E is an open-ended commitment to unknown counterparties. Read the current v2.2 text before signing one</w:t>
      </w:r>
      <w:r>
        <w:t xml:space="preserve"> — it is the single most consequential contract we would execute in the US. </w:t>
      </w:r>
      <w:r>
        <w:rPr>
          <w:i/>
          <w:iCs/>
        </w:rPr>
        <w:t>(The verbatim v2.2 Exhibit E text could not be retrieved.)</w:t>
      </w:r>
    </w:p>
    <w:tbl>
      <w:tblPr>
        <w:tblStyle w:val="Table"/>
        <w:tblW w:w="5000" w:type="pct"/>
        <w:tblLook w:val="0020" w:firstRow="1" w:lastRow="0" w:firstColumn="0" w:lastColumn="0" w:noHBand="0" w:noVBand="0"/>
      </w:tblPr>
      <w:tblGrid>
        <w:gridCol w:w="3428"/>
        <w:gridCol w:w="1976"/>
        <w:gridCol w:w="3956"/>
      </w:tblGrid>
      <w:tr w:rsidR="0090768F" w14:paraId="047BB121"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34A5D748" w14:textId="77777777" w:rsidR="0090768F" w:rsidRDefault="00000000">
            <w:pPr>
              <w:pStyle w:val="Compact"/>
            </w:pPr>
            <w:r>
              <w:lastRenderedPageBreak/>
              <w:t>Route</w:t>
            </w:r>
          </w:p>
        </w:tc>
        <w:tc>
          <w:tcPr>
            <w:tcW w:w="0" w:type="auto"/>
          </w:tcPr>
          <w:p w14:paraId="5940C523" w14:textId="77777777" w:rsidR="0090768F" w:rsidRDefault="00000000">
            <w:pPr>
              <w:pStyle w:val="Compact"/>
            </w:pPr>
            <w:r>
              <w:t>Reach</w:t>
            </w:r>
          </w:p>
        </w:tc>
        <w:tc>
          <w:tcPr>
            <w:tcW w:w="0" w:type="auto"/>
          </w:tcPr>
          <w:p w14:paraId="24D7C3B5" w14:textId="77777777" w:rsidR="0090768F" w:rsidRDefault="00000000">
            <w:pPr>
              <w:pStyle w:val="Compact"/>
            </w:pPr>
            <w:r>
              <w:t xml:space="preserve">Elapsed time </w:t>
            </w:r>
            <w:r>
              <w:rPr>
                <w:i/>
                <w:iCs/>
              </w:rPr>
              <w:t>(estimates)</w:t>
            </w:r>
          </w:p>
        </w:tc>
      </w:tr>
      <w:tr w:rsidR="0090768F" w14:paraId="59756BD0" w14:textId="77777777">
        <w:tc>
          <w:tcPr>
            <w:tcW w:w="0" w:type="auto"/>
          </w:tcPr>
          <w:p w14:paraId="1846DF36" w14:textId="77777777" w:rsidR="0090768F" w:rsidRDefault="00000000">
            <w:pPr>
              <w:pStyle w:val="Compact"/>
            </w:pPr>
            <w:r>
              <w:t>Single district, NDPA standard clauses unmodified</w:t>
            </w:r>
          </w:p>
        </w:tc>
        <w:tc>
          <w:tcPr>
            <w:tcW w:w="0" w:type="auto"/>
          </w:tcPr>
          <w:p w14:paraId="71EDD223" w14:textId="77777777" w:rsidR="0090768F" w:rsidRDefault="00000000">
            <w:pPr>
              <w:pStyle w:val="Compact"/>
            </w:pPr>
            <w:r>
              <w:t>1 LEA</w:t>
            </w:r>
          </w:p>
        </w:tc>
        <w:tc>
          <w:tcPr>
            <w:tcW w:w="0" w:type="auto"/>
          </w:tcPr>
          <w:p w14:paraId="4BA37968" w14:textId="77777777" w:rsidR="0090768F" w:rsidRDefault="00000000">
            <w:pPr>
              <w:pStyle w:val="Compact"/>
            </w:pPr>
            <w:r>
              <w:t>2–8 weeks once the privacy officer engages</w:t>
            </w:r>
          </w:p>
        </w:tc>
      </w:tr>
      <w:tr w:rsidR="0090768F" w14:paraId="2C5830EE" w14:textId="77777777">
        <w:tc>
          <w:tcPr>
            <w:tcW w:w="0" w:type="auto"/>
          </w:tcPr>
          <w:p w14:paraId="08B5ED06" w14:textId="77777777" w:rsidR="0090768F" w:rsidRDefault="00000000">
            <w:pPr>
              <w:pStyle w:val="Compact"/>
            </w:pPr>
            <w:r>
              <w:t>Single district, modified terms or non-NDPA state</w:t>
            </w:r>
          </w:p>
        </w:tc>
        <w:tc>
          <w:tcPr>
            <w:tcW w:w="0" w:type="auto"/>
          </w:tcPr>
          <w:p w14:paraId="4652A638" w14:textId="77777777" w:rsidR="0090768F" w:rsidRDefault="00000000">
            <w:pPr>
              <w:pStyle w:val="Compact"/>
            </w:pPr>
            <w:r>
              <w:t>1 LEA</w:t>
            </w:r>
          </w:p>
        </w:tc>
        <w:tc>
          <w:tcPr>
            <w:tcW w:w="0" w:type="auto"/>
          </w:tcPr>
          <w:p w14:paraId="6BBF7E2B" w14:textId="77777777" w:rsidR="0090768F" w:rsidRDefault="00000000">
            <w:pPr>
              <w:pStyle w:val="Compact"/>
            </w:pPr>
            <w:r>
              <w:t>2–6 months</w:t>
            </w:r>
          </w:p>
        </w:tc>
      </w:tr>
      <w:tr w:rsidR="0090768F" w14:paraId="202EB14B" w14:textId="77777777">
        <w:tc>
          <w:tcPr>
            <w:tcW w:w="0" w:type="auto"/>
          </w:tcPr>
          <w:p w14:paraId="4E59F74C" w14:textId="77777777" w:rsidR="0090768F" w:rsidRDefault="00000000">
            <w:pPr>
              <w:pStyle w:val="Compact"/>
            </w:pPr>
            <w:r>
              <w:t>Join a state SDPC alliance, first NDPA with Exhibit E</w:t>
            </w:r>
          </w:p>
        </w:tc>
        <w:tc>
          <w:tcPr>
            <w:tcW w:w="0" w:type="auto"/>
          </w:tcPr>
          <w:p w14:paraId="6C70FA78" w14:textId="77777777" w:rsidR="0090768F" w:rsidRDefault="00000000">
            <w:pPr>
              <w:pStyle w:val="Compact"/>
            </w:pPr>
            <w:r>
              <w:t>every LEA in that alliance</w:t>
            </w:r>
          </w:p>
        </w:tc>
        <w:tc>
          <w:tcPr>
            <w:tcW w:w="0" w:type="auto"/>
          </w:tcPr>
          <w:p w14:paraId="4545C1F5" w14:textId="77777777" w:rsidR="0090768F" w:rsidRDefault="00000000">
            <w:pPr>
              <w:pStyle w:val="Compact"/>
            </w:pPr>
            <w:r>
              <w:t>3–6 months to first signature; subsequent LEAs in days to weeks</w:t>
            </w:r>
          </w:p>
        </w:tc>
      </w:tr>
      <w:tr w:rsidR="0090768F" w14:paraId="4648D704" w14:textId="77777777">
        <w:tc>
          <w:tcPr>
            <w:tcW w:w="0" w:type="auto"/>
          </w:tcPr>
          <w:p w14:paraId="3A544331" w14:textId="77777777" w:rsidR="0090768F" w:rsidRDefault="00000000">
            <w:pPr>
              <w:pStyle w:val="Compact"/>
            </w:pPr>
            <w:r>
              <w:t>Purchasing cooperative award</w:t>
            </w:r>
          </w:p>
        </w:tc>
        <w:tc>
          <w:tcPr>
            <w:tcW w:w="0" w:type="auto"/>
          </w:tcPr>
          <w:p w14:paraId="4DA28A70" w14:textId="77777777" w:rsidR="0090768F" w:rsidRDefault="00000000">
            <w:pPr>
              <w:pStyle w:val="Compact"/>
            </w:pPr>
            <w:r>
              <w:t>many LEAs, multi-state</w:t>
            </w:r>
          </w:p>
        </w:tc>
        <w:tc>
          <w:tcPr>
            <w:tcW w:w="0" w:type="auto"/>
          </w:tcPr>
          <w:p w14:paraId="6FA5CA25" w14:textId="77777777" w:rsidR="0090768F" w:rsidRDefault="00000000">
            <w:pPr>
              <w:pStyle w:val="Compact"/>
            </w:pPr>
            <w:r>
              <w:t>6–12 months</w:t>
            </w:r>
          </w:p>
        </w:tc>
      </w:tr>
      <w:tr w:rsidR="0090768F" w14:paraId="0A29F42D" w14:textId="77777777">
        <w:tc>
          <w:tcPr>
            <w:tcW w:w="0" w:type="auto"/>
          </w:tcPr>
          <w:p w14:paraId="736D8BBE" w14:textId="77777777" w:rsidR="0090768F" w:rsidRDefault="00000000">
            <w:pPr>
              <w:pStyle w:val="Compact"/>
            </w:pPr>
            <w:r>
              <w:t>State master service agreement</w:t>
            </w:r>
          </w:p>
        </w:tc>
        <w:tc>
          <w:tcPr>
            <w:tcW w:w="0" w:type="auto"/>
          </w:tcPr>
          <w:p w14:paraId="4C96E951" w14:textId="77777777" w:rsidR="0090768F" w:rsidRDefault="00000000">
            <w:pPr>
              <w:pStyle w:val="Compact"/>
            </w:pPr>
            <w:r>
              <w:t>statewide</w:t>
            </w:r>
          </w:p>
        </w:tc>
        <w:tc>
          <w:tcPr>
            <w:tcW w:w="0" w:type="auto"/>
          </w:tcPr>
          <w:p w14:paraId="5481947A" w14:textId="77777777" w:rsidR="0090768F" w:rsidRDefault="00000000">
            <w:pPr>
              <w:pStyle w:val="Compact"/>
            </w:pPr>
            <w:r>
              <w:t>9–18 months</w:t>
            </w:r>
          </w:p>
        </w:tc>
      </w:tr>
      <w:tr w:rsidR="0090768F" w14:paraId="5141072C" w14:textId="77777777">
        <w:tc>
          <w:tcPr>
            <w:tcW w:w="0" w:type="auto"/>
          </w:tcPr>
          <w:p w14:paraId="06890C63" w14:textId="77777777" w:rsidR="0090768F" w:rsidRDefault="00000000">
            <w:pPr>
              <w:pStyle w:val="Compact"/>
            </w:pPr>
            <w:r>
              <w:t>Federal authorisation of all US schools</w:t>
            </w:r>
          </w:p>
        </w:tc>
        <w:tc>
          <w:tcPr>
            <w:tcW w:w="0" w:type="auto"/>
          </w:tcPr>
          <w:p w14:paraId="52ACE19E" w14:textId="77777777" w:rsidR="0090768F" w:rsidRDefault="00000000">
            <w:pPr>
              <w:pStyle w:val="Compact"/>
            </w:pPr>
            <w:r>
              <w:t>—</w:t>
            </w:r>
          </w:p>
        </w:tc>
        <w:tc>
          <w:tcPr>
            <w:tcW w:w="0" w:type="auto"/>
          </w:tcPr>
          <w:p w14:paraId="4D585851" w14:textId="77777777" w:rsidR="0090768F" w:rsidRDefault="00000000">
            <w:pPr>
              <w:pStyle w:val="Compact"/>
            </w:pPr>
            <w:r>
              <w:rPr>
                <w:b/>
                <w:bCs/>
              </w:rPr>
              <w:t>not a route</w:t>
            </w:r>
          </w:p>
        </w:tc>
      </w:tr>
    </w:tbl>
    <w:p w14:paraId="46BD0477" w14:textId="77777777" w:rsidR="0090768F" w:rsidRDefault="00000000">
      <w:pPr>
        <w:pStyle w:val="Heading2"/>
      </w:pPr>
      <w:bookmarkStart w:id="56" w:name="united-kingdom-1"/>
      <w:bookmarkStart w:id="57" w:name="_Toc240060405"/>
      <w:bookmarkEnd w:id="51"/>
      <w:bookmarkEnd w:id="55"/>
      <w:r>
        <w:t>9. United Kingdom</w:t>
      </w:r>
      <w:bookmarkEnd w:id="57"/>
    </w:p>
    <w:p w14:paraId="5C612F22" w14:textId="77777777" w:rsidR="0090768F" w:rsidRDefault="00000000">
      <w:pPr>
        <w:pStyle w:val="Heading3"/>
      </w:pPr>
      <w:bookmarkStart w:id="58" w:name="X00276a345eabdcb773456f1beee5751a60c5cb2"/>
      <w:r>
        <w:t>9.1 The binding UK AI rules are data-protection rules</w:t>
      </w:r>
    </w:p>
    <w:p w14:paraId="175A0664" w14:textId="77777777" w:rsidR="0090768F" w:rsidRDefault="00000000">
      <w:pPr>
        <w:pStyle w:val="FirstParagraph"/>
      </w:pPr>
      <w:r>
        <w:rPr>
          <w:b/>
          <w:bCs/>
        </w:rPr>
        <w:t>There is still no UK AI Act.</w:t>
      </w:r>
      <w:r>
        <w:t xml:space="preserve"> AI is regulated at the point of use through existing sectoral regulators, on the five non-statutory principles of the March 2023 white paper. The AI Safety Institute was renamed the </w:t>
      </w:r>
      <w:r>
        <w:rPr>
          <w:b/>
          <w:bCs/>
        </w:rPr>
        <w:t>AI Security Institute</w:t>
      </w:r>
      <w:r>
        <w:t xml:space="preserve"> on 24 February 2025 and has not been made statutory; it works on frontier-model evaluation and has no remit over edtech. A private member’s AI Regulation Bill received a Lords second reading on 4 June 2026 — signal, not risk.</w:t>
      </w:r>
    </w:p>
    <w:p w14:paraId="73B3F867" w14:textId="77777777" w:rsidR="0090768F" w:rsidRDefault="00000000">
      <w:pPr>
        <w:pStyle w:val="BodyText"/>
      </w:pPr>
      <w:r>
        <w:t xml:space="preserve">So the operative UK regime for us is </w:t>
      </w:r>
      <w:r>
        <w:rPr>
          <w:b/>
          <w:bCs/>
        </w:rPr>
        <w:t>UK GDPR as amended by the Data (Use and Access) Act 2025</w:t>
      </w:r>
      <w:r>
        <w:t>, plus the forthcoming statutory ICO code.</w:t>
      </w:r>
    </w:p>
    <w:p w14:paraId="5A4D6B99" w14:textId="77777777" w:rsidR="0090768F" w:rsidRDefault="00000000">
      <w:pPr>
        <w:pStyle w:val="Heading3"/>
      </w:pPr>
      <w:bookmarkStart w:id="59" w:name="X6f040a5d74a2b0ff8997cc6493386056048e824"/>
      <w:bookmarkEnd w:id="58"/>
      <w:r>
        <w:t>9.2 The DUAA automated-decision reform — a real divergence from the EU</w:t>
      </w:r>
    </w:p>
    <w:p w14:paraId="6725A0E0" w14:textId="77777777" w:rsidR="0090768F" w:rsidRDefault="00000000">
      <w:pPr>
        <w:pStyle w:val="FirstParagraph"/>
      </w:pPr>
      <w:r>
        <w:t xml:space="preserve">Royal Assent 19 June 2025; </w:t>
      </w:r>
      <w:r>
        <w:rPr>
          <w:b/>
          <w:bCs/>
        </w:rPr>
        <w:t>s.80 in force 5 February 2026</w:t>
      </w:r>
      <w:r>
        <w:t xml:space="preserve">. It </w:t>
      </w:r>
      <w:r>
        <w:rPr>
          <w:b/>
          <w:bCs/>
        </w:rPr>
        <w:t>substitutes Article 22 UK GDPR entirely</w:t>
      </w:r>
      <w:r>
        <w:t xml:space="preserve"> with Articles 22A–22D.</w:t>
      </w:r>
    </w:p>
    <w:p w14:paraId="2999987A" w14:textId="77777777" w:rsidR="0090768F" w:rsidRDefault="00000000">
      <w:pPr>
        <w:pStyle w:val="Compact"/>
        <w:numPr>
          <w:ilvl w:val="0"/>
          <w:numId w:val="13"/>
        </w:numPr>
      </w:pPr>
      <w:r>
        <w:rPr>
          <w:b/>
          <w:bCs/>
        </w:rPr>
        <w:t>Art. 22A(1)(a):</w:t>
      </w:r>
      <w:r>
        <w:t xml:space="preserve"> a decision is based solely on automated processing </w:t>
      </w:r>
      <w:r>
        <w:rPr>
          <w:i/>
          <w:iCs/>
        </w:rPr>
        <w:t>“if there is no meaningful human involvement in the taking of the decision”</w:t>
      </w:r>
      <w:r>
        <w:t>; 22A(1)(b) defines a “significant decision” as one producing a legal effect or a similarly significant effect. 22A(2) requires consideration of the extent to which the decision is reached by profiling.</w:t>
      </w:r>
    </w:p>
    <w:p w14:paraId="047B57C4" w14:textId="77777777" w:rsidR="0090768F" w:rsidRDefault="00000000">
      <w:pPr>
        <w:pStyle w:val="Compact"/>
        <w:numPr>
          <w:ilvl w:val="0"/>
          <w:numId w:val="13"/>
        </w:numPr>
      </w:pPr>
      <w:r>
        <w:rPr>
          <w:b/>
          <w:bCs/>
        </w:rPr>
        <w:t>Art. 22B(1):</w:t>
      </w:r>
      <w:r>
        <w:t xml:space="preserve"> the </w:t>
      </w:r>
      <w:r>
        <w:rPr>
          <w:b/>
          <w:bCs/>
        </w:rPr>
        <w:t>prohibition now survives only for special category data</w:t>
      </w:r>
      <w:r>
        <w:t xml:space="preserve"> — a significant decision based entirely or partly on Art. 9(1) processing may not be taken solely automatically unless explicit consent, or contract/legal authorisation plus Art. 9(2)(g), applies. </w:t>
      </w:r>
      <w:r>
        <w:rPr>
          <w:b/>
          <w:bCs/>
        </w:rPr>
        <w:t>22B(4)</w:t>
      </w:r>
      <w:r>
        <w:t xml:space="preserve"> rules out reliance on the new “recognised legitimate interests” basis entirely.</w:t>
      </w:r>
    </w:p>
    <w:p w14:paraId="0AE2ACB5" w14:textId="77777777" w:rsidR="0090768F" w:rsidRDefault="00000000">
      <w:pPr>
        <w:pStyle w:val="Compact"/>
        <w:numPr>
          <w:ilvl w:val="0"/>
          <w:numId w:val="13"/>
        </w:numPr>
      </w:pPr>
      <w:r>
        <w:rPr>
          <w:b/>
          <w:bCs/>
        </w:rPr>
        <w:t>Art. 22C:</w:t>
      </w:r>
      <w:r>
        <w:t xml:space="preserve"> for everything else, solely-automated significant decisions are </w:t>
      </w:r>
      <w:r>
        <w:rPr>
          <w:b/>
          <w:bCs/>
        </w:rPr>
        <w:t>permitted subject to four safeguards</w:t>
      </w:r>
      <w:r>
        <w:t xml:space="preserve"> — information about the decision, the ability to make representations, human intervention, and the ability to contest.</w:t>
      </w:r>
    </w:p>
    <w:p w14:paraId="35085F91" w14:textId="77777777" w:rsidR="0090768F" w:rsidRDefault="00000000">
      <w:pPr>
        <w:pStyle w:val="Compact"/>
        <w:numPr>
          <w:ilvl w:val="0"/>
          <w:numId w:val="13"/>
        </w:numPr>
      </w:pPr>
      <w:r>
        <w:rPr>
          <w:b/>
          <w:bCs/>
        </w:rPr>
        <w:lastRenderedPageBreak/>
        <w:t>DPA 2018 s.14 was repealed</w:t>
      </w:r>
      <w:r>
        <w:t xml:space="preserve"> on 5 February 2026. Any internal document, DPIA template or sales collateral citing s.14 is now wrong.</w:t>
      </w:r>
    </w:p>
    <w:p w14:paraId="1D46FFEA" w14:textId="77777777" w:rsidR="0090768F" w:rsidRDefault="00000000">
      <w:pPr>
        <w:pStyle w:val="FirstParagraph"/>
      </w:pPr>
      <w:r>
        <w:rPr>
          <w:b/>
          <w:bCs/>
        </w:rPr>
        <w:t>Application to us.</w:t>
      </w:r>
      <w:r>
        <w:t xml:space="preserve"> An exam mark is plainly a significant decision — it drives progression, sets, predicted grades and references; the ICO’s draft guidance adds that children may find decisions significant that others do not, and that organisations unable to distinguish should apply the safeguards universally. </w:t>
      </w:r>
      <w:r>
        <w:rPr>
          <w:b/>
          <w:bCs/>
        </w:rPr>
        <w:t>The special-category trap is the real exposure:</w:t>
      </w:r>
      <w:r>
        <w:t xml:space="preserve"> Art. 22B bites where the decision is based </w:t>
      </w:r>
      <w:r>
        <w:rPr>
          <w:i/>
          <w:iCs/>
        </w:rPr>
        <w:t>“entirely or partly”</w:t>
      </w:r>
      <w:r>
        <w:t xml:space="preserve"> on Art. 9 processing, and whole scripts routinely contain health, disability, religion, ethnicity or sexual-orientation content. If the human review ever fails, the decision becomes solely automated </w:t>
      </w:r>
      <w:r>
        <w:rPr>
          <w:i/>
          <w:iCs/>
        </w:rPr>
        <w:t>and</w:t>
      </w:r>
      <w:r>
        <w:t xml:space="preserve"> partly based on special category data, and neither available condition is comfortable for a school.</w:t>
      </w:r>
    </w:p>
    <w:p w14:paraId="47D47D5D" w14:textId="77777777" w:rsidR="0090768F" w:rsidRDefault="00000000">
      <w:pPr>
        <w:pStyle w:val="BodyText"/>
      </w:pPr>
      <w:r>
        <w:rPr>
          <w:b/>
          <w:bCs/>
        </w:rPr>
        <w:t>The ICO’s draft ADM guidance</w:t>
      </w:r>
      <w:r>
        <w:t xml:space="preserve"> (consultation 31 March – 29 May 2026; </w:t>
      </w:r>
      <w:r>
        <w:rPr>
          <w:b/>
          <w:bCs/>
        </w:rPr>
        <w:t>final guidance not published as at 11 September 2026</w:t>
      </w:r>
      <w:r>
        <w:t xml:space="preserve">) sets a demanding bar for meaningful human involvement: active involvement, not token gestures, before the decision is applied; the reviewer must see the decision while it remains changeable and have authority and ability to alter it; must be sufficiently trained in the system’s logic, outputs, limitations and risks; must consider the relevant data; </w:t>
      </w:r>
      <w:r>
        <w:rPr>
          <w:b/>
          <w:bCs/>
        </w:rPr>
        <w:t>the assessment must occur for every decision, not by spot-check</w:t>
      </w:r>
      <w:r>
        <w:t xml:space="preserve">; timing and process must be documented; and the Art. 22C information duty is decision-specific, so a privacy notice alone is insufficient. </w:t>
      </w:r>
      <w:r>
        <w:rPr>
          <w:i/>
          <w:iCs/>
        </w:rPr>
        <w:t>(These details come from the draft and from law-firm analysis of it; the criteria could change.)</w:t>
      </w:r>
    </w:p>
    <w:p w14:paraId="3DDA2BF5" w14:textId="77777777" w:rsidR="0090768F" w:rsidRDefault="00000000">
      <w:pPr>
        <w:pStyle w:val="BodyText"/>
      </w:pPr>
      <w:r>
        <w:rPr>
          <w:b/>
          <w:bCs/>
        </w:rPr>
        <w:t>A statutory ICO code is now mandated.</w:t>
      </w:r>
      <w:r>
        <w:t xml:space="preserve"> The Data Protection Act 2018 (Code of Practice on Artificial Intelligence and Automated Decision-Making) Regulations 2026, </w:t>
      </w:r>
      <w:r>
        <w:rPr>
          <w:b/>
          <w:bCs/>
        </w:rPr>
        <w:t>SI 2026/425, in force 12 May 2026</w:t>
      </w:r>
      <w:r>
        <w:t xml:space="preserve">, require the Commissioner to prepare a code on developing and using AI and on automated decision-making, and — reg. 2(2) — the code </w:t>
      </w:r>
      <w:r>
        <w:rPr>
          <w:b/>
          <w:bCs/>
        </w:rPr>
        <w:t>must</w:t>
      </w:r>
      <w:r>
        <w:t xml:space="preserve"> include guidance on processing children’s personal data. It is a statutory code, admissible in evidence and which the ICO must take into account in enforcement. </w:t>
      </w:r>
      <w:r>
        <w:rPr>
          <w:b/>
          <w:bCs/>
        </w:rPr>
        <w:t>No draft, consultation or timetable had been published as at 11 September 2026. Its children’s-data chapter will be the definitive UK conformance document for us; track it.</w:t>
      </w:r>
    </w:p>
    <w:p w14:paraId="75D5214E" w14:textId="77777777" w:rsidR="0090768F" w:rsidRDefault="00000000">
      <w:pPr>
        <w:pStyle w:val="Heading3"/>
      </w:pPr>
      <w:bookmarkStart w:id="60" w:name="X8a54e9cce3bca95ea9476eaef3bca0d092776e9"/>
      <w:bookmarkEnd w:id="59"/>
      <w:r>
        <w:t>9.3 The exam-scripts exemption — useful, and routinely overstated</w:t>
      </w:r>
    </w:p>
    <w:p w14:paraId="0C6B9C3C" w14:textId="77777777" w:rsidR="0090768F" w:rsidRDefault="00000000">
      <w:pPr>
        <w:pStyle w:val="FirstParagraph"/>
      </w:pPr>
      <w:r>
        <w:t>DPA 2018 Sch. 2 Part 4 para 25 does two different things:</w:t>
      </w:r>
    </w:p>
    <w:p w14:paraId="175556AF" w14:textId="77777777" w:rsidR="0090768F" w:rsidRDefault="00000000">
      <w:pPr>
        <w:pStyle w:val="Compact"/>
        <w:numPr>
          <w:ilvl w:val="0"/>
          <w:numId w:val="14"/>
        </w:numPr>
      </w:pPr>
      <w:r>
        <w:rPr>
          <w:b/>
          <w:bCs/>
        </w:rPr>
        <w:t>Para 25(1) is a real carve-out:</w:t>
      </w:r>
      <w:r>
        <w:t xml:space="preserve"> Articles 13(1)–(3), 14(1)–(4) and 15(1)–(3) </w:t>
      </w:r>
      <w:r>
        <w:rPr>
          <w:i/>
          <w:iCs/>
        </w:rPr>
        <w:t>“do not apply to personal data consisting of information recorded by candidates during an exam”</w:t>
      </w:r>
      <w:r>
        <w:t>. A subject access request does not compel disclosure of the script content itself.</w:t>
      </w:r>
    </w:p>
    <w:p w14:paraId="3FEB237C" w14:textId="77777777" w:rsidR="0090768F" w:rsidRDefault="00000000">
      <w:pPr>
        <w:pStyle w:val="Compact"/>
        <w:numPr>
          <w:ilvl w:val="0"/>
          <w:numId w:val="14"/>
        </w:numPr>
      </w:pPr>
      <w:r>
        <w:rPr>
          <w:b/>
          <w:bCs/>
        </w:rPr>
        <w:t xml:space="preserve">Para 25(2)–(3) is only a </w:t>
      </w:r>
      <w:r>
        <w:rPr>
          <w:b/>
          <w:bCs/>
          <w:i/>
          <w:iCs/>
        </w:rPr>
        <w:t>timing</w:t>
      </w:r>
      <w:r>
        <w:rPr>
          <w:b/>
          <w:bCs/>
        </w:rPr>
        <w:t xml:space="preserve"> modification for marks:</w:t>
      </w:r>
      <w:r>
        <w:t xml:space="preserve"> where a question arises before results are announced, the deadline becomes five months from when the question arose, or forty days from announcement, whichever is earlier. Marks remain disclosable.</w:t>
      </w:r>
    </w:p>
    <w:p w14:paraId="3ABD1075" w14:textId="77777777" w:rsidR="0090768F" w:rsidRDefault="00000000">
      <w:pPr>
        <w:pStyle w:val="FirstParagraph"/>
      </w:pPr>
      <w:r>
        <w:rPr>
          <w:b/>
          <w:bCs/>
        </w:rPr>
        <w:t>It does nothing for Article 22C.</w:t>
      </w:r>
      <w:r>
        <w:t xml:space="preserve"> Para 25 restricts Arts. 13–15 only. The 22C duties, Art. 16 rectification, Art. 21 objection and the new complaints duty are untouched. A pitch that leans on para 25 to say “exam data is exempt” is overstated and will be caught by any competent school DPO.</w:t>
      </w:r>
    </w:p>
    <w:p w14:paraId="022D2C21" w14:textId="77777777" w:rsidR="0090768F" w:rsidRDefault="00000000">
      <w:pPr>
        <w:pStyle w:val="BodyText"/>
      </w:pPr>
      <w:r>
        <w:rPr>
          <w:b/>
          <w:bCs/>
        </w:rPr>
        <w:lastRenderedPageBreak/>
        <w:t>New complaints regime.</w:t>
      </w:r>
      <w:r>
        <w:t xml:space="preserve"> DUAA s.103, in force 19 June 2026, inserts DPA 2018 s.164A: a data subject may complain </w:t>
      </w:r>
      <w:r>
        <w:rPr>
          <w:b/>
          <w:bCs/>
        </w:rPr>
        <w:t>to the controller</w:t>
      </w:r>
      <w:r>
        <w:t xml:space="preserve">, who must </w:t>
      </w:r>
      <w:r>
        <w:rPr>
          <w:i/>
          <w:iCs/>
        </w:rPr>
        <w:t>facilitate</w:t>
      </w:r>
      <w:r>
        <w:t xml:space="preserve"> complaints (for example by an electronic form), </w:t>
      </w:r>
      <w:r>
        <w:rPr>
          <w:b/>
          <w:bCs/>
        </w:rPr>
        <w:t>acknowledge within 30 days</w:t>
      </w:r>
      <w:r>
        <w:t xml:space="preserve">, and respond without undue delay. Art. 77 UK GDPR was repealed. A parent disputing an AI-assisted mark is now a data protection complaint on a statutory clock. </w:t>
      </w:r>
      <w:r>
        <w:rPr>
          <w:b/>
          <w:bCs/>
        </w:rPr>
        <w:t>Ship a per-decision contest/appeal flow the school can route into its s.164A process — it doubles as the Art. 22C(2)(b) and (d) safeguards.</w:t>
      </w:r>
    </w:p>
    <w:p w14:paraId="1A029661" w14:textId="77777777" w:rsidR="0090768F" w:rsidRDefault="00000000">
      <w:pPr>
        <w:pStyle w:val="Heading3"/>
      </w:pPr>
      <w:bookmarkStart w:id="61" w:name="X02f1bf3807b7a0cb6e54e665363d31231d2f1cd"/>
      <w:bookmarkEnd w:id="60"/>
      <w:r>
        <w:t>9.4 The ICO’s edtech audit — the best available UK conformance checklist</w:t>
      </w:r>
    </w:p>
    <w:p w14:paraId="704FB70B" w14:textId="77777777" w:rsidR="0090768F" w:rsidRDefault="00000000">
      <w:pPr>
        <w:pStyle w:val="FirstParagraph"/>
      </w:pPr>
      <w:r>
        <w:rPr>
          <w:i/>
          <w:iCs/>
        </w:rPr>
        <w:t>Edtech examined</w:t>
      </w:r>
      <w:r>
        <w:t>, published 24 June 2026: 28 providers audited, reaching an estimated 70–90%+ of UK schools; 596 recommendations, 98% accepted.</w:t>
      </w:r>
    </w:p>
    <w:tbl>
      <w:tblPr>
        <w:tblStyle w:val="Table"/>
        <w:tblW w:w="5000" w:type="pct"/>
        <w:tblLook w:val="0020" w:firstRow="1" w:lastRow="0" w:firstColumn="0" w:lastColumn="0" w:noHBand="0" w:noVBand="0"/>
      </w:tblPr>
      <w:tblGrid>
        <w:gridCol w:w="7938"/>
        <w:gridCol w:w="1422"/>
      </w:tblGrid>
      <w:tr w:rsidR="0090768F" w14:paraId="67457BAC"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3D2E0D7E" w14:textId="77777777" w:rsidR="0090768F" w:rsidRDefault="00000000">
            <w:pPr>
              <w:pStyle w:val="Compact"/>
            </w:pPr>
            <w:r>
              <w:t>Finding</w:t>
            </w:r>
          </w:p>
        </w:tc>
        <w:tc>
          <w:tcPr>
            <w:tcW w:w="0" w:type="auto"/>
          </w:tcPr>
          <w:p w14:paraId="2AC87537" w14:textId="77777777" w:rsidR="0090768F" w:rsidRDefault="00000000">
            <w:pPr>
              <w:pStyle w:val="Compact"/>
            </w:pPr>
            <w:r>
              <w:t>Prevalence</w:t>
            </w:r>
          </w:p>
        </w:tc>
      </w:tr>
      <w:tr w:rsidR="0090768F" w14:paraId="040D68D4" w14:textId="77777777">
        <w:tc>
          <w:tcPr>
            <w:tcW w:w="0" w:type="auto"/>
          </w:tcPr>
          <w:p w14:paraId="6FA65444" w14:textId="77777777" w:rsidR="0090768F" w:rsidRDefault="00000000">
            <w:pPr>
              <w:pStyle w:val="Compact"/>
            </w:pPr>
            <w:r>
              <w:t xml:space="preserve">Failed to identify themselves as </w:t>
            </w:r>
            <w:r>
              <w:rPr>
                <w:b/>
                <w:bCs/>
              </w:rPr>
              <w:t>controllers</w:t>
            </w:r>
            <w:r>
              <w:t xml:space="preserve"> when using children’s data beyond the contracted service</w:t>
            </w:r>
          </w:p>
        </w:tc>
        <w:tc>
          <w:tcPr>
            <w:tcW w:w="0" w:type="auto"/>
          </w:tcPr>
          <w:p w14:paraId="5AFBAC4A" w14:textId="77777777" w:rsidR="0090768F" w:rsidRDefault="00000000">
            <w:pPr>
              <w:pStyle w:val="Compact"/>
            </w:pPr>
            <w:r>
              <w:t>~70%</w:t>
            </w:r>
          </w:p>
        </w:tc>
      </w:tr>
      <w:tr w:rsidR="0090768F" w14:paraId="045B98AC" w14:textId="77777777">
        <w:tc>
          <w:tcPr>
            <w:tcW w:w="0" w:type="auto"/>
          </w:tcPr>
          <w:p w14:paraId="117B4D9B" w14:textId="77777777" w:rsidR="0090768F" w:rsidRDefault="00000000">
            <w:pPr>
              <w:pStyle w:val="Compact"/>
            </w:pPr>
            <w:r>
              <w:t>Incomplete or inaccurate records of processing</w:t>
            </w:r>
          </w:p>
        </w:tc>
        <w:tc>
          <w:tcPr>
            <w:tcW w:w="0" w:type="auto"/>
          </w:tcPr>
          <w:p w14:paraId="425CFCD0" w14:textId="77777777" w:rsidR="0090768F" w:rsidRDefault="00000000">
            <w:pPr>
              <w:pStyle w:val="Compact"/>
            </w:pPr>
            <w:r>
              <w:t>~90%</w:t>
            </w:r>
          </w:p>
        </w:tc>
      </w:tr>
      <w:tr w:rsidR="0090768F" w14:paraId="615EEE47" w14:textId="77777777">
        <w:tc>
          <w:tcPr>
            <w:tcW w:w="0" w:type="auto"/>
          </w:tcPr>
          <w:p w14:paraId="48FCC18C" w14:textId="77777777" w:rsidR="0090768F" w:rsidRDefault="00000000">
            <w:pPr>
              <w:pStyle w:val="Compact"/>
            </w:pPr>
            <w:r>
              <w:t>Vague contracts lacking specific processing instructions</w:t>
            </w:r>
          </w:p>
        </w:tc>
        <w:tc>
          <w:tcPr>
            <w:tcW w:w="0" w:type="auto"/>
          </w:tcPr>
          <w:p w14:paraId="2399E124" w14:textId="77777777" w:rsidR="0090768F" w:rsidRDefault="00000000">
            <w:pPr>
              <w:pStyle w:val="Compact"/>
            </w:pPr>
            <w:r>
              <w:t>~70%</w:t>
            </w:r>
          </w:p>
        </w:tc>
      </w:tr>
      <w:tr w:rsidR="0090768F" w14:paraId="4047BA49" w14:textId="77777777">
        <w:tc>
          <w:tcPr>
            <w:tcW w:w="0" w:type="auto"/>
          </w:tcPr>
          <w:p w14:paraId="11E80F95" w14:textId="77777777" w:rsidR="0090768F" w:rsidRDefault="00000000">
            <w:pPr>
              <w:pStyle w:val="Compact"/>
            </w:pPr>
            <w:r>
              <w:t>Insufficiently detailed published privacy information</w:t>
            </w:r>
          </w:p>
        </w:tc>
        <w:tc>
          <w:tcPr>
            <w:tcW w:w="0" w:type="auto"/>
          </w:tcPr>
          <w:p w14:paraId="0EAA8F4A" w14:textId="77777777" w:rsidR="0090768F" w:rsidRDefault="00000000">
            <w:pPr>
              <w:pStyle w:val="Compact"/>
            </w:pPr>
            <w:r>
              <w:t>~80%</w:t>
            </w:r>
          </w:p>
        </w:tc>
      </w:tr>
      <w:tr w:rsidR="0090768F" w14:paraId="7F1EF614" w14:textId="77777777">
        <w:tc>
          <w:tcPr>
            <w:tcW w:w="0" w:type="auto"/>
          </w:tcPr>
          <w:p w14:paraId="1AC26966" w14:textId="77777777" w:rsidR="0090768F" w:rsidRDefault="00000000">
            <w:pPr>
              <w:pStyle w:val="Compact"/>
            </w:pPr>
            <w:r>
              <w:t>Fixed, unjustifiable or indefinite retention</w:t>
            </w:r>
          </w:p>
        </w:tc>
        <w:tc>
          <w:tcPr>
            <w:tcW w:w="0" w:type="auto"/>
          </w:tcPr>
          <w:p w14:paraId="2F523098" w14:textId="77777777" w:rsidR="0090768F" w:rsidRDefault="00000000">
            <w:pPr>
              <w:pStyle w:val="Compact"/>
            </w:pPr>
            <w:r>
              <w:t>~70%</w:t>
            </w:r>
          </w:p>
        </w:tc>
      </w:tr>
      <w:tr w:rsidR="0090768F" w14:paraId="372E3FA4" w14:textId="77777777">
        <w:tc>
          <w:tcPr>
            <w:tcW w:w="0" w:type="auto"/>
          </w:tcPr>
          <w:p w14:paraId="61D36CAD" w14:textId="77777777" w:rsidR="0090768F" w:rsidRDefault="00000000">
            <w:pPr>
              <w:pStyle w:val="Compact"/>
            </w:pPr>
            <w:r>
              <w:t xml:space="preserve">DPIAs framing risk as organisational rather than </w:t>
            </w:r>
            <w:r>
              <w:rPr>
                <w:b/>
                <w:bCs/>
              </w:rPr>
              <w:t>risk to children</w:t>
            </w:r>
          </w:p>
        </w:tc>
        <w:tc>
          <w:tcPr>
            <w:tcW w:w="0" w:type="auto"/>
          </w:tcPr>
          <w:p w14:paraId="06FD1C2B" w14:textId="77777777" w:rsidR="0090768F" w:rsidRDefault="00000000">
            <w:pPr>
              <w:pStyle w:val="Compact"/>
            </w:pPr>
            <w:r>
              <w:t>widespread</w:t>
            </w:r>
          </w:p>
        </w:tc>
      </w:tr>
    </w:tbl>
    <w:p w14:paraId="044C3BE4" w14:textId="77777777" w:rsidR="0090768F" w:rsidRDefault="00000000">
      <w:pPr>
        <w:pStyle w:val="BodyText"/>
      </w:pPr>
      <w:r>
        <w:t xml:space="preserve">On AI specifically, several providers used children’s data to train AI functionality or shared anonymised information with third parties </w:t>
      </w:r>
      <w:r>
        <w:rPr>
          <w:b/>
          <w:bCs/>
        </w:rPr>
        <w:t>without identifying a lawful basis</w:t>
      </w:r>
      <w:r>
        <w:t xml:space="preserve">. On minimisation, the ICO recommends initials or pseudonyms, school year instead of full date of birth, and </w:t>
      </w:r>
      <w:r>
        <w:rPr>
          <w:b/>
          <w:bCs/>
        </w:rPr>
        <w:t>special-category processing optional and disabled by default</w:t>
      </w:r>
      <w:r>
        <w:t xml:space="preserve">. The ICO says it is discussing a </w:t>
      </w:r>
      <w:r>
        <w:rPr>
          <w:b/>
          <w:bCs/>
        </w:rPr>
        <w:t>potential new edtech code</w:t>
      </w:r>
      <w:r>
        <w:t xml:space="preserve"> with DfE and the devolved authorities, and DfE’s own procurement guidance now directs schools to the report. </w:t>
      </w:r>
      <w:r>
        <w:rPr>
          <w:b/>
          <w:bCs/>
        </w:rPr>
        <w:t>Treat all 596 recommendation themes as pre-sales due-diligence questions, because school DPOs now will.</w:t>
      </w:r>
    </w:p>
    <w:p w14:paraId="7BA24DFA" w14:textId="77777777" w:rsidR="0090768F" w:rsidRDefault="00000000">
      <w:pPr>
        <w:pStyle w:val="BodyText"/>
      </w:pPr>
      <w:r>
        <w:rPr>
          <w:b/>
          <w:bCs/>
        </w:rPr>
        <w:t>Children’s code.</w:t>
      </w:r>
      <w:r>
        <w:t xml:space="preserve"> It does not apply where all three are true: the service is not direct-to-consumer; the provider processes children’s data only to fulfil the school’s public task as determined by the school; and the provider acts solely on the school’s instruction. </w:t>
      </w:r>
      <w:r>
        <w:rPr>
          <w:b/>
          <w:bCs/>
        </w:rPr>
        <w:t>The moment we retain scripts for model improvement, benchmarking or product analytics on our own account, we become a controller and the code applies in full.</w:t>
      </w:r>
      <w:r>
        <w:t xml:space="preserve"> That is a binary architectural decision. From 5 February 2026, DUAA s.81 additionally inserts Art. 25(1A)–(1B) requiring “children’s higher protection matters” to be taken into account in technical and organisational measures.</w:t>
      </w:r>
    </w:p>
    <w:p w14:paraId="1C9659D9" w14:textId="77777777" w:rsidR="0090768F" w:rsidRDefault="00000000">
      <w:pPr>
        <w:pStyle w:val="Heading3"/>
      </w:pPr>
      <w:bookmarkStart w:id="62" w:name="X6ab32ebfd8c4285cdce826725e4da8d0835d0c1"/>
      <w:bookmarkEnd w:id="61"/>
      <w:r>
        <w:t>9.5 DfE — the de facto vendor conformance standard</w:t>
      </w:r>
    </w:p>
    <w:p w14:paraId="4F018E35" w14:textId="77777777" w:rsidR="0090768F" w:rsidRDefault="00000000">
      <w:pPr>
        <w:pStyle w:val="FirstParagraph"/>
      </w:pPr>
      <w:r>
        <w:rPr>
          <w:b/>
          <w:bCs/>
        </w:rPr>
        <w:t>“Generative AI: product safety standards”</w:t>
      </w:r>
      <w:r>
        <w:t xml:space="preserve"> (published 22 January 2025, last updated 19 January 2026; still referred to as “product safety expectations” in KCSIE 2026 and the DfE policy paper — same document). These are addressed to </w:t>
      </w:r>
      <w:r>
        <w:rPr>
          <w:b/>
          <w:bCs/>
        </w:rPr>
        <w:t xml:space="preserve">edtech developers and </w:t>
      </w:r>
      <w:r>
        <w:rPr>
          <w:b/>
          <w:bCs/>
        </w:rPr>
        <w:lastRenderedPageBreak/>
        <w:t>suppliers</w:t>
      </w:r>
      <w:r>
        <w:t>, and responsibility for assuring upstream elements lies with the supplier working directly with the school.</w:t>
      </w:r>
    </w:p>
    <w:p w14:paraId="09B95FD3" w14:textId="77777777" w:rsidR="0090768F" w:rsidRDefault="00000000">
      <w:pPr>
        <w:pStyle w:val="BodyText"/>
      </w:pPr>
      <w:r>
        <w:t xml:space="preserve">We fall squarely in </w:t>
      </w:r>
      <w:r>
        <w:rPr>
          <w:b/>
          <w:bCs/>
        </w:rPr>
        <w:t>use case 3: “Assessment and analytics: tools that automate the marking of student work, provide detailed performance analytics, and offer personalised feedback.”</w:t>
      </w:r>
      <w:r>
        <w:t xml:space="preserve"> This matters for scoping: several standards are expressly limited to learner-facing products, so a teacher-facing product is </w:t>
      </w:r>
      <w:r>
        <w:rPr>
          <w:b/>
          <w:bCs/>
        </w:rPr>
        <w:t>out of scope</w:t>
      </w:r>
      <w:r>
        <w:t xml:space="preserve"> for Filtering, Monitoring and reporting, Cognitive development, Emotional and social development, and Mental health — and </w:t>
      </w:r>
      <w:r>
        <w:rPr>
          <w:b/>
          <w:bCs/>
        </w:rPr>
        <w:t>in scope</w:t>
      </w:r>
      <w:r>
        <w:t xml:space="preserve"> for Security, Privacy and data protection, Intellectual property, Design and testing, Governance, and Manipulation. </w:t>
      </w:r>
      <w:r>
        <w:rPr>
          <w:b/>
          <w:bCs/>
        </w:rPr>
        <w:t>A pupil-facing feedback feature flips us into the learner-facing standards, including designated-safeguarding-lead alerting, session time limits, distress detection and anti-anthropomorphism. That is a very large build and belongs in its own business case.</w:t>
      </w:r>
    </w:p>
    <w:p w14:paraId="279DC997" w14:textId="77777777" w:rsidR="0090768F" w:rsidRDefault="00000000">
      <w:pPr>
        <w:pStyle w:val="BodyText"/>
      </w:pPr>
      <w:r>
        <w:t xml:space="preserve">The standards that bind us include: administrator-settable permission levels, safety testing of new versions and models before release, MFA on accounts with access to personal operational data; a privacy notice presented at regular intervals in age-appropriate language stating whether data is processed outside the UK or EU; a </w:t>
      </w:r>
      <w:r>
        <w:rPr>
          <w:b/>
          <w:bCs/>
        </w:rPr>
        <w:t>DPIA during development and across the full lifecycle</w:t>
      </w:r>
      <w:r>
        <w:t xml:space="preserve">; compliance with the Children’s code; and — critically — </w:t>
      </w:r>
      <w:r>
        <w:rPr>
          <w:b/>
          <w:bCs/>
        </w:rPr>
        <w:t>no collection, storage, sharing or use of personal data for commercial purposes including further model training and fine-tuning without confirmation of an appropriate lawful basis</w:t>
      </w:r>
      <w:r>
        <w:t>.</w:t>
      </w:r>
    </w:p>
    <w:p w14:paraId="6B4B7893" w14:textId="77777777" w:rsidR="0090768F" w:rsidRDefault="00000000">
      <w:pPr>
        <w:pStyle w:val="BodyText"/>
      </w:pPr>
      <w:r>
        <w:rPr>
          <w:b/>
          <w:bCs/>
        </w:rPr>
        <w:t>The IP standard is the hardest single constraint on a data flywheel.</w:t>
      </w:r>
      <w:r>
        <w:t xml:space="preserve"> Exam scripts are pupils’ copyright works; DfE states schools </w:t>
      </w:r>
      <w:r>
        <w:rPr>
          <w:i/>
          <w:iCs/>
        </w:rPr>
        <w:t>“must not allow or cause students’ original work to be used to train generative AI models unless they have permission, or an exception to copyright applies”</w:t>
      </w:r>
      <w:r>
        <w:t xml:space="preserve"> — permission from the pupil, or the parent or guardian if the pupil is a minor. And the UK has no applicable exception: the broad text-and-data-mining exception is not proceeding, and no statutory training-data transparency obligation is in force. </w:t>
      </w:r>
      <w:r>
        <w:rPr>
          <w:b/>
          <w:bCs/>
        </w:rPr>
        <w:t>Plan for a separately licensed corpus.</w:t>
      </w:r>
      <w:r>
        <w:t xml:space="preserve"> Ofqual’s </w:t>
      </w:r>
      <w:r>
        <w:rPr>
          <w:i/>
          <w:iCs/>
        </w:rPr>
        <w:t>“bank of expertly marked student scripts, with appropriate permissions”</w:t>
      </w:r>
      <w:r>
        <w:t xml:space="preserve"> supplied to the DfE content-store pilot is the model and is worth pursuing directly.</w:t>
      </w:r>
    </w:p>
    <w:p w14:paraId="495D8D9F" w14:textId="77777777" w:rsidR="0090768F" w:rsidRDefault="00000000">
      <w:pPr>
        <w:pStyle w:val="BodyText"/>
      </w:pPr>
      <w:r>
        <w:rPr>
          <w:b/>
          <w:bCs/>
        </w:rPr>
        <w:t>The Manipulation standard applies to teacher-facing products</w:t>
      </w:r>
      <w:r>
        <w:t xml:space="preserve"> and forbids </w:t>
      </w:r>
      <w:r>
        <w:rPr>
          <w:i/>
          <w:iCs/>
        </w:rPr>
        <w:t>“portraying absolute, or unjustified confidence”</w:t>
      </w:r>
      <w:r>
        <w:t xml:space="preserve">. </w:t>
      </w:r>
      <w:r>
        <w:rPr>
          <w:b/>
          <w:bCs/>
        </w:rPr>
        <w:t>That is a direct UI requirement: ship calibrated confidence bands, flag low-confidence items for mandatory review, and never present a mark as settled.</w:t>
      </w:r>
    </w:p>
    <w:p w14:paraId="250EEE18" w14:textId="77777777" w:rsidR="0090768F" w:rsidRDefault="00000000">
      <w:pPr>
        <w:pStyle w:val="BodyText"/>
      </w:pPr>
      <w:r>
        <w:rPr>
          <w:b/>
          <w:bCs/>
        </w:rPr>
        <w:t>There is no DfE certification, self-declaration, register or conformity mark.</w:t>
      </w:r>
      <w:r>
        <w:t xml:space="preserve"> The absence is an opportunity: publishing a clause-by-clause self-assessment against these standards costs little, is exactly what school DPOs and business managers look for, and pre-empts the ICO edtech findings. Watch the </w:t>
      </w:r>
      <w:r>
        <w:rPr>
          <w:b/>
          <w:bCs/>
        </w:rPr>
        <w:t>EdTech Impact Testbed Programme</w:t>
      </w:r>
      <w:r>
        <w:t xml:space="preserve"> (£23m, FY2026-27 onward) as the route to a government-badged evidence base.</w:t>
      </w:r>
    </w:p>
    <w:p w14:paraId="48D0E6AF" w14:textId="77777777" w:rsidR="0090768F" w:rsidRDefault="00000000">
      <w:pPr>
        <w:pStyle w:val="BodyText"/>
      </w:pPr>
      <w:r>
        <w:t xml:space="preserve">DfE’s policy paper is also the best available statement of the market tailwind: </w:t>
      </w:r>
      <w:r>
        <w:rPr>
          <w:i/>
          <w:iCs/>
        </w:rPr>
        <w:t>“We see more immediate benefits and fewer risks from teacher-facing use of generative AI”</w:t>
      </w:r>
      <w:r>
        <w:t xml:space="preserve">, coupled with the responsibility rule — </w:t>
      </w:r>
      <w:r>
        <w:rPr>
          <w:i/>
          <w:iCs/>
        </w:rPr>
        <w:t xml:space="preserve">“The quality and content of any final documents remains the </w:t>
      </w:r>
      <w:r>
        <w:rPr>
          <w:i/>
          <w:iCs/>
        </w:rPr>
        <w:lastRenderedPageBreak/>
        <w:t>responsibility of the professional who produced it.”</w:t>
      </w:r>
      <w:r>
        <w:t xml:space="preserve"> Ofsted does not evaluate AI use directly but considers its </w:t>
      </w:r>
      <w:r>
        <w:rPr>
          <w:b/>
          <w:bCs/>
        </w:rPr>
        <w:t>impact</w:t>
      </w:r>
      <w:r>
        <w:t xml:space="preserve">, and evaluates </w:t>
      </w:r>
      <w:r>
        <w:rPr>
          <w:b/>
          <w:bCs/>
        </w:rPr>
        <w:t>the provider’s decision-making</w:t>
      </w:r>
      <w:r>
        <w:t>, not the tool.</w:t>
      </w:r>
    </w:p>
    <w:p w14:paraId="112EAADB" w14:textId="77777777" w:rsidR="0090768F" w:rsidRDefault="00000000">
      <w:pPr>
        <w:pStyle w:val="Heading3"/>
      </w:pPr>
      <w:bookmarkStart w:id="63" w:name="Xb858f363b0d7a21eabc4b01b7dc42464463a6c0"/>
      <w:bookmarkEnd w:id="62"/>
      <w:r>
        <w:t>9.6 Ofqual and JCQ — the hard boundary, and where it leaves room</w:t>
      </w:r>
    </w:p>
    <w:p w14:paraId="465D60E2" w14:textId="77777777" w:rsidR="0090768F" w:rsidRDefault="00000000">
      <w:pPr>
        <w:pStyle w:val="FirstParagraph"/>
      </w:pPr>
      <w:r>
        <w:rPr>
          <w:b/>
          <w:bCs/>
        </w:rPr>
        <w:t>Ofqual’s position (policy paper as at 16 July 2026):</w:t>
      </w:r>
    </w:p>
    <w:p w14:paraId="075AA954" w14:textId="77777777" w:rsidR="0090768F" w:rsidRDefault="00000000">
      <w:pPr>
        <w:pStyle w:val="BlockText"/>
      </w:pPr>
      <w:r>
        <w:rPr>
          <w:i/>
          <w:iCs/>
        </w:rPr>
        <w:t xml:space="preserve">“We have made clear to awarding organisations that </w:t>
      </w:r>
      <w:r>
        <w:rPr>
          <w:b/>
          <w:bCs/>
          <w:i/>
          <w:iCs/>
        </w:rPr>
        <w:t>AI may not be used as a sole marker in any assessments that are part of regulated qualifications</w:t>
      </w:r>
      <w:r>
        <w:rPr>
          <w:i/>
          <w:iCs/>
        </w:rPr>
        <w:t>.”</w:t>
      </w:r>
    </w:p>
    <w:p w14:paraId="3C1EAC38" w14:textId="77777777" w:rsidR="0090768F" w:rsidRDefault="00000000">
      <w:pPr>
        <w:pStyle w:val="FirstParagraph"/>
      </w:pPr>
      <w:r>
        <w:t>And in the next paragraph, the opening:</w:t>
      </w:r>
    </w:p>
    <w:p w14:paraId="7FC1BCBA" w14:textId="77777777" w:rsidR="0090768F" w:rsidRDefault="00000000">
      <w:pPr>
        <w:pStyle w:val="BlockText"/>
      </w:pPr>
      <w:r>
        <w:rPr>
          <w:i/>
          <w:iCs/>
        </w:rPr>
        <w:t>“…we recognise the potential for AI to support marking of lower-stakes and classroom-based assessment. We have contributed to work led by the Department for Education to support the development of AI tools to assist teachers in marking classroom assessments.”</w:t>
      </w:r>
    </w:p>
    <w:p w14:paraId="46722A59" w14:textId="77777777" w:rsidR="0090768F" w:rsidRDefault="00000000">
      <w:pPr>
        <w:pStyle w:val="FirstParagraph"/>
      </w:pPr>
      <w:r>
        <w:t xml:space="preserve">Ofqual’s research paper </w:t>
      </w:r>
      <w:r>
        <w:rPr>
          <w:i/>
          <w:iCs/>
        </w:rPr>
        <w:t>Principles of AI use in marking</w:t>
      </w:r>
      <w:r>
        <w:t xml:space="preserve"> (14 January 2026) is candid in both directions: AI as sole determinant does not comply with its regulations, but </w:t>
      </w:r>
      <w:r>
        <w:rPr>
          <w:i/>
          <w:iCs/>
        </w:rPr>
        <w:t>“principled arguments exist for accepting AI and automated marking in high stakes assessments, in the right conditions and with the right safeguards”</w:t>
      </w:r>
      <w:r>
        <w:t xml:space="preserve">. It flags that explainability methods can produce </w:t>
      </w:r>
      <w:r>
        <w:rPr>
          <w:b/>
          <w:bCs/>
        </w:rPr>
        <w:t>misleading</w:t>
      </w:r>
      <w:r>
        <w:t xml:space="preserve"> explanations, that empirical studies have identified </w:t>
      </w:r>
      <w:r>
        <w:rPr>
          <w:b/>
          <w:bCs/>
        </w:rPr>
        <w:t>variable AI marking performance across demographic groups</w:t>
      </w:r>
      <w:r>
        <w:t xml:space="preserve">, and that </w:t>
      </w:r>
      <w:r>
        <w:rPr>
          <w:b/>
          <w:bCs/>
        </w:rPr>
        <w:t>agreement with human marks alone is insufficient</w:t>
      </w:r>
      <w:r>
        <w:t xml:space="preserve"> evidence of validity. The degree and type of human involvement </w:t>
      </w:r>
      <w:r>
        <w:rPr>
          <w:i/>
          <w:iCs/>
        </w:rPr>
        <w:t>“remains a key regulatory question”</w:t>
      </w:r>
      <w:r>
        <w:t>, and Ofqual is gathering evidence over 12–24 months.</w:t>
      </w:r>
    </w:p>
    <w:p w14:paraId="24CF7F10" w14:textId="77777777" w:rsidR="0090768F" w:rsidRDefault="00000000">
      <w:pPr>
        <w:pStyle w:val="BodyText"/>
      </w:pPr>
      <w:r>
        <w:rPr>
          <w:b/>
          <w:bCs/>
        </w:rPr>
        <w:t>JCQ goes further operationally than data protection law does.</w:t>
      </w:r>
      <w:r>
        <w:t xml:space="preserve"> Instructions for Conducting Coursework s.8.1 and for Non-Examination Assessments s.6.1: </w:t>
      </w:r>
      <w:r>
        <w:rPr>
          <w:i/>
          <w:iCs/>
        </w:rPr>
        <w:t>“Teachers must not use artificial intelligence as the sole means of marking candidates’ work.”</w:t>
      </w:r>
      <w:r>
        <w:t xml:space="preserve"> And in </w:t>
      </w:r>
      <w:r>
        <w:rPr>
          <w:i/>
          <w:iCs/>
        </w:rPr>
        <w:t>AI Use in Assessments</w:t>
      </w:r>
      <w:r>
        <w:t xml:space="preserve">: </w:t>
      </w:r>
      <w:r>
        <w:rPr>
          <w:i/>
          <w:iCs/>
        </w:rPr>
        <w:t>“an AI tool cannot be the sole marker. A human assessor must review all the work in its entirety and determine the mark it warrants, regardless of the outcomes of an AI tool.”</w:t>
      </w:r>
      <w:r>
        <w:t xml:space="preserve"> </w:t>
      </w:r>
      <w:r>
        <w:rPr>
          <w:i/>
          <w:iCs/>
        </w:rPr>
        <w:t>(Section numbering comes from the JCQ website rendering; the underlying PDFs could not be fetched — verify before quoting externally.)</w:t>
      </w:r>
    </w:p>
    <w:p w14:paraId="474A3D69" w14:textId="77777777" w:rsidR="0090768F" w:rsidRDefault="00000000">
      <w:pPr>
        <w:pStyle w:val="BodyText"/>
      </w:pPr>
      <w:r>
        <w:rPr>
          <w:b/>
          <w:bCs/>
        </w:rPr>
        <w:t>“Review all the work in its entirety” is a stricter requirement than Art. 22A</w:t>
      </w:r>
      <w:r>
        <w:t xml:space="preserve"> — it is not enough to review the proposal; the examiner must read the script. It is the same requirement German law imposes through </w:t>
      </w:r>
      <w:r>
        <w:rPr>
          <w:i/>
          <w:iCs/>
        </w:rPr>
        <w:t>persönlich unmittelbar und vollständig zur Kenntnis nehmen</w:t>
      </w:r>
      <w:r>
        <w:t xml:space="preserve">. </w:t>
      </w:r>
      <w:r>
        <w:rPr>
          <w:b/>
          <w:bCs/>
        </w:rPr>
        <w:t>Build the product so the script and the proposal are side by side and a mark cannot be entered without the script in view.</w:t>
      </w:r>
    </w:p>
    <w:p w14:paraId="0622D29E" w14:textId="77777777" w:rsidR="0090768F" w:rsidRDefault="00000000">
      <w:pPr>
        <w:pStyle w:val="BodyText"/>
      </w:pPr>
      <w:r>
        <w:rPr>
          <w:b/>
          <w:bCs/>
        </w:rPr>
        <w:t>Commercial consequence — enter via classroom assessment.</w:t>
      </w:r>
    </w:p>
    <w:tbl>
      <w:tblPr>
        <w:tblStyle w:val="Table"/>
        <w:tblW w:w="5000" w:type="pct"/>
        <w:tblLook w:val="0020" w:firstRow="1" w:lastRow="0" w:firstColumn="0" w:lastColumn="0" w:noHBand="0" w:noVBand="0"/>
      </w:tblPr>
      <w:tblGrid>
        <w:gridCol w:w="1582"/>
        <w:gridCol w:w="4890"/>
        <w:gridCol w:w="2888"/>
      </w:tblGrid>
      <w:tr w:rsidR="0090768F" w14:paraId="63A6149C"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00F6B957" w14:textId="77777777" w:rsidR="0090768F" w:rsidRDefault="0090768F">
            <w:pPr>
              <w:pStyle w:val="Compact"/>
            </w:pPr>
          </w:p>
        </w:tc>
        <w:tc>
          <w:tcPr>
            <w:tcW w:w="0" w:type="auto"/>
          </w:tcPr>
          <w:p w14:paraId="1430EC17" w14:textId="77777777" w:rsidR="0090768F" w:rsidRDefault="00000000">
            <w:pPr>
              <w:pStyle w:val="Compact"/>
            </w:pPr>
            <w:r>
              <w:t>Regulated qualifications (GCSE, A level, VTQs)</w:t>
            </w:r>
          </w:p>
        </w:tc>
        <w:tc>
          <w:tcPr>
            <w:tcW w:w="0" w:type="auto"/>
          </w:tcPr>
          <w:p w14:paraId="33DDEBA6" w14:textId="77777777" w:rsidR="0090768F" w:rsidRDefault="00000000">
            <w:pPr>
              <w:pStyle w:val="Compact"/>
            </w:pPr>
            <w:r>
              <w:t>Classroom / formative assessment</w:t>
            </w:r>
          </w:p>
        </w:tc>
      </w:tr>
      <w:tr w:rsidR="0090768F" w14:paraId="36069E23" w14:textId="77777777">
        <w:tc>
          <w:tcPr>
            <w:tcW w:w="0" w:type="auto"/>
          </w:tcPr>
          <w:p w14:paraId="757189EF" w14:textId="77777777" w:rsidR="0090768F" w:rsidRDefault="00000000">
            <w:pPr>
              <w:pStyle w:val="Compact"/>
            </w:pPr>
            <w:r>
              <w:t>Regulator</w:t>
            </w:r>
          </w:p>
        </w:tc>
        <w:tc>
          <w:tcPr>
            <w:tcW w:w="0" w:type="auto"/>
          </w:tcPr>
          <w:p w14:paraId="1FC59581" w14:textId="77777777" w:rsidR="0090768F" w:rsidRDefault="00000000">
            <w:pPr>
              <w:pStyle w:val="Compact"/>
            </w:pPr>
            <w:r>
              <w:t>Ofqual, Qualifications Wales, Qualifications Scotland, CCEA</w:t>
            </w:r>
          </w:p>
        </w:tc>
        <w:tc>
          <w:tcPr>
            <w:tcW w:w="0" w:type="auto"/>
          </w:tcPr>
          <w:p w14:paraId="7A053D1E" w14:textId="77777777" w:rsidR="0090768F" w:rsidRDefault="00000000">
            <w:pPr>
              <w:pStyle w:val="Compact"/>
            </w:pPr>
            <w:r>
              <w:t>none — the school’s professional judgment</w:t>
            </w:r>
          </w:p>
        </w:tc>
      </w:tr>
      <w:tr w:rsidR="0090768F" w14:paraId="7EAEBE40" w14:textId="77777777">
        <w:tc>
          <w:tcPr>
            <w:tcW w:w="0" w:type="auto"/>
          </w:tcPr>
          <w:p w14:paraId="36ED7078" w14:textId="77777777" w:rsidR="0090768F" w:rsidRDefault="00000000">
            <w:pPr>
              <w:pStyle w:val="Compact"/>
            </w:pPr>
            <w:r>
              <w:t xml:space="preserve">AI sole </w:t>
            </w:r>
            <w:r>
              <w:lastRenderedPageBreak/>
              <w:t>marking</w:t>
            </w:r>
          </w:p>
        </w:tc>
        <w:tc>
          <w:tcPr>
            <w:tcW w:w="0" w:type="auto"/>
          </w:tcPr>
          <w:p w14:paraId="4E007792" w14:textId="77777777" w:rsidR="0090768F" w:rsidRDefault="00000000">
            <w:pPr>
              <w:pStyle w:val="Compact"/>
            </w:pPr>
            <w:r>
              <w:rPr>
                <w:b/>
                <w:bCs/>
              </w:rPr>
              <w:lastRenderedPageBreak/>
              <w:t>Prohibited</w:t>
            </w:r>
          </w:p>
        </w:tc>
        <w:tc>
          <w:tcPr>
            <w:tcW w:w="0" w:type="auto"/>
          </w:tcPr>
          <w:p w14:paraId="02F7FCED" w14:textId="77777777" w:rsidR="0090768F" w:rsidRDefault="00000000">
            <w:pPr>
              <w:pStyle w:val="Compact"/>
            </w:pPr>
            <w:r>
              <w:t>not prohibited; DfE-</w:t>
            </w:r>
            <w:r>
              <w:lastRenderedPageBreak/>
              <w:t>supported</w:t>
            </w:r>
          </w:p>
        </w:tc>
      </w:tr>
      <w:tr w:rsidR="0090768F" w14:paraId="49675FF2" w14:textId="77777777">
        <w:tc>
          <w:tcPr>
            <w:tcW w:w="0" w:type="auto"/>
          </w:tcPr>
          <w:p w14:paraId="10C59943" w14:textId="77777777" w:rsidR="0090768F" w:rsidRDefault="00000000">
            <w:pPr>
              <w:pStyle w:val="Compact"/>
            </w:pPr>
            <w:r>
              <w:lastRenderedPageBreak/>
              <w:t>Gatekeeper</w:t>
            </w:r>
          </w:p>
        </w:tc>
        <w:tc>
          <w:tcPr>
            <w:tcW w:w="0" w:type="auto"/>
          </w:tcPr>
          <w:p w14:paraId="07955B10" w14:textId="77777777" w:rsidR="0090768F" w:rsidRDefault="00000000">
            <w:pPr>
              <w:pStyle w:val="Compact"/>
            </w:pPr>
            <w:r>
              <w:t>the awarding organisation (~7 bodies)</w:t>
            </w:r>
          </w:p>
        </w:tc>
        <w:tc>
          <w:tcPr>
            <w:tcW w:w="0" w:type="auto"/>
          </w:tcPr>
          <w:p w14:paraId="07D31F60" w14:textId="77777777" w:rsidR="0090768F" w:rsidRDefault="00000000">
            <w:pPr>
              <w:pStyle w:val="Compact"/>
            </w:pPr>
            <w:r>
              <w:t>every school or trust individually</w:t>
            </w:r>
          </w:p>
        </w:tc>
      </w:tr>
      <w:tr w:rsidR="0090768F" w14:paraId="32317FA6" w14:textId="77777777">
        <w:tc>
          <w:tcPr>
            <w:tcW w:w="0" w:type="auto"/>
          </w:tcPr>
          <w:p w14:paraId="1DD897FD" w14:textId="77777777" w:rsidR="0090768F" w:rsidRDefault="00000000">
            <w:pPr>
              <w:pStyle w:val="Compact"/>
            </w:pPr>
            <w:r>
              <w:t>Our route</w:t>
            </w:r>
          </w:p>
        </w:tc>
        <w:tc>
          <w:tcPr>
            <w:tcW w:w="0" w:type="auto"/>
          </w:tcPr>
          <w:p w14:paraId="194B8CEB" w14:textId="77777777" w:rsidR="0090768F" w:rsidRDefault="00000000">
            <w:pPr>
              <w:pStyle w:val="Compact"/>
            </w:pPr>
            <w:r>
              <w:t xml:space="preserve">sell </w:t>
            </w:r>
            <w:r>
              <w:rPr>
                <w:i/>
                <w:iCs/>
              </w:rPr>
              <w:t>to</w:t>
            </w:r>
            <w:r>
              <w:t xml:space="preserve"> awarding organisations as AI-assisted marking/QA inside their human process</w:t>
            </w:r>
          </w:p>
        </w:tc>
        <w:tc>
          <w:tcPr>
            <w:tcW w:w="0" w:type="auto"/>
          </w:tcPr>
          <w:p w14:paraId="0269DC35" w14:textId="77777777" w:rsidR="0090768F" w:rsidRDefault="00000000">
            <w:pPr>
              <w:pStyle w:val="Compact"/>
            </w:pPr>
            <w:r>
              <w:t>sell direct to schools and trusts</w:t>
            </w:r>
          </w:p>
        </w:tc>
      </w:tr>
    </w:tbl>
    <w:p w14:paraId="2FFAC518" w14:textId="77777777" w:rsidR="0090768F" w:rsidRDefault="00000000">
      <w:pPr>
        <w:pStyle w:val="BodyText"/>
      </w:pPr>
      <w:r>
        <w:t xml:space="preserve">Be explicit in all collateral that the product is not for marking regulated qualifications, and consider a hard in-product control — the realistic failure mode is a school using it on mock GCSEs and a parent complaining, leaving the school with no defensible position. Note that the regulated market is not closed: Ofqual’s own framing of AI “to support marking and quality assurance” with “human second-marking of all or a subset” describes an AI-assisted product. </w:t>
      </w:r>
      <w:r>
        <w:rPr>
          <w:b/>
          <w:bCs/>
        </w:rPr>
        <w:t>The barrier there is evidence, not prohibition.</w:t>
      </w:r>
    </w:p>
    <w:p w14:paraId="426806A1" w14:textId="77777777" w:rsidR="0090768F" w:rsidRDefault="00000000">
      <w:pPr>
        <w:pStyle w:val="BodyText"/>
      </w:pPr>
      <w:r>
        <w:rPr>
          <w:b/>
          <w:bCs/>
        </w:rPr>
        <w:t>Higher education</w:t>
      </w:r>
      <w:r>
        <w:t xml:space="preserve"> is the least regulated and most fragmented UK segment: institutions are autonomous, no regulator sets marking methodology, OfS condition B4 applies generically, and </w:t>
      </w:r>
      <w:r>
        <w:rPr>
          <w:i/>
          <w:iCs/>
        </w:rPr>
        <w:t>no OfS AI-specific guidance or condition could be found</w:t>
      </w:r>
      <w:r>
        <w:t xml:space="preserve">. HE students are adults, so the Children’s code does not apply — which materially simplifies the compliance story. </w:t>
      </w:r>
      <w:r>
        <w:rPr>
          <w:b/>
          <w:bCs/>
        </w:rPr>
        <w:t>Consider HE the lower-friction UK beachhead.</w:t>
      </w:r>
    </w:p>
    <w:p w14:paraId="2BD33152" w14:textId="77777777" w:rsidR="0090768F" w:rsidRDefault="00000000">
      <w:pPr>
        <w:pStyle w:val="Heading3"/>
      </w:pPr>
      <w:bookmarkStart w:id="64" w:name="Xc7cdcfe05908dc18626bdf3fff61b6092c186f6"/>
      <w:bookmarkEnd w:id="63"/>
      <w:r>
        <w:t>9.7 Equality — and the one genuine differentiator available to us</w:t>
      </w:r>
    </w:p>
    <w:p w14:paraId="6017E0AB" w14:textId="77777777" w:rsidR="0090768F" w:rsidRDefault="00000000">
      <w:pPr>
        <w:pStyle w:val="FirstParagraph"/>
      </w:pPr>
      <w:r>
        <w:rPr>
          <w:b/>
          <w:bCs/>
        </w:rPr>
        <w:t>Equality Act 2010 s.19 (indirect discrimination):</w:t>
      </w:r>
      <w:r>
        <w:t xml:space="preserve"> an OCR/LLM marker that systematically scores less legible handwriting, dysgraphic handwriting, non-standard dialect or EAL syntax lower is a textbook provision, criterion or practice. Protected characteristics engaged: disability, race, religion or belief. </w:t>
      </w:r>
      <w:r>
        <w:rPr>
          <w:b/>
          <w:bCs/>
        </w:rPr>
        <w:t>ss.20–21</w:t>
      </w:r>
      <w:r>
        <w:t xml:space="preserve"> impose an anticipatory reasonable-adjustment duty — if we underperform on scribed, enlarged or word-processed scripts, the school’s duty is engaged. </w:t>
      </w:r>
      <w:r>
        <w:rPr>
          <w:b/>
          <w:bCs/>
        </w:rPr>
        <w:t>s.149 (Public Sector Equality Duty)</w:t>
      </w:r>
      <w:r>
        <w:t xml:space="preserve"> applies to maintained schools, academies and FE/HE providers exercising public functions.</w:t>
      </w:r>
    </w:p>
    <w:p w14:paraId="0F12DDB6" w14:textId="77777777" w:rsidR="0090768F" w:rsidRDefault="00000000">
      <w:pPr>
        <w:pStyle w:val="BodyText"/>
      </w:pPr>
      <w:r>
        <w:rPr>
          <w:b/>
          <w:bCs/>
        </w:rPr>
        <w:t>The duty is on the school, but the school cannot discharge it without data from us.</w:t>
      </w:r>
      <w:r>
        <w:t xml:space="preserve"> That is the opening. </w:t>
      </w:r>
      <w:r>
        <w:rPr>
          <w:b/>
          <w:bCs/>
        </w:rPr>
        <w:t>Publish stratified performance evidence</w:t>
      </w:r>
      <w:r>
        <w:t xml:space="preserve"> — agreement with human markers broken down by handwriting legibility band, EAL status, SEND/access-arrangement status, and, where lawfully available, ethnicity — and ship an ongoing tenant-level disparity dashboard. No competitor will have this, and a school that cannot evidence equality impact cannot lawfully deploy. Ofqual’s own research confirms the risk is real, and AI Act Art. 4a now gives an EU-law basis for the protected-attribute processing the testing requires.</w:t>
      </w:r>
    </w:p>
    <w:p w14:paraId="61D03D92" w14:textId="77777777" w:rsidR="0090768F" w:rsidRDefault="00000000">
      <w:pPr>
        <w:pStyle w:val="Heading3"/>
      </w:pPr>
      <w:bookmarkStart w:id="65" w:name="procurement-transparency-online-safety"/>
      <w:bookmarkEnd w:id="64"/>
      <w:r>
        <w:t>9.8 Procurement, transparency, online safety</w:t>
      </w:r>
    </w:p>
    <w:p w14:paraId="0CD6FB8F" w14:textId="77777777" w:rsidR="0090768F" w:rsidRDefault="00000000">
      <w:pPr>
        <w:pStyle w:val="FirstParagraph"/>
      </w:pPr>
      <w:r>
        <w:rPr>
          <w:b/>
          <w:bCs/>
        </w:rPr>
        <w:t>Procurement Act 2023</w:t>
      </w:r>
      <w:r>
        <w:t xml:space="preserve"> in force 24 February 2025. DfE value bands: low under £10,000; medium £10,000–£40,000; high above £40,000, with five routes from DfE-approved framework through to a full Act-compliant process. </w:t>
      </w:r>
      <w:r>
        <w:rPr>
          <w:b/>
          <w:bCs/>
        </w:rPr>
        <w:t xml:space="preserve">A per-school licence is almost certainly under £10,000 — a headteacher or business manager decision, no tender. A trust-wide deal crosses £40,000 quickly and may cross the Act threshold, adding </w:t>
      </w:r>
      <w:r>
        <w:rPr>
          <w:b/>
          <w:bCs/>
        </w:rPr>
        <w:lastRenderedPageBreak/>
        <w:t>months. Getting onto a DfE-approved framework is therefore the highest-leverage UK commercial move, because it converts a full procurement into a direct award.</w:t>
      </w:r>
      <w:r>
        <w:t xml:space="preserve"> There are no AI-specific UK procurement requirements for schools.</w:t>
      </w:r>
    </w:p>
    <w:p w14:paraId="2E7D578B" w14:textId="77777777" w:rsidR="0090768F" w:rsidRDefault="00000000">
      <w:pPr>
        <w:pStyle w:val="BodyText"/>
      </w:pPr>
      <w:r>
        <w:rPr>
          <w:b/>
          <w:bCs/>
        </w:rPr>
        <w:t>Algorithmic Transparency Recording Standard:</w:t>
      </w:r>
      <w:r>
        <w:t xml:space="preserve"> mandatory for central government departments and arm’s-length bodies that provide public or frontline services, </w:t>
      </w:r>
      <w:r>
        <w:rPr>
          <w:b/>
          <w:bCs/>
        </w:rPr>
        <w:t>not</w:t>
      </w:r>
      <w:r>
        <w:t xml:space="preserve"> for schools, trusts or local authorities. So it does not bite on our deployments — but publishing an ATRS-format record voluntarily is a cheap and unusually credible transparency artefact for public-sector buyers. Note that Ofqual </w:t>
      </w:r>
      <w:r>
        <w:rPr>
          <w:i/>
          <w:iCs/>
        </w:rPr>
        <w:t>is</w:t>
      </w:r>
      <w:r>
        <w:t xml:space="preserve"> an arm’s-length body, so an Ofqual deployment would require one.</w:t>
      </w:r>
    </w:p>
    <w:p w14:paraId="19944AFC" w14:textId="77777777" w:rsidR="0090768F" w:rsidRDefault="00000000">
      <w:pPr>
        <w:pStyle w:val="BodyText"/>
      </w:pPr>
      <w:r>
        <w:rPr>
          <w:b/>
          <w:bCs/>
        </w:rPr>
        <w:t>Online Safety Act 2023:</w:t>
      </w:r>
      <w:r>
        <w:t xml:space="preserve"> engaged only by a student-facing feature that allows users to share content with one another or searches live websites. </w:t>
      </w:r>
      <w:r>
        <w:rPr>
          <w:b/>
          <w:bCs/>
        </w:rPr>
        <w:t>A teacher-facing product with no user-to-user sharing and no live web search is out of scope. Keep it that way.</w:t>
      </w:r>
      <w:r>
        <w:t xml:space="preserve"> Also note Children’s Wellbeing and Schools Act 2026 s.72, which gives the Secretary of State power to raise the digital age of consent from 13 to as high as 16 — latent risk for any consent-based pupil-facing feature, irrelevant to a public-task school deployment.</w:t>
      </w:r>
    </w:p>
    <w:p w14:paraId="690D7711" w14:textId="77777777" w:rsidR="0090768F" w:rsidRDefault="00000000">
      <w:pPr>
        <w:pStyle w:val="Heading2"/>
      </w:pPr>
      <w:bookmarkStart w:id="66" w:name="united-states-federal"/>
      <w:bookmarkStart w:id="67" w:name="_Toc240060406"/>
      <w:bookmarkEnd w:id="56"/>
      <w:bookmarkEnd w:id="65"/>
      <w:r>
        <w:t>10. United States — federal</w:t>
      </w:r>
      <w:bookmarkEnd w:id="67"/>
    </w:p>
    <w:p w14:paraId="449DB8FE" w14:textId="77777777" w:rsidR="0090768F" w:rsidRDefault="00000000">
      <w:pPr>
        <w:pStyle w:val="FirstParagraph"/>
      </w:pPr>
      <w:r>
        <w:rPr>
          <w:b/>
          <w:bCs/>
        </w:rPr>
        <w:t>The framing to hold: there is no federal AI regulator for this product.</w:t>
      </w:r>
      <w:r>
        <w:t xml:space="preserve"> The FTC reaches us through COPPA and § 5 unfairness and deception; the Department of Education reaches us only through our customers; OMB does not reach us at all. The binding constraints are FERPA contracts, COPPA, civil-rights law, state statutes and district procurement — and none of them was written with AI grading in mind.</w:t>
      </w:r>
    </w:p>
    <w:p w14:paraId="71CEBEBD" w14:textId="77777777" w:rsidR="0090768F" w:rsidRDefault="00000000">
      <w:pPr>
        <w:pStyle w:val="Heading3"/>
      </w:pPr>
      <w:bookmarkStart w:id="68" w:name="ferpa"/>
      <w:r>
        <w:t>10.1 FERPA</w:t>
      </w:r>
    </w:p>
    <w:p w14:paraId="23784A07" w14:textId="77777777" w:rsidR="0090768F" w:rsidRDefault="00000000">
      <w:pPr>
        <w:pStyle w:val="FirstParagraph"/>
      </w:pPr>
      <w:r>
        <w:t xml:space="preserve">Scanned scripts, OCR transcriptions, proposed scores, generated feedback and final marks are all </w:t>
      </w:r>
      <w:r>
        <w:rPr>
          <w:b/>
          <w:bCs/>
        </w:rPr>
        <w:t>education records</w:t>
      </w:r>
      <w:r>
        <w:t xml:space="preserve">: the definition reaches records maintained </w:t>
      </w:r>
      <w:r>
        <w:rPr>
          <w:i/>
          <w:iCs/>
        </w:rPr>
        <w:t>“by a party acting for the agency or institution”</w:t>
      </w:r>
      <w:r>
        <w:t xml:space="preserve">, so there is no vendor’s-own-copy carve-out. (Note in passing that FERPA’s definition of </w:t>
      </w:r>
      <w:r>
        <w:rPr>
          <w:i/>
          <w:iCs/>
        </w:rPr>
        <w:t>biometric record</w:t>
      </w:r>
      <w:r>
        <w:t xml:space="preserve"> expressly lists </w:t>
      </w:r>
      <w:r>
        <w:rPr>
          <w:b/>
          <w:bCs/>
        </w:rPr>
        <w:t>handwriting</w:t>
      </w:r>
      <w:r>
        <w:t xml:space="preserve"> — this matters less under FERPA than under state biometric law, but it should be flagged internally.)</w:t>
      </w:r>
    </w:p>
    <w:p w14:paraId="58BCC1A3" w14:textId="77777777" w:rsidR="0090768F" w:rsidRDefault="00000000">
      <w:pPr>
        <w:pStyle w:val="BodyText"/>
      </w:pPr>
      <w:r>
        <w:rPr>
          <w:b/>
          <w:bCs/>
        </w:rPr>
        <w:t>The school-official exception is the operative contractual mechanic.</w:t>
      </w:r>
      <w:r>
        <w:t xml:space="preserve"> 34 CFR § 99.31(a)(1)(i)(B) imposes three conditions on the vendor: performs an institutional service the institution would otherwise use employees for; is </w:t>
      </w:r>
      <w:r>
        <w:rPr>
          <w:b/>
          <w:bCs/>
        </w:rPr>
        <w:t>under the direct control of the institution</w:t>
      </w:r>
      <w:r>
        <w:t xml:space="preserve"> as to the use and maintenance of education records; and is subject to the § 99.33(a) redisclosure limits. Two further conditions sit on the </w:t>
      </w:r>
      <w:r>
        <w:rPr>
          <w:b/>
          <w:bCs/>
        </w:rPr>
        <w:t>institution</w:t>
      </w:r>
      <w:r>
        <w:t xml:space="preserve">: it must specify school-official criteria in its </w:t>
      </w:r>
      <w:r>
        <w:rPr>
          <w:b/>
          <w:bCs/>
        </w:rPr>
        <w:t>annual notification</w:t>
      </w:r>
      <w:r>
        <w:t xml:space="preserve"> (§ 99.7(a)(3)(iii)) and must use reasonable methods to limit access (§ 99.31(a)(1)(ii)).</w:t>
      </w:r>
    </w:p>
    <w:p w14:paraId="5C5D74E9" w14:textId="77777777" w:rsidR="0090768F" w:rsidRDefault="00000000">
      <w:pPr>
        <w:pStyle w:val="BodyText"/>
      </w:pPr>
      <w:r>
        <w:t xml:space="preserve">Drafting consequence: our agreement should warrant the three vendor-side conditions </w:t>
      </w:r>
      <w:r>
        <w:rPr>
          <w:b/>
          <w:bCs/>
        </w:rPr>
        <w:t>and</w:t>
      </w:r>
      <w:r>
        <w:t xml:space="preserve"> require the institution to represent that it has designated us in its annual notification. If it has not, the exception fails — that is the institution’s violation, but our commercial problem.</w:t>
      </w:r>
    </w:p>
    <w:p w14:paraId="085B01AA" w14:textId="77777777" w:rsidR="0090768F" w:rsidRDefault="00000000">
      <w:pPr>
        <w:pStyle w:val="BodyText"/>
      </w:pPr>
      <w:r>
        <w:rPr>
          <w:b/>
          <w:bCs/>
        </w:rPr>
        <w:lastRenderedPageBreak/>
        <w:t>“Direct control”, in practice:</w:t>
      </w:r>
      <w:r>
        <w:t xml:space="preserve"> no unilateral terms-of-service amendment (ED’s guidance says unilateral amendment </w:t>
      </w:r>
      <w:r>
        <w:rPr>
          <w:i/>
          <w:iCs/>
        </w:rPr>
        <w:t>“makes it difficult for a school or district to demonstrate direct control”</w:t>
      </w:r>
      <w:r>
        <w:t>); purpose limitation in the contract, not the privacy policy; deletion or return on termination at the institution’s direction; institutional approval of sub-processors; and audit rights.</w:t>
      </w:r>
    </w:p>
    <w:p w14:paraId="265B8344" w14:textId="77777777" w:rsidR="0090768F" w:rsidRDefault="00000000">
      <w:pPr>
        <w:pStyle w:val="BodyText"/>
      </w:pPr>
      <w:r>
        <w:rPr>
          <w:b/>
          <w:bCs/>
        </w:rPr>
        <w:t>The redisclosure rule is the AI rule.</w:t>
      </w:r>
      <w:r>
        <w:t xml:space="preserve"> § 99.33(a)(2): officers, employees and agents of a recipient </w:t>
      </w:r>
      <w:r>
        <w:rPr>
          <w:i/>
          <w:iCs/>
        </w:rPr>
        <w:t>“may use the information, but only for the purposes for which the disclosure was made.”</w:t>
      </w:r>
      <w:r>
        <w:t xml:space="preserve"> This is a </w:t>
      </w:r>
      <w:r>
        <w:rPr>
          <w:b/>
          <w:bCs/>
        </w:rPr>
        <w:t>use</w:t>
      </w:r>
      <w:r>
        <w:t xml:space="preserve"> limitation, not merely a disclosure limitation. The disclosure to us is for grading this institution’s exams. Using the same scripts to train or evaluate a model that serves other customers is a use beyond that purpose and falls outside the exception.</w:t>
      </w:r>
    </w:p>
    <w:p w14:paraId="1FC79D80" w14:textId="77777777" w:rsidR="0090768F" w:rsidRDefault="00000000">
      <w:pPr>
        <w:pStyle w:val="BodyText"/>
      </w:pPr>
      <w:r>
        <w:t>Three routes exist if we want training data:</w:t>
      </w:r>
    </w:p>
    <w:p w14:paraId="47F1EA27" w14:textId="77777777" w:rsidR="0090768F" w:rsidRDefault="00000000">
      <w:pPr>
        <w:pStyle w:val="Compact"/>
        <w:numPr>
          <w:ilvl w:val="0"/>
          <w:numId w:val="15"/>
        </w:numPr>
      </w:pPr>
      <w:r>
        <w:rPr>
          <w:b/>
          <w:bCs/>
        </w:rPr>
        <w:t>De-identification (§ 99.31(b)).</w:t>
      </w:r>
      <w:r>
        <w:t xml:space="preserve"> Real, but fragile for us specifically: handwriting images are inherently re-identifiable and free-text answers carry incidental identifiers. Any de-identification claim must be evidenced with a documented method and a re-identification risk assessment, not asserted.</w:t>
      </w:r>
    </w:p>
    <w:p w14:paraId="26B0ABEB" w14:textId="77777777" w:rsidR="0090768F" w:rsidRDefault="00000000">
      <w:pPr>
        <w:pStyle w:val="Compact"/>
        <w:numPr>
          <w:ilvl w:val="0"/>
          <w:numId w:val="15"/>
        </w:numPr>
      </w:pPr>
      <w:r>
        <w:rPr>
          <w:b/>
          <w:bCs/>
        </w:rPr>
        <w:t>The studies exception (§ 99.31(a)(6))</w:t>
      </w:r>
      <w:r>
        <w:t xml:space="preserve"> — disclosure to an organisation conducting studies for or on behalf of the institution to develop, validate or administer predictive tests or improve instruction, under a </w:t>
      </w:r>
      <w:r>
        <w:rPr>
          <w:b/>
          <w:bCs/>
        </w:rPr>
        <w:t>written agreement</w:t>
      </w:r>
      <w:r>
        <w:t xml:space="preserve"> specifying purpose, scope and duration, restricting use, requiring non-identification, and requiring </w:t>
      </w:r>
      <w:r>
        <w:rPr>
          <w:b/>
          <w:bCs/>
        </w:rPr>
        <w:t>destruction</w:t>
      </w:r>
      <w:r>
        <w:t xml:space="preserve"> of all personally identifiable information with a specified deadline. Model validation and calibration studies fit comfortably; an indefinitely retained training corpus does not, because the destruction requirement is explicit. </w:t>
      </w:r>
      <w:r>
        <w:rPr>
          <w:b/>
          <w:bCs/>
        </w:rPr>
        <w:t>This is the cleanest federal basis for a bounded calibration programme and it is underused.</w:t>
      </w:r>
    </w:p>
    <w:p w14:paraId="62C0105D" w14:textId="77777777" w:rsidR="0090768F" w:rsidRDefault="00000000">
      <w:pPr>
        <w:pStyle w:val="Compact"/>
        <w:numPr>
          <w:ilvl w:val="0"/>
          <w:numId w:val="15"/>
        </w:numPr>
      </w:pPr>
      <w:r>
        <w:rPr>
          <w:b/>
          <w:bCs/>
        </w:rPr>
        <w:t>Consent (§ 99.30)</w:t>
      </w:r>
      <w:r>
        <w:t xml:space="preserve"> — impractical at scale.</w:t>
      </w:r>
    </w:p>
    <w:p w14:paraId="7D40B040" w14:textId="77777777" w:rsidR="0090768F" w:rsidRDefault="00000000">
      <w:pPr>
        <w:pStyle w:val="FirstParagraph"/>
      </w:pPr>
      <w:r>
        <w:rPr>
          <w:b/>
          <w:bCs/>
        </w:rPr>
        <w:t>Recommended posture: no training on customer data by default, with an opt-in studies agreement offered as a separate bounded instrument.</w:t>
      </w:r>
      <w:r>
        <w:t xml:space="preserve"> This is simultaneously the FERPA answer, the COPPA answer, the state-law answer and the sales answer — one consistent position rather than three.</w:t>
      </w:r>
    </w:p>
    <w:p w14:paraId="35B679BE" w14:textId="77777777" w:rsidR="0090768F" w:rsidRDefault="00000000">
      <w:pPr>
        <w:pStyle w:val="BodyText"/>
      </w:pPr>
      <w:r>
        <w:rPr>
          <w:b/>
          <w:bCs/>
        </w:rPr>
        <w:t>Enforcement.</w:t>
      </w:r>
      <w:r>
        <w:t xml:space="preserve"> FERPA has no private right of action (</w:t>
      </w:r>
      <w:r>
        <w:rPr>
          <w:i/>
          <w:iCs/>
        </w:rPr>
        <w:t>Gonzaga University v. Doe</w:t>
      </w:r>
      <w:r>
        <w:t xml:space="preserve">, 536 U.S. 273 (2002)). ED may withhold funds, issue a cease-and-desist, or terminate eligibility; and a </w:t>
      </w:r>
      <w:r>
        <w:rPr>
          <w:b/>
          <w:bCs/>
        </w:rPr>
        <w:t>third party that improperly rediscloses may be barred from access to education records for at least five years</w:t>
      </w:r>
      <w:r>
        <w:t xml:space="preserve"> — the only FERPA sanction that lands on a vendor. In practice ED has never withdrawn funds and the five-year vendor ban has never been imposed. </w:t>
      </w:r>
      <w:r>
        <w:rPr>
          <w:b/>
          <w:bCs/>
        </w:rPr>
        <w:t>So the real risk ladder is: contract and indemnity; state student-privacy statutes, which bind the vendor directly and do carry penalties; state consumer-protection law and FTC Act § 5; reputation; and procurement disqualification.</w:t>
      </w:r>
      <w:r>
        <w:t xml:space="preserve"> Note that ED’s Student Privacy Policy Office is still operating and still writing to vendors — it issued a letter to a named LMS provider in May 2026.</w:t>
      </w:r>
    </w:p>
    <w:p w14:paraId="3469367B" w14:textId="77777777" w:rsidR="0090768F" w:rsidRDefault="00000000">
      <w:pPr>
        <w:pStyle w:val="Heading3"/>
      </w:pPr>
      <w:bookmarkStart w:id="69" w:name="Xb329462ad0ddb2c8b1017b8d37be0d8fcc1a540"/>
      <w:bookmarkEnd w:id="68"/>
      <w:r>
        <w:lastRenderedPageBreak/>
        <w:t>10.2 The federal posture on AI in education is promotional, not regulatory</w:t>
      </w:r>
    </w:p>
    <w:p w14:paraId="435BD8F6" w14:textId="77777777" w:rsidR="0090768F" w:rsidRDefault="00000000">
      <w:pPr>
        <w:pStyle w:val="FirstParagraph"/>
      </w:pPr>
      <w:r>
        <w:rPr>
          <w:b/>
          <w:bCs/>
        </w:rPr>
        <w:t>There is no ED or SPPO guidance specific to AI and FERPA.</w:t>
      </w:r>
      <w:r>
        <w:t xml:space="preserve"> The complete SPPO guidance list (175 items, reviewed 11 September 2026) contains no AI-titled item. That is a genuine gap and the paper should say so plainly.</w:t>
      </w:r>
    </w:p>
    <w:p w14:paraId="359F2BC3" w14:textId="77777777" w:rsidR="0090768F" w:rsidRDefault="00000000">
      <w:pPr>
        <w:pStyle w:val="BodyText"/>
      </w:pPr>
      <w:r>
        <w:t xml:space="preserve">The policy documents that exist are from the Office of Educational Technology — </w:t>
      </w:r>
      <w:r>
        <w:rPr>
          <w:i/>
          <w:iCs/>
        </w:rPr>
        <w:t>Artificial Intelligence and the Future of Teaching and Learning</w:t>
      </w:r>
      <w:r>
        <w:t xml:space="preserve"> (May 2023) and </w:t>
      </w:r>
      <w:r>
        <w:rPr>
          <w:i/>
          <w:iCs/>
        </w:rPr>
        <w:t xml:space="preserve">Designing for Education with Artificial Intelligence: </w:t>
      </w:r>
      <w:r>
        <w:rPr>
          <w:b/>
          <w:bCs/>
          <w:i/>
          <w:iCs/>
        </w:rPr>
        <w:t>An Essential Guide for Developers</w:t>
      </w:r>
      <w:r>
        <w:t xml:space="preserve"> (July 2024; note the correct subtitle — the developer framing is more useful to us than a policymaker framing would be). </w:t>
      </w:r>
      <w:r>
        <w:rPr>
          <w:b/>
          <w:bCs/>
        </w:rPr>
        <w:t>That office was eliminated in March 2025</w:t>
      </w:r>
      <w:r>
        <w:t xml:space="preserve">, in a reduction in force that cut ED’s workforce from about 4,133 to about 2,183. </w:t>
      </w:r>
      <w:r>
        <w:rPr>
          <w:i/>
          <w:iCs/>
        </w:rPr>
        <w:t>(Closure reported in trade press; no ED announcement found.)</w:t>
      </w:r>
      <w:r>
        <w:t xml:space="preserve"> No successor guidance has appeared.</w:t>
      </w:r>
    </w:p>
    <w:p w14:paraId="365E9BE0" w14:textId="77777777" w:rsidR="0090768F" w:rsidRDefault="00000000">
      <w:pPr>
        <w:pStyle w:val="BodyText"/>
      </w:pPr>
      <w:r>
        <w:rPr>
          <w:b/>
          <w:bCs/>
        </w:rPr>
        <w:t>EO 14277 “Advancing Artificial Intelligence Education for American Youth”</w:t>
      </w:r>
      <w:r>
        <w:t xml:space="preserve"> (23 April 2025) produced an ED </w:t>
      </w:r>
      <w:r>
        <w:rPr>
          <w:b/>
          <w:bCs/>
        </w:rPr>
        <w:t>Dear Colleague Letter of 22 July 2025</w:t>
      </w:r>
      <w:r>
        <w:t xml:space="preserve"> on using federal grant funds for AI, and a </w:t>
      </w:r>
      <w:r>
        <w:rPr>
          <w:b/>
          <w:bCs/>
        </w:rPr>
        <w:t>final supplemental priority published 13 April 2026, effective 13 May 2026</w:t>
      </w:r>
      <w:r>
        <w:t xml:space="preserve">. Both are educator-led in framing — AI should support teachers, students should “learn with rather than exclusively from” AI, systems must comply with FERPA. </w:t>
      </w:r>
      <w:r>
        <w:rPr>
          <w:b/>
          <w:bCs/>
        </w:rPr>
        <w:t>Neither addresses AI grading of student work, identifies high-risk uses, or imposes any oversight, privacy or non-discrimination condition.</w:t>
      </w:r>
    </w:p>
    <w:p w14:paraId="668EB784" w14:textId="77777777" w:rsidR="0090768F" w:rsidRDefault="00000000">
      <w:pPr>
        <w:pStyle w:val="BodyText"/>
      </w:pPr>
      <w:r>
        <w:rPr>
          <w:b/>
          <w:bCs/>
        </w:rPr>
        <w:t>A structural warning.</w:t>
      </w:r>
      <w:r>
        <w:t xml:space="preserve"> During November 2025 – June 2026 ED functions moved to other agencies by interagency agreement, and in June 2026 </w:t>
      </w:r>
      <w:r>
        <w:rPr>
          <w:b/>
          <w:bCs/>
        </w:rPr>
        <w:t>OCR enforcement reportedly moved to DOJ — including student-privacy complaints under FERPA and PPRA</w:t>
      </w:r>
      <w:r>
        <w:t xml:space="preserve">, with ED retaining the Student Privacy Policy Office and final authority on its case resolutions. </w:t>
      </w:r>
      <w:r>
        <w:rPr>
          <w:i/>
          <w:iCs/>
        </w:rPr>
        <w:t>(Single secondary source, no effective date, parties said details were unresolved — this is the highest-priority item in the paper to re-verify.)</w:t>
      </w:r>
      <w:r>
        <w:t xml:space="preserve"> If it holds, the </w:t>
      </w:r>
      <w:r>
        <w:rPr>
          <w:i/>
          <w:iCs/>
        </w:rPr>
        <w:t>character</w:t>
      </w:r>
      <w:r>
        <w:t xml:space="preserve"> of FERPA complaint handling changes materially: a complaint routed to DOJ’s Civil Rights Division is handled by litigators, not by a technical-assistance office whose standard outcome was voluntary compliance.</w:t>
      </w:r>
    </w:p>
    <w:p w14:paraId="0C232650" w14:textId="77777777" w:rsidR="0090768F" w:rsidRDefault="00000000">
      <w:pPr>
        <w:pStyle w:val="Heading3"/>
      </w:pPr>
      <w:bookmarkStart w:id="70" w:name="ppra-a-cheap-risk-to-design-away"/>
      <w:bookmarkEnd w:id="69"/>
      <w:r>
        <w:t>10.3 PPRA — a cheap risk to design away</w:t>
      </w:r>
    </w:p>
    <w:p w14:paraId="3B8178FF" w14:textId="77777777" w:rsidR="0090768F" w:rsidRDefault="00000000">
      <w:pPr>
        <w:pStyle w:val="FirstParagraph"/>
      </w:pPr>
      <w:r>
        <w:t xml:space="preserve">20 U.S.C. § 1232h(b) prohibits requiring a student to submit, without prior written parental consent, to a </w:t>
      </w:r>
      <w:r>
        <w:rPr>
          <w:i/>
          <w:iCs/>
        </w:rPr>
        <w:t xml:space="preserve">“survey, analysis, or </w:t>
      </w:r>
      <w:r>
        <w:rPr>
          <w:b/>
          <w:bCs/>
          <w:i/>
          <w:iCs/>
        </w:rPr>
        <w:t>evaluation</w:t>
      </w:r>
      <w:r>
        <w:rPr>
          <w:i/>
          <w:iCs/>
        </w:rPr>
        <w:t>”</w:t>
      </w:r>
      <w:r>
        <w:t xml:space="preserve"> revealing information on eight protected categories including political beliefs, </w:t>
      </w:r>
      <w:r>
        <w:rPr>
          <w:b/>
          <w:bCs/>
        </w:rPr>
        <w:t>mental or psychological problems of the student or family</w:t>
      </w:r>
      <w:r>
        <w:t xml:space="preserve">, sex behaviour or attitudes, illegal or demeaning behaviour, critical appraisals of close family, privileged relationships, </w:t>
      </w:r>
      <w:r>
        <w:rPr>
          <w:b/>
          <w:bCs/>
        </w:rPr>
        <w:t>religious practices or beliefs</w:t>
      </w:r>
      <w:r>
        <w:t>, and income.</w:t>
      </w:r>
    </w:p>
    <w:p w14:paraId="710B8F5F" w14:textId="77777777" w:rsidR="0090768F" w:rsidRDefault="00000000">
      <w:pPr>
        <w:pStyle w:val="BodyText"/>
      </w:pPr>
      <w:r>
        <w:t xml:space="preserve">The word </w:t>
      </w:r>
      <w:r>
        <w:rPr>
          <w:b/>
          <w:bCs/>
        </w:rPr>
        <w:t>“evaluation”</w:t>
      </w:r>
      <w:r>
        <w:t xml:space="preserve"> is the exposure. An LLM feedback engine that reads a free-text essay and outputs commentary characterising the student’s beliefs, family circumstances or emotional state is at least arguably such an evaluation. </w:t>
      </w:r>
      <w:r>
        <w:rPr>
          <w:i/>
          <w:iCs/>
        </w:rPr>
        <w:t>(No PPRA enforcement action or guidance applying the statute to AI-generated feedback could be found — this is an untested reading, but it is the readily available theory for a complainant and it is cheap to design around.)</w:t>
      </w:r>
    </w:p>
    <w:p w14:paraId="63882D51" w14:textId="77777777" w:rsidR="0090768F" w:rsidRDefault="00000000">
      <w:pPr>
        <w:pStyle w:val="BodyText"/>
      </w:pPr>
      <w:r>
        <w:rPr>
          <w:b/>
          <w:bCs/>
        </w:rPr>
        <w:lastRenderedPageBreak/>
        <w:t>Design rule: contractually undertake that the models do not infer or output anything about a student’s beliefs, family, mental state or the other protected categories, and that feedback is confined to the assessed academic construct.</w:t>
      </w:r>
      <w:r>
        <w:t xml:space="preserve"> That single warranty removes PPRA from the analysis and is a strong sales point. </w:t>
      </w:r>
      <w:r>
        <w:rPr>
          <w:b/>
          <w:bCs/>
        </w:rPr>
        <w:t>And do not ship any affect, wellbeing or risk-flagging feature in the US product</w:t>
      </w:r>
      <w:r>
        <w:t xml:space="preserve"> — “this student may be distressed” is squarely category (2), and the marginal value is low.</w:t>
      </w:r>
    </w:p>
    <w:p w14:paraId="7A3F555D" w14:textId="77777777" w:rsidR="0090768F" w:rsidRDefault="00000000">
      <w:pPr>
        <w:pStyle w:val="Heading3"/>
      </w:pPr>
      <w:bookmarkStart w:id="71" w:name="coppa-as-amended-in-2025"/>
      <w:bookmarkEnd w:id="70"/>
      <w:r>
        <w:t>10.4 COPPA as amended in 2025</w:t>
      </w:r>
    </w:p>
    <w:p w14:paraId="6ABAC1ED" w14:textId="77777777" w:rsidR="0090768F" w:rsidRDefault="00000000">
      <w:pPr>
        <w:pStyle w:val="FirstParagraph"/>
      </w:pPr>
      <w:r>
        <w:t xml:space="preserve">Announced 16 January 2025; published 22 April 2025 (90 FR 16916); effective 23 June 2025; </w:t>
      </w:r>
      <w:r>
        <w:rPr>
          <w:b/>
          <w:bCs/>
        </w:rPr>
        <w:t>full compliance date 22 April 2026 — already passed.</w:t>
      </w:r>
      <w:r>
        <w:t xml:space="preserve"> Any US launch touching under-13s is in a post-compliance-date world with no transition allowance.</w:t>
      </w:r>
    </w:p>
    <w:p w14:paraId="19AE85BB" w14:textId="77777777" w:rsidR="0090768F" w:rsidRDefault="00000000">
      <w:pPr>
        <w:pStyle w:val="BodyText"/>
      </w:pPr>
      <w:r>
        <w:t>Three changes matter:</w:t>
      </w:r>
    </w:p>
    <w:p w14:paraId="574D083C" w14:textId="77777777" w:rsidR="0090768F" w:rsidRDefault="00000000">
      <w:pPr>
        <w:pStyle w:val="Compact"/>
        <w:numPr>
          <w:ilvl w:val="0"/>
          <w:numId w:val="16"/>
        </w:numPr>
      </w:pPr>
      <w:r>
        <w:rPr>
          <w:b/>
          <w:bCs/>
        </w:rPr>
        <w:t>Separate consent for third-party disclosure (16 CFR § 312.5(a)(2)).</w:t>
      </w:r>
      <w:r>
        <w:t xml:space="preserve"> The Commission stated in the preamble: </w:t>
      </w:r>
      <w:r>
        <w:rPr>
          <w:i/>
          <w:iCs/>
        </w:rPr>
        <w:t>“Disclosures of a child’s personal information to third parties … to train or otherwise develop artificial intelligence technologies, are not integral to the website or online service and would require consent.”</w:t>
      </w:r>
      <w:r>
        <w:t xml:space="preserve"> Be precise about what this is: the words “artificial intelligence” appear nowhere in the rule text — it is the Commission’s </w:t>
      </w:r>
      <w:r>
        <w:rPr>
          <w:b/>
          <w:bCs/>
        </w:rPr>
        <w:t>interpretation</w:t>
      </w:r>
      <w:r>
        <w:t xml:space="preserve"> of “integral”, stated in the Statement of Basis and Purpose. It is framed as a </w:t>
      </w:r>
      <w:r>
        <w:rPr>
          <w:b/>
          <w:bCs/>
        </w:rPr>
        <w:t>disclosure</w:t>
      </w:r>
      <w:r>
        <w:t xml:space="preserve"> rule, so an operator training its own model on data it lawfully collected is not obviously disclosing to a third party; the strongest reading against us is that sending scripts to a third-party model API </w:t>
      </w:r>
      <w:r>
        <w:rPr>
          <w:i/>
          <w:iCs/>
        </w:rPr>
        <w:t>is</w:t>
      </w:r>
      <w:r>
        <w:t xml:space="preserve"> such a disclosure. </w:t>
      </w:r>
      <w:r>
        <w:rPr>
          <w:b/>
          <w:bCs/>
        </w:rPr>
        <w:t>No FTC statement resolving this could be found.</w:t>
      </w:r>
    </w:p>
    <w:p w14:paraId="4141D391" w14:textId="77777777" w:rsidR="0090768F" w:rsidRDefault="00000000">
      <w:pPr>
        <w:pStyle w:val="Compact"/>
        <w:numPr>
          <w:ilvl w:val="0"/>
          <w:numId w:val="16"/>
        </w:numPr>
      </w:pPr>
      <w:r>
        <w:rPr>
          <w:b/>
          <w:bCs/>
        </w:rPr>
        <w:t>Retention (§ 312.10) — this is the provision with teeth, and it is in the rule text.</w:t>
      </w:r>
      <w:r>
        <w:t xml:space="preserve"> </w:t>
      </w:r>
      <w:r>
        <w:rPr>
          <w:i/>
          <w:iCs/>
        </w:rPr>
        <w:t>“Personal information collected online from a child may not be retained indefinitely.”</w:t>
      </w:r>
      <w:r>
        <w:t xml:space="preserve"> A written, published retention policy stating purposes, business need and a deletion timeframe is mandatory. The Commission expressly declined to carve out indefinite retention for security, fraud prevention, record-keeping or service continuity. </w:t>
      </w:r>
      <w:r>
        <w:rPr>
          <w:b/>
          <w:bCs/>
        </w:rPr>
        <w:t>This kills a permanent training corpus containing under-13 data</w:t>
      </w:r>
      <w:r>
        <w:t>, because a training set is by design retained indefinitely and cannot honestly be described as reasonably necessary for the purpose of grading one exam.</w:t>
      </w:r>
    </w:p>
    <w:p w14:paraId="155E3F7D" w14:textId="77777777" w:rsidR="0090768F" w:rsidRDefault="00000000">
      <w:pPr>
        <w:pStyle w:val="Compact"/>
        <w:numPr>
          <w:ilvl w:val="0"/>
          <w:numId w:val="16"/>
        </w:numPr>
      </w:pPr>
      <w:r>
        <w:rPr>
          <w:b/>
          <w:bCs/>
        </w:rPr>
        <w:t>Security (§ 312.8(b)–(c)):</w:t>
      </w:r>
      <w:r>
        <w:t xml:space="preserve"> a written information security programme with a designated coordinator, annual risk assessments, testing and annual evaluation; and </w:t>
      </w:r>
      <w:r>
        <w:rPr>
          <w:b/>
          <w:bCs/>
        </w:rPr>
        <w:t>written assurances</w:t>
      </w:r>
      <w:r>
        <w:t xml:space="preserve"> from service providers and third parties before they collect or maintain children’s data.</w:t>
      </w:r>
    </w:p>
    <w:p w14:paraId="5BB661C5" w14:textId="77777777" w:rsidR="0090768F" w:rsidRDefault="00000000">
      <w:pPr>
        <w:pStyle w:val="FirstParagraph"/>
      </w:pPr>
      <w:r>
        <w:rPr>
          <w:b/>
          <w:bCs/>
        </w:rPr>
        <w:t>The school-consent mechanism is a policy position, not a codified exception.</w:t>
      </w:r>
      <w:r>
        <w:t xml:space="preserve"> The FTC proposed one in 2024 and withdrew it to avoid conflicting with an anticipated ED FERPA rulemaking — </w:t>
      </w:r>
      <w:r>
        <w:rPr>
          <w:b/>
          <w:bCs/>
        </w:rPr>
        <w:t>and no such rulemaking has been published</w:t>
      </w:r>
      <w:r>
        <w:t xml:space="preserve">. The result is a two-year stalemate: the FTC deferred to ED, ED was halved, and neither instrument exists. </w:t>
      </w:r>
      <w:r>
        <w:rPr>
          <w:b/>
          <w:bCs/>
        </w:rPr>
        <w:t>Plan on the stalemate persisting.</w:t>
      </w:r>
      <w:r>
        <w:t xml:space="preserve"> What governs is the FTC’s 2022 Policy Statement on Education Technology and COPPA: no mandatory over-collection; use only to provide the requested service; no commercial use; no retention for speculative future uses; security failures violate COPPA even absent a breach; and </w:t>
      </w:r>
      <w:r>
        <w:rPr>
          <w:i/>
          <w:iCs/>
        </w:rPr>
        <w:t>“the responsibility for COPPA compliance is on businesses, not schools or parents.”</w:t>
      </w:r>
    </w:p>
    <w:p w14:paraId="7ED1A7B7" w14:textId="77777777" w:rsidR="0090768F" w:rsidRDefault="00000000">
      <w:pPr>
        <w:pStyle w:val="BodyText"/>
      </w:pPr>
      <w:r>
        <w:rPr>
          <w:b/>
          <w:bCs/>
        </w:rPr>
        <w:lastRenderedPageBreak/>
        <w:t>The Edmodo order is the cautionary case</w:t>
      </w:r>
      <w:r>
        <w:t xml:space="preserve"> — $6m penalty suspended for inability to pay, and the company did not survive the reputational damage. Two order features matter </w:t>
      </w:r>
      <w:r>
        <w:rPr>
          <w:i/>
          <w:iCs/>
        </w:rPr>
        <w:t>(secondary source; the order text could not be retrieved)</w:t>
      </w:r>
      <w:r>
        <w:t xml:space="preserve">: </w:t>
      </w:r>
      <w:r>
        <w:rPr>
          <w:b/>
          <w:bCs/>
        </w:rPr>
        <w:t>algorithmic disgorgement</w:t>
      </w:r>
      <w:r>
        <w:t xml:space="preserve"> — deletion of models or algorithms developed using children’s data collected without valid consent or school authorisation, which is the sharpest available remedy against an AI grading vendor, since it destroys the asset rather than fining it; and a definition of “School” in the </w:t>
      </w:r>
      <w:r>
        <w:rPr>
          <w:b/>
          <w:bCs/>
        </w:rPr>
        <w:t>singular</w:t>
      </w:r>
      <w:r>
        <w:t>, signalling FTC scepticism about diffuse “the district said yes” authorisation chains.</w:t>
      </w:r>
    </w:p>
    <w:p w14:paraId="4C1C1FED" w14:textId="77777777" w:rsidR="0090768F" w:rsidRDefault="00000000">
      <w:pPr>
        <w:pStyle w:val="Heading3"/>
      </w:pPr>
      <w:bookmarkStart w:id="72" w:name="X03e57c71f3eb9a17594b6a53729d7e8f615df91"/>
      <w:bookmarkEnd w:id="71"/>
      <w:r>
        <w:t>10.5 Civil rights — and where the real risk now sits</w:t>
      </w:r>
    </w:p>
    <w:p w14:paraId="6E019818" w14:textId="77777777" w:rsidR="0090768F" w:rsidRDefault="00000000">
      <w:pPr>
        <w:pStyle w:val="FirstParagraph"/>
      </w:pPr>
      <w:r>
        <w:rPr>
          <w:b/>
          <w:bCs/>
        </w:rPr>
        <w:t>Disparate impact has narrowed federally, and the paper should not pretend otherwise — nor overstate it.</w:t>
      </w:r>
      <w:r>
        <w:t xml:space="preserve"> EO 14281 (23 April 2025) directed agencies to deprioritise disparate-impact enforcement; ED executed it with a final rule published </w:t>
      </w:r>
      <w:r>
        <w:rPr>
          <w:b/>
          <w:bCs/>
        </w:rPr>
        <w:t>24 July 2026</w:t>
      </w:r>
      <w:r>
        <w:t xml:space="preserve"> rescinding 34 CFR § 100.3(b)(2) and related Title VI provisions, issued without notice and comment in reliance on the grants exemption </w:t>
      </w:r>
      <w:r>
        <w:rPr>
          <w:i/>
          <w:iCs/>
        </w:rPr>
        <w:t>(a procedural choice that is itself a litigation target; whether APA challenges are pending could not be verified)</w:t>
      </w:r>
      <w:r>
        <w:t>.</w:t>
      </w:r>
    </w:p>
    <w:tbl>
      <w:tblPr>
        <w:tblStyle w:val="Table"/>
        <w:tblW w:w="5000" w:type="pct"/>
        <w:tblLook w:val="0020" w:firstRow="1" w:lastRow="0" w:firstColumn="0" w:lastColumn="0" w:noHBand="0" w:noVBand="0"/>
      </w:tblPr>
      <w:tblGrid>
        <w:gridCol w:w="6098"/>
        <w:gridCol w:w="3262"/>
      </w:tblGrid>
      <w:tr w:rsidR="0090768F" w14:paraId="2293E85D"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4E34B81F" w14:textId="77777777" w:rsidR="0090768F" w:rsidRDefault="00000000">
            <w:pPr>
              <w:pStyle w:val="Compact"/>
            </w:pPr>
            <w:r>
              <w:t>Survives</w:t>
            </w:r>
          </w:p>
        </w:tc>
        <w:tc>
          <w:tcPr>
            <w:tcW w:w="0" w:type="auto"/>
          </w:tcPr>
          <w:p w14:paraId="57884A36" w14:textId="77777777" w:rsidR="0090768F" w:rsidRDefault="00000000">
            <w:pPr>
              <w:pStyle w:val="Compact"/>
            </w:pPr>
            <w:r>
              <w:t>Weakened or gone</w:t>
            </w:r>
          </w:p>
        </w:tc>
      </w:tr>
      <w:tr w:rsidR="0090768F" w14:paraId="5DDE2D75" w14:textId="77777777">
        <w:tc>
          <w:tcPr>
            <w:tcW w:w="0" w:type="auto"/>
          </w:tcPr>
          <w:p w14:paraId="1F45FD19" w14:textId="77777777" w:rsidR="0090768F" w:rsidRDefault="00000000">
            <w:pPr>
              <w:pStyle w:val="Compact"/>
            </w:pPr>
            <w:r>
              <w:rPr>
                <w:b/>
                <w:bCs/>
              </w:rPr>
              <w:t>Intentional</w:t>
            </w:r>
            <w:r>
              <w:t xml:space="preserve"> discrimination under Title VI — statutory</w:t>
            </w:r>
          </w:p>
        </w:tc>
        <w:tc>
          <w:tcPr>
            <w:tcW w:w="0" w:type="auto"/>
          </w:tcPr>
          <w:p w14:paraId="5B0B5C3B" w14:textId="77777777" w:rsidR="0090768F" w:rsidRDefault="00000000">
            <w:pPr>
              <w:pStyle w:val="Compact"/>
            </w:pPr>
            <w:r>
              <w:t xml:space="preserve">ED-administered Title VI </w:t>
            </w:r>
            <w:r>
              <w:rPr>
                <w:b/>
                <w:bCs/>
              </w:rPr>
              <w:t>disparate-impact</w:t>
            </w:r>
            <w:r>
              <w:t xml:space="preserve"> regulatory liability</w:t>
            </w:r>
          </w:p>
        </w:tc>
      </w:tr>
      <w:tr w:rsidR="0090768F" w14:paraId="637829C3" w14:textId="77777777">
        <w:tc>
          <w:tcPr>
            <w:tcW w:w="0" w:type="auto"/>
          </w:tcPr>
          <w:p w14:paraId="2F82BC2B" w14:textId="77777777" w:rsidR="0090768F" w:rsidRDefault="00000000">
            <w:pPr>
              <w:pStyle w:val="Compact"/>
            </w:pPr>
            <w:r>
              <w:rPr>
                <w:b/>
                <w:bCs/>
              </w:rPr>
              <w:t>Section 504 / ADA</w:t>
            </w:r>
            <w:r>
              <w:t xml:space="preserve"> — effects-based by statutory design; failure to accommodate and methods-of-administration claims do not depend on intent</w:t>
            </w:r>
          </w:p>
        </w:tc>
        <w:tc>
          <w:tcPr>
            <w:tcW w:w="0" w:type="auto"/>
          </w:tcPr>
          <w:p w14:paraId="45798F38" w14:textId="77777777" w:rsidR="0090768F" w:rsidRDefault="00000000">
            <w:pPr>
              <w:pStyle w:val="Compact"/>
            </w:pPr>
            <w:r>
              <w:t>federal enforcement priority for impact claims generally</w:t>
            </w:r>
          </w:p>
        </w:tc>
      </w:tr>
      <w:tr w:rsidR="0090768F" w14:paraId="252CE572" w14:textId="77777777">
        <w:tc>
          <w:tcPr>
            <w:tcW w:w="0" w:type="auto"/>
          </w:tcPr>
          <w:p w14:paraId="13E7168D" w14:textId="77777777" w:rsidR="0090768F" w:rsidRDefault="00000000">
            <w:pPr>
              <w:pStyle w:val="Compact"/>
            </w:pPr>
            <w:r>
              <w:t>Title IX disparate-impact analysis (separate regulations)</w:t>
            </w:r>
          </w:p>
        </w:tc>
        <w:tc>
          <w:tcPr>
            <w:tcW w:w="0" w:type="auto"/>
          </w:tcPr>
          <w:p w14:paraId="2358EA9A" w14:textId="77777777" w:rsidR="0090768F" w:rsidRDefault="00000000">
            <w:pPr>
              <w:pStyle w:val="Compact"/>
            </w:pPr>
            <w:r>
              <w:t>—</w:t>
            </w:r>
          </w:p>
        </w:tc>
      </w:tr>
      <w:tr w:rsidR="0090768F" w14:paraId="72EAB68B" w14:textId="77777777">
        <w:tc>
          <w:tcPr>
            <w:tcW w:w="0" w:type="auto"/>
          </w:tcPr>
          <w:p w14:paraId="466B158A" w14:textId="77777777" w:rsidR="0090768F" w:rsidRDefault="00000000">
            <w:pPr>
              <w:pStyle w:val="Compact"/>
            </w:pPr>
            <w:r>
              <w:rPr>
                <w:b/>
                <w:bCs/>
              </w:rPr>
              <w:t>State</w:t>
            </w:r>
            <w:r>
              <w:t xml:space="preserve"> civil-rights and AI statutes</w:t>
            </w:r>
          </w:p>
        </w:tc>
        <w:tc>
          <w:tcPr>
            <w:tcW w:w="0" w:type="auto"/>
          </w:tcPr>
          <w:p w14:paraId="152621C8" w14:textId="77777777" w:rsidR="0090768F" w:rsidRDefault="00000000">
            <w:pPr>
              <w:pStyle w:val="Compact"/>
            </w:pPr>
            <w:r>
              <w:t>—</w:t>
            </w:r>
          </w:p>
        </w:tc>
      </w:tr>
    </w:tbl>
    <w:p w14:paraId="3169D7E0" w14:textId="77777777" w:rsidR="0090768F" w:rsidRDefault="00000000">
      <w:pPr>
        <w:pStyle w:val="BodyText"/>
      </w:pPr>
      <w:r>
        <w:rPr>
          <w:b/>
          <w:bCs/>
        </w:rPr>
        <w:t>Conclusion: do not tell the business that bias risk has gone away.</w:t>
      </w:r>
      <w:r>
        <w:t xml:space="preserve"> The disability route is untouched and is the more likely vector for an AI marking tool; state law is expanding; and reputational and procurement risk are indifferent to doctrine. A district that sees a subgroup error-rate gap drops the vendor whether or not anyone would investigate.</w:t>
      </w:r>
    </w:p>
    <w:p w14:paraId="448B7D13" w14:textId="77777777" w:rsidR="0090768F" w:rsidRDefault="00000000">
      <w:pPr>
        <w:pStyle w:val="BodyText"/>
      </w:pPr>
      <w:r>
        <w:rPr>
          <w:b/>
          <w:bCs/>
        </w:rPr>
        <w:t xml:space="preserve">ED OCR’s </w:t>
      </w:r>
      <w:r>
        <w:rPr>
          <w:b/>
          <w:bCs/>
          <w:i/>
          <w:iCs/>
        </w:rPr>
        <w:t>Avoiding the Discriminatory Use of Artificial Intelligence</w:t>
      </w:r>
      <w:r>
        <w:rPr>
          <w:b/>
          <w:bCs/>
        </w:rPr>
        <w:t xml:space="preserve"> (November 2024, revised January 2025) has been formally rescinded</w:t>
      </w:r>
      <w:r>
        <w:t xml:space="preserve"> </w:t>
      </w:r>
      <w:r>
        <w:rPr>
          <w:i/>
          <w:iCs/>
        </w:rPr>
        <w:t>(date and instrument of rescission could not be established)</w:t>
      </w:r>
      <w:r>
        <w:t xml:space="preserve">. It remains the most useful single document in the file, because rescission removes its status as guidance but not its value as a map of how a complaint would be framed. Its Example 1 is our scenario with the labels changed: a tool with </w:t>
      </w:r>
      <w:r>
        <w:rPr>
          <w:i/>
          <w:iCs/>
        </w:rPr>
        <w:t>“a low error rate for evaluating essays written by native English speakers”</w:t>
      </w:r>
      <w:r>
        <w:t xml:space="preserve"> but </w:t>
      </w:r>
      <w:r>
        <w:rPr>
          <w:i/>
          <w:iCs/>
        </w:rPr>
        <w:t>“a high error rate when evaluating essays written by non-native English speakers”</w:t>
      </w:r>
      <w:r>
        <w:t>. The through-line across its examples is that liability arises not from using AI but from deferring to the output, failing to audit for subgroup error rates, and ignoring complaints.</w:t>
      </w:r>
    </w:p>
    <w:p w14:paraId="364A0D6E" w14:textId="77777777" w:rsidR="0090768F" w:rsidRDefault="00000000">
      <w:pPr>
        <w:pStyle w:val="BodyText"/>
      </w:pPr>
      <w:r>
        <w:rPr>
          <w:b/>
          <w:bCs/>
        </w:rPr>
        <w:t>Accommodations are a build requirement, not a policy question.</w:t>
      </w:r>
      <w:r>
        <w:t xml:space="preserve"> IDEA confidentiality rules layer on top of FERPA. Substantively: extended time is irrelevant to marking; a scribe or word processor changes the artefact from handwriting to type, and </w:t>
      </w:r>
      <w:r>
        <w:rPr>
          <w:b/>
          <w:bCs/>
        </w:rPr>
        <w:t xml:space="preserve">typed scripts must </w:t>
      </w:r>
      <w:r>
        <w:rPr>
          <w:b/>
          <w:bCs/>
        </w:rPr>
        <w:lastRenderedPageBreak/>
        <w:t>not be scored differently</w:t>
      </w:r>
      <w:r>
        <w:t xml:space="preserve">; spelling and grammar waivers mean </w:t>
      </w:r>
      <w:r>
        <w:rPr>
          <w:b/>
          <w:bCs/>
        </w:rPr>
        <w:t>the rubric must be modifiable per student</w:t>
      </w:r>
      <w:r>
        <w:t xml:space="preserve">; and alternative or reduced-length response formats must be handled. </w:t>
      </w:r>
      <w:r>
        <w:rPr>
          <w:b/>
          <w:bCs/>
        </w:rPr>
        <w:t>A system that applies one rubric to every script cannot implement a 504 plan.</w:t>
      </w:r>
      <w:r>
        <w:t xml:space="preserve"> GRADIAS must accept a per-student rubric-modification flag and evidence that it applied it.</w:t>
      </w:r>
    </w:p>
    <w:p w14:paraId="51F21265" w14:textId="77777777" w:rsidR="0090768F" w:rsidRDefault="00000000">
      <w:pPr>
        <w:pStyle w:val="Heading3"/>
      </w:pPr>
      <w:bookmarkStart w:id="73" w:name="Xf579736357128516123e06c13a7955e77006d3c"/>
      <w:bookmarkEnd w:id="72"/>
      <w:r>
        <w:t>10.6 What the evidence on scoring bias actually shows</w:t>
      </w:r>
    </w:p>
    <w:p w14:paraId="4EB899F0" w14:textId="77777777" w:rsidR="0090768F" w:rsidRDefault="00000000">
      <w:pPr>
        <w:pStyle w:val="FirstParagraph"/>
      </w:pPr>
      <w:r>
        <w:t>Two studies were verified, and they should be read carefully rather than quoted loosely.</w:t>
      </w:r>
    </w:p>
    <w:p w14:paraId="1AF65F96" w14:textId="77777777" w:rsidR="0090768F" w:rsidRDefault="00000000">
      <w:pPr>
        <w:pStyle w:val="Compact"/>
        <w:numPr>
          <w:ilvl w:val="0"/>
          <w:numId w:val="17"/>
        </w:numPr>
      </w:pPr>
      <w:r>
        <w:rPr>
          <w:b/>
          <w:bCs/>
        </w:rPr>
        <w:t xml:space="preserve">Li, Qunhan &amp; Mao (2026), </w:t>
      </w:r>
      <w:r>
        <w:rPr>
          <w:b/>
          <w:bCs/>
          <w:i/>
          <w:iCs/>
        </w:rPr>
        <w:t>Scientific Reports</w:t>
      </w:r>
      <w:r>
        <w:rPr>
          <w:b/>
          <w:bCs/>
        </w:rPr>
        <w:t xml:space="preserve"> 16:17412</w:t>
      </w:r>
      <w:r>
        <w:t xml:space="preserve"> — meta-analysis of human versus AI scoring in English language assessments. The pooled effect is not significant (d = −0.144, p = .38) </w:t>
      </w:r>
      <w:r>
        <w:rPr>
          <w:b/>
          <w:bCs/>
        </w:rPr>
        <w:t>but I² = 99.95%</w:t>
      </w:r>
      <w:r>
        <w:t xml:space="preserve">, so the null aggregate conceals enormous between-study variance. In sub-groups, </w:t>
      </w:r>
      <w:r>
        <w:rPr>
          <w:b/>
          <w:bCs/>
        </w:rPr>
        <w:t>large language models showed the largest discrepancy (d = −1.14, k = 5)</w:t>
      </w:r>
      <w:r>
        <w:t xml:space="preserve"> with human scores significantly higher, while purpose-built NLP systems showed minimal difference; at CEFR B1–C1 </w:t>
      </w:r>
      <w:r>
        <w:rPr>
          <w:b/>
          <w:bCs/>
        </w:rPr>
        <w:t>AI scored significantly higher than humans</w:t>
      </w:r>
      <w:r>
        <w:t xml:space="preserve">. The operational reading is not “LLMs are biased against non-native speakers” but something more useful: </w:t>
      </w:r>
      <w:r>
        <w:rPr>
          <w:b/>
          <w:bCs/>
        </w:rPr>
        <w:t>the direction and magnitude of LLM–human divergence is not stable across proficiency levels</w:t>
      </w:r>
      <w:r>
        <w:t>, which is exactly the pattern that produces differential accuracy across an EL/non-EL split without any protected attribute being an input.</w:t>
      </w:r>
    </w:p>
    <w:p w14:paraId="78BDB755" w14:textId="77777777" w:rsidR="0090768F" w:rsidRDefault="00000000">
      <w:pPr>
        <w:pStyle w:val="Compact"/>
        <w:numPr>
          <w:ilvl w:val="0"/>
          <w:numId w:val="17"/>
        </w:numPr>
      </w:pPr>
      <w:r>
        <w:rPr>
          <w:b/>
          <w:bCs/>
        </w:rPr>
        <w:t>Guo et al. (2025), arXiv:2505.10643</w:t>
      </w:r>
      <w:r>
        <w:t xml:space="preserve"> — BERT fine-tuned on California Science Test constructed responses. </w:t>
      </w:r>
      <w:r>
        <w:rPr>
          <w:b/>
          <w:bCs/>
        </w:rPr>
        <w:t>Bias is a function of training-data scale and composition</w:t>
      </w:r>
      <w:r>
        <w:t xml:space="preserve">: at ~30,000 English-learner responses no significant model differences; at ~200, significant accuracy differences emerged, and mean score gaps distorted when training composition deviated from real-world proportions. </w:t>
      </w:r>
      <w:r>
        <w:rPr>
          <w:b/>
          <w:bCs/>
        </w:rPr>
        <w:t>This is the most actionable finding available: EL bias is largely a data-sufficiency and representativeness problem, and it is measurable and fixable.</w:t>
      </w:r>
      <w:r>
        <w:t xml:space="preserve"> It supports a concrete commitment — representative calibration data per deployment context, and per-subgroup accuracy reporting.</w:t>
      </w:r>
    </w:p>
    <w:p w14:paraId="212F40C6" w14:textId="77777777" w:rsidR="0090768F" w:rsidRDefault="00000000">
      <w:pPr>
        <w:pStyle w:val="FirstParagraph"/>
      </w:pPr>
      <w:r>
        <w:rPr>
          <w:i/>
          <w:iCs/>
        </w:rPr>
        <w:t>(Bridgeman, Trapani &amp; Attali (2012), the canonical ETS e-rater subgroup study, could not be read — the publisher returned an error. Do not attribute specific subgroup findings to it.)</w:t>
      </w:r>
    </w:p>
    <w:p w14:paraId="2CD4C060" w14:textId="77777777" w:rsidR="0090768F" w:rsidRDefault="00000000">
      <w:pPr>
        <w:pStyle w:val="BodyText"/>
      </w:pPr>
      <w:r>
        <w:rPr>
          <w:b/>
          <w:bCs/>
        </w:rPr>
        <w:t>The gap we should own rather than borrow.</w:t>
      </w:r>
      <w:r>
        <w:t xml:space="preserve"> </w:t>
      </w:r>
      <w:r>
        <w:rPr>
          <w:b/>
          <w:bCs/>
        </w:rPr>
        <w:t xml:space="preserve">No published study of bias in AI scoring of </w:t>
      </w:r>
      <w:r>
        <w:rPr>
          <w:b/>
          <w:bCs/>
          <w:i/>
          <w:iCs/>
        </w:rPr>
        <w:t>handwritten</w:t>
      </w:r>
      <w:r>
        <w:rPr>
          <w:b/>
          <w:bCs/>
        </w:rPr>
        <w:t xml:space="preserve"> scripts specifically could be found.</w:t>
      </w:r>
      <w:r>
        <w:t xml:space="preserve"> All the evidence concerns typed or transcribed text. We add an OCR/HTR stage before scoring, and </w:t>
      </w:r>
      <w:r>
        <w:rPr>
          <w:b/>
          <w:bCs/>
        </w:rPr>
        <w:t>transcription error is itself a plausible bias vector</w:t>
      </w:r>
      <w:r>
        <w:t xml:space="preserve">: handwriting legibility correlates with fine-motor disability, dysgraphia, age and instruction quality, and a recogniser trained predominantly on one population’s handwriting will transcribe others worse. A student whose script transcribes at 92% character accuracy and one whose transcribes at 98% are not being assessed on the same artefact. </w:t>
      </w:r>
      <w:r>
        <w:rPr>
          <w:b/>
          <w:bCs/>
        </w:rPr>
        <w:t>Mitigation: measure and report transcription accuracy by subgroup; route low-confidence transcriptions to the teacher with the original image; never score a script whose transcription confidence falls below a threshold.</w:t>
      </w:r>
      <w:r>
        <w:t xml:space="preserve"> This is a research gap we could credibly fill, and it would be a genuine differentiator.</w:t>
      </w:r>
    </w:p>
    <w:p w14:paraId="78E4F18C" w14:textId="77777777" w:rsidR="0090768F" w:rsidRDefault="00000000">
      <w:pPr>
        <w:pStyle w:val="Heading3"/>
      </w:pPr>
      <w:bookmarkStart w:id="74" w:name="higher-education-accessibility-liability"/>
      <w:bookmarkEnd w:id="73"/>
      <w:r>
        <w:lastRenderedPageBreak/>
        <w:t>10.7 Higher education, accessibility, liability</w:t>
      </w:r>
    </w:p>
    <w:p w14:paraId="02137D6D" w14:textId="77777777" w:rsidR="0090768F" w:rsidRDefault="00000000">
      <w:pPr>
        <w:pStyle w:val="FirstParagraph"/>
      </w:pPr>
      <w:r>
        <w:rPr>
          <w:b/>
          <w:bCs/>
        </w:rPr>
        <w:t>“Regular and substantive interaction” (34 CFR § 600.2).</w:t>
      </w:r>
      <w:r>
        <w:t xml:space="preserve"> Distance education must support regular and substantive interaction with </w:t>
      </w:r>
      <w:r>
        <w:rPr>
          <w:b/>
          <w:bCs/>
        </w:rPr>
        <w:t>an instructor</w:t>
      </w:r>
      <w:r>
        <w:t xml:space="preserve">, defined as </w:t>
      </w:r>
      <w:r>
        <w:rPr>
          <w:i/>
          <w:iCs/>
        </w:rPr>
        <w:t>“an individual”</w:t>
      </w:r>
      <w:r>
        <w:t xml:space="preserve"> meeting the accrediting agency’s qualifications; substantive interaction requires at least two of five activities, of which item (2) is </w:t>
      </w:r>
      <w:r>
        <w:rPr>
          <w:i/>
          <w:iCs/>
        </w:rPr>
        <w:t>“assessing or providing feedback on a student’s coursework”</w:t>
      </w:r>
      <w:r>
        <w:t xml:space="preserve"> — precisely what we do. A course failing this test is a </w:t>
      </w:r>
      <w:r>
        <w:rPr>
          <w:b/>
          <w:bCs/>
        </w:rPr>
        <w:t>correspondence course</w:t>
      </w:r>
      <w:r>
        <w:t xml:space="preserve">, which is Title IV-restricted. </w:t>
      </w:r>
      <w:r>
        <w:rPr>
          <w:b/>
          <w:bCs/>
        </w:rPr>
        <w:t>Our design is safe because the teacher reviews and decides, so the feedback that reaches the student is the instructor’s, adopted with AI assistance. The risk is entirely in configuration and marketing:</w:t>
      </w:r>
      <w:r>
        <w:t xml:space="preserve"> never a configuration delivering AI feedback to students without instructor review in a distance course, and never marketing copy promising that we “replace” instructor grading. </w:t>
      </w:r>
      <w:r>
        <w:rPr>
          <w:i/>
          <w:iCs/>
        </w:rPr>
        <w:t>(MSCHE’s July 2025 AI accreditation policy and the C-RAC October 2025 statement could not be fetched; obtain both before finalising anything for the US higher-ed segment.)</w:t>
      </w:r>
    </w:p>
    <w:p w14:paraId="40BF71EC" w14:textId="77777777" w:rsidR="0090768F" w:rsidRDefault="00000000">
      <w:pPr>
        <w:pStyle w:val="BodyText"/>
      </w:pPr>
      <w:r>
        <w:rPr>
          <w:b/>
          <w:bCs/>
        </w:rPr>
        <w:t>Accessibility.</w:t>
      </w:r>
      <w:r>
        <w:t xml:space="preserve"> Section 508 binds federal agencies, not districts or universities — but many state procurement statutes adopt it by reference, so a VPAT will be demanded in practice. The operative mandate for our customers is the </w:t>
      </w:r>
      <w:r>
        <w:rPr>
          <w:b/>
          <w:bCs/>
        </w:rPr>
        <w:t>ADA Title II web rule (28 CFR Part 35 Subpart H, final rule 24 April 2024), standard WCAG 2.1 Level A and AA</w:t>
      </w:r>
      <w:r>
        <w:t xml:space="preserve">, with compliance dates extended by an interim final rule of 20 April 2026 to </w:t>
      </w:r>
      <w:r>
        <w:rPr>
          <w:b/>
          <w:bCs/>
        </w:rPr>
        <w:t>26 April 2027</w:t>
      </w:r>
      <w:r>
        <w:t xml:space="preserve"> for public entities of 50,000+ and </w:t>
      </w:r>
      <w:r>
        <w:rPr>
          <w:b/>
          <w:bCs/>
        </w:rPr>
        <w:t>26 April 2028</w:t>
      </w:r>
      <w:r>
        <w:t xml:space="preserve"> for smaller entities and special district governments — which is what most school districts are. The clause that matters: a public entity remains responsible </w:t>
      </w:r>
      <w:r>
        <w:rPr>
          <w:i/>
          <w:iCs/>
        </w:rPr>
        <w:t>“even if it outsources the accessibility work to somebody else”</w:t>
      </w:r>
      <w:r>
        <w:t xml:space="preserve">, so districts will push the obligation into the contract. Two product-specific traps: </w:t>
      </w:r>
      <w:r>
        <w:rPr>
          <w:b/>
          <w:bCs/>
        </w:rPr>
        <w:t>scanned script images are non-text content</w:t>
      </w:r>
      <w:r>
        <w:t xml:space="preserve"> and need alternatives for a blind or low-vision reviewer; and colour-coded confidence or annotation overlays must not convey information by colour alone.</w:t>
      </w:r>
    </w:p>
    <w:p w14:paraId="0B8254D7" w14:textId="77777777" w:rsidR="0090768F" w:rsidRDefault="00000000">
      <w:pPr>
        <w:pStyle w:val="BodyText"/>
      </w:pPr>
      <w:r>
        <w:rPr>
          <w:b/>
          <w:bCs/>
        </w:rPr>
        <w:t>Liability.</w:t>
      </w:r>
      <w:r>
        <w:t xml:space="preserve"> There is no federal AI liability statute; claims will be sought in state common law — negligence (the plaintiff’s best facts being a known, measurable subgroup error rate we did not disclose), products liability (unsettled as to whether AI software is a product), misrepresentation and state consumer-protection law (overclaiming accuracy is the most likely first claim and the cheapest to avoid), and breach of contract and indemnity (the realistic primary exposure). </w:t>
      </w:r>
      <w:r>
        <w:rPr>
          <w:b/>
          <w:bCs/>
        </w:rPr>
        <w:t>Our damages profile is unusual: a mis-scored exam is a small individual harm with a potentially large class, because one calibration error affects every script in a cohort.</w:t>
      </w:r>
      <w:r>
        <w:t xml:space="preserve"> The claim that bites is educational detriment — a grade that changed a placement, a graduation or an admission — hard to value individually, easy to aggregate. Insurance implication: technology errors-and-omissions cover with an explicit AI endorsement, confirmed to respond to claims arising from model </w:t>
      </w:r>
      <w:r>
        <w:rPr>
          <w:i/>
          <w:iCs/>
        </w:rPr>
        <w:t>output</w:t>
      </w:r>
      <w:r>
        <w:t xml:space="preserve"> and not only from security incidents. </w:t>
      </w:r>
      <w:r>
        <w:rPr>
          <w:i/>
          <w:iCs/>
        </w:rPr>
        <w:t>(The AI E&amp;O insurance market was not researched; flagged.)</w:t>
      </w:r>
    </w:p>
    <w:p w14:paraId="21FD6804" w14:textId="77777777" w:rsidR="0090768F" w:rsidRDefault="00000000">
      <w:pPr>
        <w:pStyle w:val="Heading2"/>
      </w:pPr>
      <w:bookmarkStart w:id="75" w:name="united-states-the-50-state-layer"/>
      <w:bookmarkStart w:id="76" w:name="_Toc240060407"/>
      <w:bookmarkEnd w:id="66"/>
      <w:bookmarkEnd w:id="74"/>
      <w:r>
        <w:t>11. United States — the 50-state layer</w:t>
      </w:r>
      <w:bookmarkEnd w:id="76"/>
    </w:p>
    <w:p w14:paraId="118C25DE" w14:textId="77777777" w:rsidR="0090768F" w:rsidRDefault="00000000">
      <w:pPr>
        <w:pStyle w:val="Heading3"/>
      </w:pPr>
      <w:bookmarkStart w:id="77" w:name="X77865b385f58a6ab9cbfeb0d271246cb71a4d5c"/>
      <w:r>
        <w:t>11.1 Five layers, three of which shape the product</w:t>
      </w:r>
    </w:p>
    <w:tbl>
      <w:tblPr>
        <w:tblStyle w:val="Table"/>
        <w:tblW w:w="5000" w:type="pct"/>
        <w:tblLook w:val="0020" w:firstRow="1" w:lastRow="0" w:firstColumn="0" w:lastColumn="0" w:noHBand="0" w:noVBand="0"/>
      </w:tblPr>
      <w:tblGrid>
        <w:gridCol w:w="2724"/>
        <w:gridCol w:w="3419"/>
        <w:gridCol w:w="3217"/>
      </w:tblGrid>
      <w:tr w:rsidR="0090768F" w14:paraId="0EDB4866"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489562E8" w14:textId="77777777" w:rsidR="0090768F" w:rsidRDefault="00000000">
            <w:pPr>
              <w:pStyle w:val="Compact"/>
            </w:pPr>
            <w:r>
              <w:t>Layer</w:t>
            </w:r>
          </w:p>
        </w:tc>
        <w:tc>
          <w:tcPr>
            <w:tcW w:w="0" w:type="auto"/>
          </w:tcPr>
          <w:p w14:paraId="26002D08" w14:textId="77777777" w:rsidR="0090768F" w:rsidRDefault="00000000">
            <w:pPr>
              <w:pStyle w:val="Compact"/>
            </w:pPr>
            <w:r>
              <w:t>Binding force</w:t>
            </w:r>
          </w:p>
        </w:tc>
        <w:tc>
          <w:tcPr>
            <w:tcW w:w="0" w:type="auto"/>
          </w:tcPr>
          <w:p w14:paraId="6FCC6212" w14:textId="77777777" w:rsidR="0090768F" w:rsidRDefault="00000000">
            <w:pPr>
              <w:pStyle w:val="Compact"/>
            </w:pPr>
            <w:r>
              <w:t>Product impact</w:t>
            </w:r>
          </w:p>
        </w:tc>
      </w:tr>
      <w:tr w:rsidR="0090768F" w14:paraId="46D9EC9E" w14:textId="77777777">
        <w:tc>
          <w:tcPr>
            <w:tcW w:w="0" w:type="auto"/>
          </w:tcPr>
          <w:p w14:paraId="0D752E46" w14:textId="77777777" w:rsidR="0090768F" w:rsidRDefault="00000000">
            <w:pPr>
              <w:pStyle w:val="Compact"/>
            </w:pPr>
            <w:r>
              <w:t xml:space="preserve">K-12 student-privacy vendor statutes (~40 </w:t>
            </w:r>
            <w:r>
              <w:lastRenderedPageBreak/>
              <w:t>states)</w:t>
            </w:r>
          </w:p>
        </w:tc>
        <w:tc>
          <w:tcPr>
            <w:tcW w:w="0" w:type="auto"/>
          </w:tcPr>
          <w:p w14:paraId="637CF644" w14:textId="77777777" w:rsidR="0090768F" w:rsidRDefault="00000000">
            <w:pPr>
              <w:pStyle w:val="Compact"/>
            </w:pPr>
            <w:r>
              <w:lastRenderedPageBreak/>
              <w:t xml:space="preserve">direct statutory liability as an “operator” in most; contract </w:t>
            </w:r>
            <w:r>
              <w:lastRenderedPageBreak/>
              <w:t>flow-down in the rest</w:t>
            </w:r>
          </w:p>
        </w:tc>
        <w:tc>
          <w:tcPr>
            <w:tcW w:w="0" w:type="auto"/>
          </w:tcPr>
          <w:p w14:paraId="4C006971" w14:textId="77777777" w:rsidR="0090768F" w:rsidRDefault="00000000">
            <w:pPr>
              <w:pStyle w:val="Compact"/>
            </w:pPr>
            <w:r>
              <w:rPr>
                <w:b/>
                <w:bCs/>
              </w:rPr>
              <w:lastRenderedPageBreak/>
              <w:t>High</w:t>
            </w:r>
            <w:r>
              <w:t xml:space="preserve"> — data use, retention, deletion, security, breach </w:t>
            </w:r>
            <w:r>
              <w:lastRenderedPageBreak/>
              <w:t>clocks, public posting</w:t>
            </w:r>
          </w:p>
        </w:tc>
      </w:tr>
      <w:tr w:rsidR="0090768F" w14:paraId="44C7F4A4" w14:textId="77777777">
        <w:tc>
          <w:tcPr>
            <w:tcW w:w="0" w:type="auto"/>
          </w:tcPr>
          <w:p w14:paraId="315737B3" w14:textId="77777777" w:rsidR="0090768F" w:rsidRDefault="00000000">
            <w:pPr>
              <w:pStyle w:val="Compact"/>
            </w:pPr>
            <w:r>
              <w:lastRenderedPageBreak/>
              <w:t>Comprehensive consumer privacy laws (20 in force)</w:t>
            </w:r>
          </w:p>
        </w:tc>
        <w:tc>
          <w:tcPr>
            <w:tcW w:w="0" w:type="auto"/>
          </w:tcPr>
          <w:p w14:paraId="7A00A0BF" w14:textId="77777777" w:rsidR="0090768F" w:rsidRDefault="00000000">
            <w:pPr>
              <w:pStyle w:val="Compact"/>
            </w:pPr>
            <w:r>
              <w:t>largely disapplied for K-12 by FERPA data-level exemptions</w:t>
            </w:r>
          </w:p>
        </w:tc>
        <w:tc>
          <w:tcPr>
            <w:tcW w:w="0" w:type="auto"/>
          </w:tcPr>
          <w:p w14:paraId="0523AD9C" w14:textId="77777777" w:rsidR="0090768F" w:rsidRDefault="00000000">
            <w:pPr>
              <w:pStyle w:val="Compact"/>
            </w:pPr>
            <w:r>
              <w:t xml:space="preserve">Low for K-12; </w:t>
            </w:r>
            <w:r>
              <w:rPr>
                <w:b/>
                <w:bCs/>
              </w:rPr>
              <w:t>real for higher education and corporate</w:t>
            </w:r>
          </w:p>
        </w:tc>
      </w:tr>
      <w:tr w:rsidR="0090768F" w14:paraId="168B55A0" w14:textId="77777777">
        <w:tc>
          <w:tcPr>
            <w:tcW w:w="0" w:type="auto"/>
          </w:tcPr>
          <w:p w14:paraId="46010F8B" w14:textId="77777777" w:rsidR="0090768F" w:rsidRDefault="00000000">
            <w:pPr>
              <w:pStyle w:val="Compact"/>
            </w:pPr>
            <w:r>
              <w:t>State AI statutes</w:t>
            </w:r>
          </w:p>
        </w:tc>
        <w:tc>
          <w:tcPr>
            <w:tcW w:w="0" w:type="auto"/>
          </w:tcPr>
          <w:p w14:paraId="31BE2AC7" w14:textId="77777777" w:rsidR="0090768F" w:rsidRDefault="00000000">
            <w:pPr>
              <w:pStyle w:val="Compact"/>
            </w:pPr>
            <w:r>
              <w:t>two bite: California’s ADMT regulations and Colorado SB 26-189, both naming education</w:t>
            </w:r>
          </w:p>
        </w:tc>
        <w:tc>
          <w:tcPr>
            <w:tcW w:w="0" w:type="auto"/>
          </w:tcPr>
          <w:p w14:paraId="677BE19E" w14:textId="77777777" w:rsidR="0090768F" w:rsidRDefault="00000000">
            <w:pPr>
              <w:pStyle w:val="Compact"/>
            </w:pPr>
            <w:r>
              <w:rPr>
                <w:b/>
                <w:bCs/>
              </w:rPr>
              <w:t>Highest</w:t>
            </w:r>
          </w:p>
        </w:tc>
      </w:tr>
      <w:tr w:rsidR="0090768F" w14:paraId="70619CF9" w14:textId="77777777">
        <w:tc>
          <w:tcPr>
            <w:tcW w:w="0" w:type="auto"/>
          </w:tcPr>
          <w:p w14:paraId="7A608BD3" w14:textId="77777777" w:rsidR="0090768F" w:rsidRDefault="00000000">
            <w:pPr>
              <w:pStyle w:val="Compact"/>
            </w:pPr>
            <w:r>
              <w:t>State education-agency AI guidance (~35 states)</w:t>
            </w:r>
          </w:p>
        </w:tc>
        <w:tc>
          <w:tcPr>
            <w:tcW w:w="0" w:type="auto"/>
          </w:tcPr>
          <w:p w14:paraId="64E12066" w14:textId="77777777" w:rsidR="0090768F" w:rsidRDefault="00000000">
            <w:pPr>
              <w:pStyle w:val="Compact"/>
            </w:pPr>
            <w:r>
              <w:t>not law, but procurement gospel</w:t>
            </w:r>
          </w:p>
        </w:tc>
        <w:tc>
          <w:tcPr>
            <w:tcW w:w="0" w:type="auto"/>
          </w:tcPr>
          <w:p w14:paraId="2BA4E7E9" w14:textId="77777777" w:rsidR="0090768F" w:rsidRDefault="00000000">
            <w:pPr>
              <w:pStyle w:val="Compact"/>
            </w:pPr>
            <w:r>
              <w:rPr>
                <w:b/>
                <w:bCs/>
              </w:rPr>
              <w:t>High commercially</w:t>
            </w:r>
          </w:p>
        </w:tc>
      </w:tr>
      <w:tr w:rsidR="0090768F" w14:paraId="0448F48E" w14:textId="77777777">
        <w:tc>
          <w:tcPr>
            <w:tcW w:w="0" w:type="auto"/>
          </w:tcPr>
          <w:p w14:paraId="6BCFF9A9" w14:textId="77777777" w:rsidR="0090768F" w:rsidRDefault="00000000">
            <w:pPr>
              <w:pStyle w:val="Compact"/>
            </w:pPr>
            <w:r>
              <w:t>SDPC National DPA</w:t>
            </w:r>
          </w:p>
        </w:tc>
        <w:tc>
          <w:tcPr>
            <w:tcW w:w="0" w:type="auto"/>
          </w:tcPr>
          <w:p w14:paraId="24A9B651" w14:textId="77777777" w:rsidR="0090768F" w:rsidRDefault="00000000">
            <w:pPr>
              <w:pStyle w:val="Compact"/>
            </w:pPr>
            <w:r>
              <w:t>contractual</w:t>
            </w:r>
          </w:p>
        </w:tc>
        <w:tc>
          <w:tcPr>
            <w:tcW w:w="0" w:type="auto"/>
          </w:tcPr>
          <w:p w14:paraId="1DC406E3" w14:textId="77777777" w:rsidR="0090768F" w:rsidRDefault="00000000">
            <w:pPr>
              <w:pStyle w:val="Compact"/>
            </w:pPr>
            <w:r>
              <w:rPr>
                <w:b/>
                <w:bCs/>
              </w:rPr>
              <w:t>High operationally</w:t>
            </w:r>
          </w:p>
        </w:tc>
      </w:tr>
    </w:tbl>
    <w:p w14:paraId="7DDAA700" w14:textId="77777777" w:rsidR="0090768F" w:rsidRDefault="00000000">
      <w:pPr>
        <w:pStyle w:val="Heading3"/>
      </w:pPr>
      <w:bookmarkStart w:id="78" w:name="the-three-corrections-that-matter-most"/>
      <w:bookmarkEnd w:id="77"/>
      <w:r>
        <w:t>11.2 The three corrections that matter most</w:t>
      </w:r>
    </w:p>
    <w:p w14:paraId="4845ACC7" w14:textId="77777777" w:rsidR="0090768F" w:rsidRDefault="00000000">
      <w:pPr>
        <w:pStyle w:val="FirstParagraph"/>
      </w:pPr>
      <w:r>
        <w:rPr>
          <w:b/>
          <w:bCs/>
        </w:rPr>
        <w:t>1. Colorado SB 24-205 — the law everyone planned for — is dead. Do not build to it.</w:t>
      </w:r>
      <w:r>
        <w:t xml:space="preserve"> It never took effect and was never enforced. Chronology: signed May 2024 (effective 1 February 2026); pushed to 30 June 2026 by SB 25B-004 in the August 2025 special session; </w:t>
      </w:r>
      <w:r>
        <w:rPr>
          <w:b/>
          <w:bCs/>
        </w:rPr>
        <w:t>xAI sued</w:t>
      </w:r>
      <w:r>
        <w:t xml:space="preserve"> on 9 April 2026 (D. Colo. No. 1:26-cv-01515); </w:t>
      </w:r>
      <w:r>
        <w:rPr>
          <w:b/>
          <w:bCs/>
        </w:rPr>
        <w:t>DOJ intervened as plaintiff on 24 April 2026</w:t>
      </w:r>
      <w:r>
        <w:t xml:space="preserve">; a federal magistrate blocked enforcement on 27 April 2026; and </w:t>
      </w:r>
      <w:r>
        <w:rPr>
          <w:b/>
          <w:bCs/>
        </w:rPr>
        <w:t>SB 26-189 was signed on 14 May 2026, repealing and replacing it</w:t>
      </w:r>
      <w:r>
        <w:t>.</w:t>
      </w:r>
    </w:p>
    <w:p w14:paraId="340218D9" w14:textId="77777777" w:rsidR="0090768F" w:rsidRDefault="00000000">
      <w:pPr>
        <w:pStyle w:val="BodyText"/>
      </w:pPr>
      <w:r>
        <w:rPr>
          <w:b/>
          <w:bCs/>
        </w:rPr>
        <w:t>2. Federal preemption has not happened, and the patchwork persists.</w:t>
      </w:r>
      <w:r>
        <w:t xml:space="preserve"> The 2025 congressional moratorium was stripped in a 99–1 Senate vote. </w:t>
      </w:r>
      <w:r>
        <w:rPr>
          <w:b/>
          <w:bCs/>
        </w:rPr>
        <w:t>EO 14365 (11 December 2025)</w:t>
      </w:r>
      <w:r>
        <w:t xml:space="preserve"> directed an AI Litigation Task Force, a Commerce evaluation of state AI laws (due 11 March 2026, </w:t>
      </w:r>
      <w:r>
        <w:rPr>
          <w:b/>
          <w:bCs/>
        </w:rPr>
        <w:t>not published</w:t>
      </w:r>
      <w:r>
        <w:t xml:space="preserve"> as of at least April 2026), BEAD funding conditions, an FCC proceeding and draft preemption legislation. Output so far: no statute, no published Commerce list, one intervention in someone else’s lawsuit, and a non-binding March 2026 framework. </w:t>
      </w:r>
      <w:r>
        <w:rPr>
          <w:b/>
          <w:bCs/>
        </w:rPr>
        <w:t>Critically, the EO’s own legislative recommendation preserves carve-outs for child-safety protections — and state student-privacy statutes are exactly the laws that most constrain us and are least likely to be preempted.</w:t>
      </w:r>
      <w:r>
        <w:t xml:space="preserve"> Build to the student-privacy layer unconditionally; treat the AI layer as volatile and keep the ADMT controls configurable.</w:t>
      </w:r>
    </w:p>
    <w:p w14:paraId="4F800C68" w14:textId="77777777" w:rsidR="0090768F" w:rsidRDefault="00000000">
      <w:pPr>
        <w:pStyle w:val="BodyText"/>
      </w:pPr>
      <w:r>
        <w:rPr>
          <w:b/>
          <w:bCs/>
        </w:rPr>
        <w:t>3. Two AI statutes bite, and both name education.</w:t>
      </w:r>
    </w:p>
    <w:p w14:paraId="7E68C7DF" w14:textId="77777777" w:rsidR="0090768F" w:rsidRDefault="00000000">
      <w:pPr>
        <w:pStyle w:val="BodyText"/>
      </w:pPr>
      <w:r>
        <w:rPr>
          <w:b/>
          <w:bCs/>
        </w:rPr>
        <w:t>California — the CPPA ADMT regulations.</w:t>
      </w:r>
      <w:r>
        <w:t xml:space="preserve"> Approved 23 September 2025; most provisions effective 1 January 2026; </w:t>
      </w:r>
      <w:r>
        <w:rPr>
          <w:b/>
          <w:bCs/>
        </w:rPr>
        <w:t>ADMT compliance from 1 January 2027</w:t>
      </w:r>
      <w:r>
        <w:t xml:space="preserve">. A “significant decision” expressly includes </w:t>
      </w:r>
      <w:r>
        <w:rPr>
          <w:i/>
          <w:iCs/>
        </w:rPr>
        <w:t>“education enrollment or opportunities”</w:t>
      </w:r>
      <w:r>
        <w:t xml:space="preserve">. </w:t>
      </w:r>
      <w:r>
        <w:rPr>
          <w:b/>
          <w:bCs/>
        </w:rPr>
        <w:t>The safe harbour is our core legal architecture and should be memorised:</w:t>
      </w:r>
      <w:r>
        <w:t xml:space="preserve"> human decision-making is not substantially replaced where the reviewer (i) knows how to interpret the output, (ii) reviews and analyses it together with other relevant information, and (iii) has authority to make or change the decision. </w:t>
      </w:r>
      <w:r>
        <w:rPr>
          <w:b/>
          <w:bCs/>
        </w:rPr>
        <w:t>If all three hold, we are outside the ADMT rules entirely.</w:t>
      </w:r>
      <w:r>
        <w:t xml:space="preserve"> If they do not, pre-use notice, opt-out or meaningful appeal within 15 business days, and an access right to a plain-language explanation attach. </w:t>
      </w:r>
      <w:r>
        <w:rPr>
          <w:b/>
          <w:bCs/>
        </w:rPr>
        <w:t xml:space="preserve">But note: two risk-assessment triggers hit us even inside the safe harbour — training on student data, and inferring characteristics in an education context. Treat the California risk </w:t>
      </w:r>
      <w:r>
        <w:rPr>
          <w:b/>
          <w:bCs/>
        </w:rPr>
        <w:lastRenderedPageBreak/>
        <w:t>assessment as unavoidable.</w:t>
      </w:r>
      <w:r>
        <w:t xml:space="preserve"> (First assessments for pre-existing activities due 31 December 2027; first submission 1 April 2028. CCPA revenue and volume thresholds may put a small company out of scope today and in scope after growth — model this.)</w:t>
      </w:r>
    </w:p>
    <w:p w14:paraId="14C8AAE7" w14:textId="77777777" w:rsidR="0090768F" w:rsidRDefault="00000000">
      <w:pPr>
        <w:pStyle w:val="BodyText"/>
      </w:pPr>
      <w:r>
        <w:rPr>
          <w:b/>
          <w:bCs/>
        </w:rPr>
        <w:t>Colorado SB 26-189 (ADMTA), effective 1 January 2027.</w:t>
      </w:r>
      <w:r>
        <w:t xml:space="preserve"> “Consequential decision” expressly includes education. As </w:t>
      </w:r>
      <w:r>
        <w:rPr>
          <w:b/>
          <w:bCs/>
        </w:rPr>
        <w:t>developer</w:t>
      </w:r>
      <w:r>
        <w:t xml:space="preserve"> we must supply deployers with documentation of intended uses, known harmful uses and limitations, categories of personal data used in training, and </w:t>
      </w:r>
      <w:r>
        <w:rPr>
          <w:b/>
          <w:bCs/>
        </w:rPr>
        <w:t>instructions for implementing human oversight</w:t>
      </w:r>
      <w:r>
        <w:t xml:space="preserve">; notify of material modifications; and retain records for at least three years. The </w:t>
      </w:r>
      <w:r>
        <w:rPr>
          <w:b/>
          <w:bCs/>
        </w:rPr>
        <w:t>school as deployer</w:t>
      </w:r>
      <w:r>
        <w:t xml:space="preserve"> must give pre-use notice, must within </w:t>
      </w:r>
      <w:r>
        <w:rPr>
          <w:b/>
          <w:bCs/>
        </w:rPr>
        <w:t>30 days of an adverse outcome</w:t>
      </w:r>
      <w:r>
        <w:t xml:space="preserve"> provide a plain-language description of the decision, the technology’s role in it, and the consumer’s rights including human review and reconsideration, and must establish a </w:t>
      </w:r>
      <w:r>
        <w:rPr>
          <w:b/>
          <w:bCs/>
        </w:rPr>
        <w:t>meaningful human review process</w:t>
      </w:r>
      <w:r>
        <w:t xml:space="preserve"> accessible to users with disabilities and limited English proficiency. Compared with the repealed Act, the impact assessments, risk-management programme mandate and AG notification duty are gone; the model is now notice-based. Enforcement is AG-exclusive, up to $20,000 per violation, with a 60-day cure sunsetting 1 January 2030 and no private right of action. </w:t>
      </w:r>
      <w:r>
        <w:rPr>
          <w:b/>
          <w:bCs/>
        </w:rPr>
        <w:t>We do not fit the exemption for tools that merely summarise without generating scores or rankings — plan for full developer-duty coverage.</w:t>
      </w:r>
      <w:r>
        <w:t xml:space="preserve"> </w:t>
      </w:r>
      <w:r>
        <w:rPr>
          <w:i/>
          <w:iCs/>
        </w:rPr>
        <w:t>(Commentators expect SB 26-189 to be challenged as well.)</w:t>
      </w:r>
    </w:p>
    <w:p w14:paraId="7151212E" w14:textId="77777777" w:rsidR="0090768F" w:rsidRDefault="00000000">
      <w:pPr>
        <w:pStyle w:val="Heading3"/>
      </w:pPr>
      <w:bookmarkStart w:id="79" w:name="X105453c72c9c0e20429993071a7ea8df345f840"/>
      <w:bookmarkEnd w:id="78"/>
      <w:r>
        <w:t>11.3 The student-privacy statutes that actually change design</w:t>
      </w:r>
    </w:p>
    <w:p w14:paraId="5072C391" w14:textId="77777777" w:rsidR="0090768F" w:rsidRDefault="00000000">
      <w:pPr>
        <w:pStyle w:val="FirstParagraph"/>
      </w:pPr>
      <w:r>
        <w:t>Roughly forty states impose something; about eight impose obligations a generic agreement and a SOC 2 report will not satisfy.</w:t>
      </w:r>
    </w:p>
    <w:p w14:paraId="5DC57434" w14:textId="77777777" w:rsidR="0090768F" w:rsidRDefault="00000000">
      <w:pPr>
        <w:pStyle w:val="Compact"/>
        <w:numPr>
          <w:ilvl w:val="0"/>
          <w:numId w:val="18"/>
        </w:numPr>
      </w:pPr>
      <w:r>
        <w:rPr>
          <w:b/>
          <w:bCs/>
        </w:rPr>
        <w:t>New York — Education Law § 2-d and 8 NYCRR Part 121. The strictest regime in the country, and the one that should set our global baseline.</w:t>
      </w:r>
      <w:r>
        <w:t xml:space="preserve"> A third-party contractor must adopt and </w:t>
      </w:r>
      <w:r>
        <w:rPr>
          <w:b/>
          <w:bCs/>
        </w:rPr>
        <w:t>submit a Data Security and Privacy Plan to each agency</w:t>
      </w:r>
      <w:r>
        <w:t xml:space="preserve">; align safeguards to the </w:t>
      </w:r>
      <w:r>
        <w:rPr>
          <w:b/>
          <w:bCs/>
        </w:rPr>
        <w:t>NIST Cybersecurity Framework v1.1</w:t>
      </w:r>
      <w:r>
        <w:t xml:space="preserve"> (note: v1.1, not CSF 2.0 — keep a crosswalk); complete the Parents’ Bill of Rights supplemental information covering purposes, subcontractor accountability, duration and disposition, accuracy challenges, storage and </w:t>
      </w:r>
      <w:r>
        <w:rPr>
          <w:b/>
          <w:bCs/>
        </w:rPr>
        <w:t>encryption in motion and at rest</w:t>
      </w:r>
      <w:r>
        <w:t xml:space="preserve">; and </w:t>
      </w:r>
      <w:r>
        <w:rPr>
          <w:b/>
          <w:bCs/>
        </w:rPr>
        <w:t>notify the agency of a breach within 7 calendar days</w:t>
      </w:r>
      <w:r>
        <w:t xml:space="preserve">, bearing the notification costs. Penalties run to $10,000 for subsequent violations plus a </w:t>
      </w:r>
      <w:r>
        <w:rPr>
          <w:b/>
          <w:bCs/>
        </w:rPr>
        <w:t>ban on receiving student data for up to five years</w:t>
      </w:r>
      <w:r>
        <w:t xml:space="preserve"> — the debarment, not the fine, is the commercially material sanction. </w:t>
      </w:r>
      <w:r>
        <w:rPr>
          <w:b/>
          <w:bCs/>
        </w:rPr>
        <w:t>Build a templated plan generator and make the 7-day clock the global default.</w:t>
      </w:r>
    </w:p>
    <w:p w14:paraId="7B07E99F" w14:textId="77777777" w:rsidR="0090768F" w:rsidRDefault="00000000">
      <w:pPr>
        <w:pStyle w:val="Compact"/>
        <w:numPr>
          <w:ilvl w:val="0"/>
          <w:numId w:val="18"/>
        </w:numPr>
      </w:pPr>
      <w:r>
        <w:rPr>
          <w:b/>
          <w:bCs/>
        </w:rPr>
        <w:t>Connecticut — Conn. Gen. Stat. §§ 10-234aa ff.</w:t>
      </w:r>
      <w:r>
        <w:t xml:space="preserve"> Ten mandatory contract terms, including that student data is </w:t>
      </w:r>
      <w:r>
        <w:rPr>
          <w:b/>
          <w:bCs/>
        </w:rPr>
        <w:t>not the property of the contractor</w:t>
      </w:r>
      <w:r>
        <w:t xml:space="preserve"> and that Connecticut law governs. The unusual part: the board must </w:t>
      </w:r>
      <w:r>
        <w:rPr>
          <w:b/>
          <w:bCs/>
        </w:rPr>
        <w:t>post the contract on its website within five business days of execution</w:t>
      </w:r>
      <w:r>
        <w:t xml:space="preserve">. </w:t>
      </w:r>
      <w:r>
        <w:rPr>
          <w:b/>
          <w:bCs/>
        </w:rPr>
        <w:t>Our Connecticut agreements become public documents within a week — keep pricing structure, model details and security architecture out of the body and into a separate, non-posted commercial agreement.</w:t>
      </w:r>
      <w:r>
        <w:t xml:space="preserve"> From 1 July 2026 Connecticut’s consumer privacy law also extends the opt-out to </w:t>
      </w:r>
      <w:r>
        <w:rPr>
          <w:i/>
          <w:iCs/>
        </w:rPr>
        <w:t>“any automated decision”</w:t>
      </w:r>
      <w:r>
        <w:t xml:space="preserve">, not merely solely-automated ones — </w:t>
      </w:r>
      <w:r>
        <w:rPr>
          <w:b/>
          <w:bCs/>
        </w:rPr>
        <w:t xml:space="preserve">the provision that defeats the standard “there is a human in </w:t>
      </w:r>
      <w:r>
        <w:rPr>
          <w:b/>
          <w:bCs/>
        </w:rPr>
        <w:lastRenderedPageBreak/>
        <w:t>the loop” argument</w:t>
      </w:r>
      <w:r>
        <w:t xml:space="preserve"> — and adds a right to contest profiling and profiling impact assessments. </w:t>
      </w:r>
      <w:r>
        <w:rPr>
          <w:b/>
          <w:bCs/>
        </w:rPr>
        <w:t>Connecticut is the most operationally demanding single state.</w:t>
      </w:r>
    </w:p>
    <w:p w14:paraId="799A66D4" w14:textId="77777777" w:rsidR="0090768F" w:rsidRDefault="00000000">
      <w:pPr>
        <w:pStyle w:val="Compact"/>
        <w:numPr>
          <w:ilvl w:val="0"/>
          <w:numId w:val="18"/>
        </w:numPr>
      </w:pPr>
      <w:r>
        <w:rPr>
          <w:b/>
          <w:bCs/>
        </w:rPr>
        <w:t>Illinois — SOPPA, 105 ILCS 85.</w:t>
      </w:r>
      <w:r>
        <w:t xml:space="preserve"> Written agreement </w:t>
      </w:r>
      <w:r>
        <w:rPr>
          <w:b/>
          <w:bCs/>
        </w:rPr>
        <w:t>before</w:t>
      </w:r>
      <w:r>
        <w:t xml:space="preserve"> receiving covered information; a statement that we act as a school official under FERPA; allocation of breach investigation and remediation costs; </w:t>
      </w:r>
      <w:r>
        <w:rPr>
          <w:b/>
          <w:bCs/>
        </w:rPr>
        <w:t>30-day</w:t>
      </w:r>
      <w:r>
        <w:t xml:space="preserve"> breach notice to the school; public posting of the agreement; and an </w:t>
      </w:r>
      <w:r>
        <w:rPr>
          <w:b/>
          <w:bCs/>
        </w:rPr>
        <w:t>annual published list of third parties and affiliates</w:t>
      </w:r>
      <w:r>
        <w:t xml:space="preserve"> receiving student data — so a third-party model API becomes publicly listed. ISSRA separately carries a </w:t>
      </w:r>
      <w:r>
        <w:rPr>
          <w:b/>
          <w:bCs/>
        </w:rPr>
        <w:t>private right of action</w:t>
      </w:r>
      <w:r>
        <w:t>, which is rare in this field.</w:t>
      </w:r>
    </w:p>
    <w:p w14:paraId="3367CCC6" w14:textId="77777777" w:rsidR="0090768F" w:rsidRDefault="00000000">
      <w:pPr>
        <w:pStyle w:val="Compact"/>
        <w:numPr>
          <w:ilvl w:val="0"/>
          <w:numId w:val="18"/>
        </w:numPr>
      </w:pPr>
      <w:r>
        <w:rPr>
          <w:b/>
          <w:bCs/>
        </w:rPr>
        <w:t>Colorado Student Data Transparency and Security Act.</w:t>
      </w:r>
      <w:r>
        <w:t xml:space="preserve"> Publish data elements, learning purposes and sharing practices in layperson-accessible form; notify districts before material policy changes; no sale, targeted advertising or unauthorised profiles; maintain an information security programme; notify of misuse </w:t>
      </w:r>
      <w:r>
        <w:rPr>
          <w:b/>
          <w:bCs/>
        </w:rPr>
        <w:t>“as soon as possible” regardless of severity</w:t>
      </w:r>
      <w:r>
        <w:t xml:space="preserve">; </w:t>
      </w:r>
      <w:r>
        <w:rPr>
          <w:b/>
          <w:bCs/>
        </w:rPr>
        <w:t>facilitate correction of factually inaccurate student PII</w:t>
      </w:r>
      <w:r>
        <w:t xml:space="preserve">; bind and remain liable for subcontractors; and destroy all student PII on termination with written confirmation. </w:t>
      </w:r>
      <w:r>
        <w:rPr>
          <w:b/>
          <w:bCs/>
        </w:rPr>
        <w:t>The correction duty is directly on point: Colorado independently requires a mechanism to correct a wrong AI-derived data point, before any AI statute applies.</w:t>
      </w:r>
    </w:p>
    <w:p w14:paraId="3027A837" w14:textId="77777777" w:rsidR="0090768F" w:rsidRDefault="00000000">
      <w:pPr>
        <w:pStyle w:val="Compact"/>
        <w:numPr>
          <w:ilvl w:val="0"/>
          <w:numId w:val="18"/>
        </w:numPr>
      </w:pPr>
      <w:r>
        <w:rPr>
          <w:b/>
          <w:bCs/>
        </w:rPr>
        <w:t>California — SOPIPA (Bus. &amp; Prof. Code § 22584) binds the operator directly, with no contract required</w:t>
      </w:r>
      <w:r>
        <w:t xml:space="preserve">, prohibiting targeted advertising, non-school-purpose profiling and sale, and permitting de-identified data to be used </w:t>
      </w:r>
      <w:r>
        <w:rPr>
          <w:b/>
          <w:bCs/>
        </w:rPr>
        <w:t>only</w:t>
      </w:r>
      <w:r>
        <w:t xml:space="preserve"> to improve educational products, demonstrate effectiveness and develop educational services. </w:t>
      </w:r>
      <w:r>
        <w:rPr>
          <w:b/>
          <w:bCs/>
        </w:rPr>
        <w:t>AB 1584 (Educ. Code § 49073.1)</w:t>
      </w:r>
      <w:r>
        <w:t xml:space="preserve"> governs the LEA contract. </w:t>
      </w:r>
      <w:r>
        <w:rPr>
          <w:b/>
          <w:bCs/>
        </w:rPr>
        <w:t xml:space="preserve">The SOPIPA carve-out is the training-data answer in California: product improvement on </w:t>
      </w:r>
      <w:r>
        <w:rPr>
          <w:b/>
          <w:bCs/>
          <w:i/>
          <w:iCs/>
        </w:rPr>
        <w:t>de-identified</w:t>
      </w:r>
      <w:r>
        <w:rPr>
          <w:b/>
          <w:bCs/>
        </w:rPr>
        <w:t xml:space="preserve"> data only, documented — never a general model trained on identifiable student work.</w:t>
      </w:r>
      <w:r>
        <w:t xml:space="preserve"> California also has </w:t>
      </w:r>
      <w:r>
        <w:rPr>
          <w:b/>
          <w:bCs/>
        </w:rPr>
        <w:t>no data-level FERPA exemption</w:t>
      </w:r>
      <w:r>
        <w:t xml:space="preserve"> in its comprehensive law, which makes this analysis matter more there than anywhere else.</w:t>
      </w:r>
    </w:p>
    <w:p w14:paraId="7C6D091D" w14:textId="77777777" w:rsidR="0090768F" w:rsidRDefault="00000000">
      <w:pPr>
        <w:pStyle w:val="Compact"/>
        <w:numPr>
          <w:ilvl w:val="0"/>
          <w:numId w:val="18"/>
        </w:numPr>
      </w:pPr>
      <w:r>
        <w:rPr>
          <w:b/>
          <w:bCs/>
        </w:rPr>
        <w:t>Texas — Educ. Code ch. 32, Subchapter D, §§ 32.151–32.156</w:t>
      </w:r>
      <w:r>
        <w:t xml:space="preserve"> (not Subchapter C). “Covered information” expressly includes grades, test results, educational records, biometric information and photographs — capturing scanned scripts and derived scores squarely. HB 18 (2023) layers TEA standards and parental consent.</w:t>
      </w:r>
    </w:p>
    <w:p w14:paraId="7E039425" w14:textId="77777777" w:rsidR="0090768F" w:rsidRDefault="00000000">
      <w:pPr>
        <w:pStyle w:val="Compact"/>
        <w:numPr>
          <w:ilvl w:val="0"/>
          <w:numId w:val="18"/>
        </w:numPr>
      </w:pPr>
      <w:r>
        <w:rPr>
          <w:b/>
          <w:bCs/>
        </w:rPr>
        <w:t>Ohio — SB 29</w:t>
      </w:r>
      <w:r>
        <w:t xml:space="preserve"> (in force October 2024): records are solely district property; internal access restricted; commercial dissemination prohibited; </w:t>
      </w:r>
      <w:r>
        <w:rPr>
          <w:b/>
          <w:bCs/>
        </w:rPr>
        <w:t>delete, destroy or return within 90 days of termination</w:t>
      </w:r>
      <w:r>
        <w:t xml:space="preserve">; and </w:t>
      </w:r>
      <w:r>
        <w:rPr>
          <w:b/>
          <w:bCs/>
        </w:rPr>
        <w:t>parent breach notice within 72 hours — the tightest clock in the country, which should drive our global incident-response SLA.</w:t>
      </w:r>
      <w:r>
        <w:t xml:space="preserve"> Separately, ORC § 3301.24(B) made Ohio the first state to require every district to adopt a formal AI-use policy, </w:t>
      </w:r>
      <w:r>
        <w:rPr>
          <w:b/>
          <w:bCs/>
        </w:rPr>
        <w:t>by 1 July 2026</w:t>
      </w:r>
      <w:r>
        <w:t>.</w:t>
      </w:r>
    </w:p>
    <w:p w14:paraId="6A573DF5" w14:textId="77777777" w:rsidR="0090768F" w:rsidRDefault="00000000">
      <w:pPr>
        <w:pStyle w:val="Compact"/>
        <w:numPr>
          <w:ilvl w:val="0"/>
          <w:numId w:val="18"/>
        </w:numPr>
      </w:pPr>
      <w:r>
        <w:rPr>
          <w:b/>
          <w:bCs/>
        </w:rPr>
        <w:t>Utah — HB 55 (2026), effective 1 July 2026</w:t>
      </w:r>
      <w:r>
        <w:t xml:space="preserve">, the most vendor-hostile new student-privacy law: LEAs must notify vendors of covered violations and allow remedy; </w:t>
      </w:r>
      <w:r>
        <w:rPr>
          <w:b/>
          <w:bCs/>
        </w:rPr>
        <w:t>if the vendor fails to remediate, the LEA must terminate within 30 days</w:t>
      </w:r>
      <w:r>
        <w:t xml:space="preserve">; and </w:t>
      </w:r>
      <w:r>
        <w:rPr>
          <w:b/>
          <w:bCs/>
        </w:rPr>
        <w:t>contracts may not impose a termination fee, damages or other financial liability on the LEA</w:t>
      </w:r>
      <w:r>
        <w:t xml:space="preserve"> for a statutorily required termination. </w:t>
      </w:r>
      <w:r>
        <w:rPr>
          <w:b/>
          <w:bCs/>
        </w:rPr>
        <w:t>Draft Utah agreements with a no-penalty statutory termination right and check every Utah contract for liquidated damages and minimum terms.</w:t>
      </w:r>
    </w:p>
    <w:p w14:paraId="2FF0DD36" w14:textId="77777777" w:rsidR="0090768F" w:rsidRDefault="00000000">
      <w:pPr>
        <w:pStyle w:val="Compact"/>
        <w:numPr>
          <w:ilvl w:val="0"/>
          <w:numId w:val="18"/>
        </w:numPr>
      </w:pPr>
      <w:r>
        <w:lastRenderedPageBreak/>
        <w:t xml:space="preserve">Also worth naming: </w:t>
      </w:r>
      <w:r>
        <w:rPr>
          <w:b/>
          <w:bCs/>
        </w:rPr>
        <w:t>Georgia</w:t>
      </w:r>
      <w:r>
        <w:t xml:space="preserve"> (45-day deletion on request), </w:t>
      </w:r>
      <w:r>
        <w:rPr>
          <w:b/>
          <w:bCs/>
        </w:rPr>
        <w:t>Washington</w:t>
      </w:r>
      <w:r>
        <w:t xml:space="preserve"> (RCW ch. 28A.604), </w:t>
      </w:r>
      <w:r>
        <w:rPr>
          <w:b/>
          <w:bCs/>
        </w:rPr>
        <w:t>Louisiana</w:t>
      </w:r>
      <w:r>
        <w:t xml:space="preserve"> (R.S. 17:3914, which carries penalties — most of these statutes do not), and </w:t>
      </w:r>
      <w:r>
        <w:rPr>
          <w:b/>
          <w:bCs/>
        </w:rPr>
        <w:t>DC</w:t>
      </w:r>
      <w:r>
        <w:t xml:space="preserve"> (§ 38-831.02, full operator duties).</w:t>
      </w:r>
    </w:p>
    <w:p w14:paraId="46632819" w14:textId="77777777" w:rsidR="0090768F" w:rsidRDefault="00000000">
      <w:pPr>
        <w:pStyle w:val="FirstParagraph"/>
      </w:pPr>
      <w:r>
        <w:rPr>
          <w:b/>
          <w:bCs/>
        </w:rPr>
        <w:t>The higher-education gap is a genuine and counter-intuitive risk.</w:t>
      </w:r>
      <w:r>
        <w:t xml:space="preserve"> Almost every state student-privacy operator statute is limited to K-12 by its “school purpose” definition. Our higher-education business therefore falls </w:t>
      </w:r>
      <w:r>
        <w:rPr>
          <w:b/>
          <w:bCs/>
        </w:rPr>
        <w:t>outside</w:t>
      </w:r>
      <w:r>
        <w:t xml:space="preserve"> that protective-but-predictable regime and </w:t>
      </w:r>
      <w:r>
        <w:rPr>
          <w:b/>
          <w:bCs/>
        </w:rPr>
        <w:t>inside</w:t>
      </w:r>
      <w:r>
        <w:t xml:space="preserve"> the comprehensive consumer privacy laws — where the FERPA data-level exemption may not save a vendor that is not itself the covered institution, and the nonprofit exemption protects the university, not us. </w:t>
      </w:r>
      <w:r>
        <w:rPr>
          <w:b/>
          <w:bCs/>
        </w:rPr>
        <w:t xml:space="preserve">This inverts the usual risk picture: higher education is the </w:t>
      </w:r>
      <w:r>
        <w:rPr>
          <w:b/>
          <w:bCs/>
          <w:i/>
          <w:iCs/>
        </w:rPr>
        <w:t>more</w:t>
      </w:r>
      <w:r>
        <w:rPr>
          <w:b/>
          <w:bCs/>
        </w:rPr>
        <w:t xml:space="preserve"> exposed line under the comprehensive-privacy and profiling regimes. It deserves its own analysis before launch.</w:t>
      </w:r>
    </w:p>
    <w:p w14:paraId="65062BDC" w14:textId="77777777" w:rsidR="0090768F" w:rsidRDefault="00000000">
      <w:pPr>
        <w:pStyle w:val="Heading3"/>
      </w:pPr>
      <w:bookmarkStart w:id="80" w:name="X18ea0dc7defd1b7221eb092647ef717a95c1b12"/>
      <w:bookmarkEnd w:id="79"/>
      <w:r>
        <w:t>11.4 Comprehensive privacy laws — in force on 11 September 2026</w:t>
      </w:r>
    </w:p>
    <w:p w14:paraId="38CD7C87" w14:textId="77777777" w:rsidR="0090768F" w:rsidRDefault="00000000">
      <w:pPr>
        <w:pStyle w:val="FirstParagraph"/>
      </w:pPr>
      <w:r>
        <w:t>Twenty states: California (1 Jan 2020), Virginia (1 Jan 2023), Colorado (1 Jul 2023), Connecticut (1 Jul 2023), Utah (31 Dec 2023), Texas (1 Jul 2024), Oregon (1 Jul 2024), Florida (1 Jul 2024, &gt;$1bn revenue only), Montana (1 Oct 2024), Delaware (1 Jan 2025), Iowa (1 Jan 2025), Nebraska (1 Jan 2025), New Hampshire (1 Jan 2025), New Jersey (15 Jan 2025), Tennessee (1 Jul 2025), Minnesota (31 Jul 2025), Maryland (1 Oct 2025), Indiana (1 Jan 2026), Kentucky (1 Jan 2026), Rhode Island (1 Jan 2026). Enacted but not yet in force: Louisiana and Oklahoma (1 Jan 2027), Alabama (1 May 2027), Vermont (1 Jan 2028).</w:t>
      </w:r>
    </w:p>
    <w:p w14:paraId="3E2F0635" w14:textId="77777777" w:rsidR="0090768F" w:rsidRDefault="00000000">
      <w:pPr>
        <w:pStyle w:val="BodyText"/>
      </w:pPr>
      <w:r>
        <w:rPr>
          <w:b/>
          <w:bCs/>
        </w:rPr>
        <w:t>Seventeen of nineteen analysed carry a FERPA/education-records data-level exemption</w:t>
      </w:r>
      <w:r>
        <w:t xml:space="preserve">, so where we process as a school official the data falls outside. </w:t>
      </w:r>
      <w:r>
        <w:rPr>
          <w:b/>
          <w:bCs/>
        </w:rPr>
        <w:t>The two exceptions are California and New Jersey.</w:t>
      </w:r>
      <w:r>
        <w:t xml:space="preserve"> Three qualifications: the nonprofit exemption protects the school, not us, and seven states have none at all; the FERPA exemption is data-level, so our teacher accounts, administrator contacts, prospects and website visitors are fully in scope everywhere; and higher education and corporate training are where the exemption fails.</w:t>
      </w:r>
    </w:p>
    <w:p w14:paraId="2D0DFDD1" w14:textId="77777777" w:rsidR="0090768F" w:rsidRDefault="00000000">
      <w:pPr>
        <w:pStyle w:val="BodyText"/>
      </w:pPr>
      <w:r>
        <w:t xml:space="preserve">The provisions that would bite if the exemption failed: </w:t>
      </w:r>
      <w:r>
        <w:rPr>
          <w:b/>
          <w:bCs/>
        </w:rPr>
        <w:t>Minnesota’s</w:t>
      </w:r>
      <w:r>
        <w:t xml:space="preserve"> explanation right (question the result, be informed of the reason, review the data, request correction); </w:t>
      </w:r>
      <w:r>
        <w:rPr>
          <w:b/>
          <w:bCs/>
        </w:rPr>
        <w:t>Connecticut’s</w:t>
      </w:r>
      <w:r>
        <w:t xml:space="preserve"> “any automated decision” opt-out from 1 July 2026; </w:t>
      </w:r>
      <w:r>
        <w:rPr>
          <w:b/>
          <w:bCs/>
        </w:rPr>
        <w:t>Vermont’s</w:t>
      </w:r>
      <w:r>
        <w:t xml:space="preserve"> 2028 questioning right and profiling impact assessment; and </w:t>
      </w:r>
      <w:r>
        <w:rPr>
          <w:b/>
          <w:bCs/>
        </w:rPr>
        <w:t>Colorado’s</w:t>
      </w:r>
      <w:r>
        <w:t xml:space="preserve"> profiling opt-out. </w:t>
      </w:r>
      <w:r>
        <w:rPr>
          <w:b/>
          <w:bCs/>
        </w:rPr>
        <w:t>Iowa</w:t>
      </w:r>
      <w:r>
        <w:t xml:space="preserve"> — no profiling opt-out, no assessment duty — is the floor.</w:t>
      </w:r>
    </w:p>
    <w:p w14:paraId="0CCEF73F" w14:textId="77777777" w:rsidR="0090768F" w:rsidRDefault="00000000">
      <w:pPr>
        <w:pStyle w:val="BodyText"/>
      </w:pPr>
      <w:r>
        <w:rPr>
          <w:i/>
          <w:iCs/>
        </w:rPr>
        <w:t>(Two table corrections worth recording: Illinois has no comprehensive consumer privacy law, only BIPA and SOPPA; and the claimed Arkansas comprehensive law is not listed by the IAPP tracker and should be treated as not in force. Arkansas does have a children-and-teens online privacy act with changes effective 1 July 2026.)</w:t>
      </w:r>
    </w:p>
    <w:p w14:paraId="7AEFE7D3" w14:textId="77777777" w:rsidR="0090768F" w:rsidRDefault="00000000">
      <w:pPr>
        <w:pStyle w:val="Heading3"/>
      </w:pPr>
      <w:bookmarkStart w:id="81" w:name="X328342c4c983c956cca68b9b08dfde3fe25f688"/>
      <w:bookmarkEnd w:id="80"/>
      <w:r>
        <w:t>11.5 Biometrics — handwriting is safe, faces are not</w:t>
      </w:r>
    </w:p>
    <w:p w14:paraId="609D95D7" w14:textId="77777777" w:rsidR="0090768F" w:rsidRDefault="00000000">
      <w:pPr>
        <w:pStyle w:val="FirstParagraph"/>
      </w:pPr>
      <w:r>
        <w:rPr>
          <w:b/>
          <w:bCs/>
        </w:rPr>
        <w:t>Illinois BIPA does not reach handwriting.</w:t>
      </w:r>
      <w:r>
        <w:t xml:space="preserve"> The definition of “biometric identifier” is a closed list — </w:t>
      </w:r>
      <w:r>
        <w:rPr>
          <w:i/>
          <w:iCs/>
        </w:rPr>
        <w:t>“a retina or iris scan, fingerprint, voiceprint, or scan of hand or face geometry”</w:t>
      </w:r>
      <w:r>
        <w:t xml:space="preserve"> — and it </w:t>
      </w:r>
      <w:r>
        <w:rPr>
          <w:b/>
          <w:bCs/>
        </w:rPr>
        <w:t>expressly excludes “writing samples, written signatures, photographs”</w:t>
      </w:r>
      <w:r>
        <w:t xml:space="preserve">. A </w:t>
      </w:r>
      <w:r>
        <w:lastRenderedPageBreak/>
        <w:t>scanned handwritten script is doubly excluded. Handwriting-based author identification is also outside BIPA, because excluded inputs cannot generate covered outputs. Washington’s statute likewise excludes photographs and data generated from them; Texas CUBI is AG-enforced only.</w:t>
      </w:r>
    </w:p>
    <w:p w14:paraId="188A539E" w14:textId="77777777" w:rsidR="0090768F" w:rsidRDefault="00000000">
      <w:pPr>
        <w:pStyle w:val="BodyText"/>
      </w:pPr>
      <w:r>
        <w:rPr>
          <w:b/>
          <w:bCs/>
        </w:rPr>
        <w:t>The exposure is face capture.</w:t>
      </w:r>
      <w:r>
        <w:t xml:space="preserve"> If we ever add remote proctoring, selfie identity verification or any face-geometry processing, we land squarely inside BIPA — </w:t>
      </w:r>
      <w:r>
        <w:rPr>
          <w:i/>
          <w:iCs/>
        </w:rPr>
        <w:t>“scan of … face geometry”</w:t>
      </w:r>
      <w:r>
        <w:t xml:space="preserve"> is expressly listed, and </w:t>
      </w:r>
      <w:r>
        <w:rPr>
          <w:b/>
          <w:bCs/>
        </w:rPr>
        <w:t>BIPA carries a private right of action with statutory damages and no injury requirement, the single largest litigation exposure in US privacy law. Impose a hard architectural prohibition on face-geometry processing, enforced in code and in the roadmap, not as a policy statement.</w:t>
      </w:r>
    </w:p>
    <w:p w14:paraId="0DB68734" w14:textId="77777777" w:rsidR="0090768F" w:rsidRDefault="00000000">
      <w:pPr>
        <w:pStyle w:val="Heading3"/>
      </w:pPr>
      <w:bookmarkStart w:id="82" w:name="X294ad546d2bccbff708c789fcd3512af9bea59d"/>
      <w:bookmarkEnd w:id="81"/>
      <w:r>
        <w:t>11.6 State AI-in-education statutes — what actually passed</w:t>
      </w:r>
    </w:p>
    <w:p w14:paraId="2E6D8F36" w14:textId="77777777" w:rsidR="0090768F" w:rsidRDefault="00000000">
      <w:pPr>
        <w:pStyle w:val="FirstParagraph"/>
      </w:pPr>
      <w:r>
        <w:t>134 bills were tracked across 31 states in the 2026 session; roughly ten were enacted.</w:t>
      </w:r>
    </w:p>
    <w:p w14:paraId="3C1BE2BC" w14:textId="77777777" w:rsidR="0090768F" w:rsidRDefault="00000000">
      <w:pPr>
        <w:pStyle w:val="BodyText"/>
      </w:pPr>
      <w:r>
        <w:rPr>
          <w:b/>
          <w:bCs/>
        </w:rPr>
        <w:t>The one directly on grading: Oklahoma SB 1734, the Oklahoma Responsible Technology in Schools Act.</w:t>
      </w:r>
      <w:r>
        <w:t xml:space="preserve"> Signed 12 May 2026; behavioural requirements effective </w:t>
      </w:r>
      <w:r>
        <w:rPr>
          <w:b/>
          <w:bCs/>
        </w:rPr>
        <w:t>1 July 2026</w:t>
      </w:r>
      <w:r>
        <w:t xml:space="preserve">; district AI policy required before the 2027-28 school year. As reported: </w:t>
      </w:r>
      <w:r>
        <w:rPr>
          <w:b/>
          <w:bCs/>
        </w:rPr>
        <w:t>AI may not be the primary basis for grading, discipline, placement, promotion, retention or other high-stakes educational decisions</w:t>
      </w:r>
      <w:r>
        <w:t xml:space="preserve">; </w:t>
      </w:r>
      <w:r>
        <w:rPr>
          <w:b/>
          <w:bCs/>
        </w:rPr>
        <w:t>AI output must be reviewed by an educator before it is used for instruction, feedback, assessment or a decision affecting a student</w:t>
      </w:r>
      <w:r>
        <w:t xml:space="preserve">; AI may be used instructionally only through educator-directed use with real-time oversight; an </w:t>
      </w:r>
      <w:r>
        <w:rPr>
          <w:b/>
          <w:bCs/>
        </w:rPr>
        <w:t>annual family disclosure</w:t>
      </w:r>
      <w:r>
        <w:t xml:space="preserve"> must identify every AI vendor operating in the school and what student data each collects; and parents may </w:t>
      </w:r>
      <w:r>
        <w:rPr>
          <w:b/>
          <w:bCs/>
        </w:rPr>
        <w:t>opt out</w:t>
      </w:r>
      <w:r>
        <w:t xml:space="preserve"> of student-facing AI tools without penalty, with alternative core instruction. Non-compliant districts risk programme eligibility and accreditation scrutiny. </w:t>
      </w:r>
      <w:r>
        <w:rPr>
          <w:i/>
          <w:iCs/>
        </w:rPr>
        <w:t>(The enrolled text could not be retrieved; the provisions are consistently reported across four independent secondary sources but the exact statutory wording is unverified. Pull the enrolled PDF before quoting it in a contract or memo.)</w:t>
      </w:r>
    </w:p>
    <w:p w14:paraId="14D61127" w14:textId="77777777" w:rsidR="0090768F" w:rsidRDefault="00000000">
      <w:pPr>
        <w:pStyle w:val="BodyText"/>
      </w:pPr>
      <w:r>
        <w:t xml:space="preserve">Other 2026 enactments, none reaching grading as directly: </w:t>
      </w:r>
      <w:r>
        <w:rPr>
          <w:b/>
          <w:bCs/>
        </w:rPr>
        <w:t>Idaho SB 1227</w:t>
      </w:r>
      <w:r>
        <w:t xml:space="preserve"> (AI may not replace human teachers); </w:t>
      </w:r>
      <w:r>
        <w:rPr>
          <w:b/>
          <w:bCs/>
        </w:rPr>
        <w:t>Maryland SB 720</w:t>
      </w:r>
      <w:r>
        <w:t xml:space="preserve"> (district AI policy within 120 days of state guidance, plus an AI coordinator); </w:t>
      </w:r>
      <w:r>
        <w:rPr>
          <w:b/>
          <w:bCs/>
        </w:rPr>
        <w:t>Virginia HB 1186</w:t>
      </w:r>
      <w:r>
        <w:t xml:space="preserve">, effective 1 July 2026 (board policies aligned to state guidance, which must address FERPA, COPPA, bias and </w:t>
      </w:r>
      <w:r>
        <w:rPr>
          <w:b/>
          <w:bCs/>
        </w:rPr>
        <w:t>high-stakes decisions</w:t>
      </w:r>
      <w:r>
        <w:t xml:space="preserve">); </w:t>
      </w:r>
      <w:r>
        <w:rPr>
          <w:b/>
          <w:bCs/>
        </w:rPr>
        <w:t>Utah HB 273</w:t>
      </w:r>
      <w:r>
        <w:t xml:space="preserve"> (LEA model policies on classroom technology and AI) and HB 218 (AI literacy); </w:t>
      </w:r>
      <w:r>
        <w:rPr>
          <w:b/>
          <w:bCs/>
        </w:rPr>
        <w:t>North Carolina</w:t>
      </w:r>
      <w:r>
        <w:t xml:space="preserve"> (state model policy due 31 December 2026, district policies 30 June 2027); </w:t>
      </w:r>
      <w:r>
        <w:rPr>
          <w:b/>
          <w:bCs/>
        </w:rPr>
        <w:t>Tennessee</w:t>
      </w:r>
      <w:r>
        <w:t xml:space="preserve"> (district AI policies and annual reporting). </w:t>
      </w:r>
      <w:r>
        <w:rPr>
          <w:i/>
          <w:iCs/>
        </w:rPr>
        <w:t>(Alabama HB 329, Hawaii SB 2212 and West Virginia HB 5205 are listed as enacted but their scope could not be verified.)</w:t>
      </w:r>
    </w:p>
    <w:p w14:paraId="735CCA40" w14:textId="77777777" w:rsidR="0090768F" w:rsidRDefault="00000000">
      <w:pPr>
        <w:pStyle w:val="BodyText"/>
      </w:pPr>
      <w:r>
        <w:rPr>
          <w:b/>
          <w:bCs/>
        </w:rPr>
        <w:t>Two failed bills to track, because they will return.</w:t>
      </w:r>
      <w:r>
        <w:t xml:space="preserve"> </w:t>
      </w:r>
      <w:r>
        <w:rPr>
          <w:b/>
          <w:bCs/>
        </w:rPr>
        <w:t>Illinois SB 3735</w:t>
      </w:r>
      <w:r>
        <w:t xml:space="preserve"> died in committee on 22 May 2026; it would have created a </w:t>
      </w:r>
      <w:r>
        <w:rPr>
          <w:b/>
          <w:bCs/>
        </w:rPr>
        <w:t>student right to opt out of AI-generated grades</w:t>
      </w:r>
      <w:r>
        <w:t xml:space="preserve">, banned district purchase of student biometric systems, and </w:t>
      </w:r>
      <w:r>
        <w:rPr>
          <w:b/>
          <w:bCs/>
        </w:rPr>
        <w:t>restricted vendors from training AI models on educational data</w:t>
      </w:r>
      <w:r>
        <w:t xml:space="preserve">. </w:t>
      </w:r>
      <w:r>
        <w:rPr>
          <w:b/>
          <w:bCs/>
        </w:rPr>
        <w:t>This is the single most dangerous bill for our business model.</w:t>
      </w:r>
      <w:r>
        <w:t xml:space="preserve"> </w:t>
      </w:r>
      <w:r>
        <w:rPr>
          <w:b/>
          <w:bCs/>
        </w:rPr>
        <w:t>South Carolina H.5253</w:t>
      </w:r>
      <w:r>
        <w:t xml:space="preserve"> is in committee, </w:t>
      </w:r>
      <w:r>
        <w:rPr>
          <w:b/>
          <w:bCs/>
        </w:rPr>
        <w:t>not enacted</w:t>
      </w:r>
      <w:r>
        <w:t xml:space="preserve"> despite one tracker listing it as passed </w:t>
      </w:r>
      <w:r>
        <w:rPr>
          <w:i/>
          <w:iCs/>
        </w:rPr>
        <w:t>(the legislature’s own page shows it introduced 24 February 2026 and unsigned — primary source wins)</w:t>
      </w:r>
      <w:r>
        <w:t xml:space="preserve">; its text is a good predictor of the drafting trend: </w:t>
      </w:r>
      <w:r>
        <w:rPr>
          <w:i/>
          <w:iCs/>
        </w:rPr>
        <w:lastRenderedPageBreak/>
        <w:t>“Artificial intelligence shall not replace a licensed teacher in providing core academic instruction or assigning final grades.”</w:t>
      </w:r>
      <w:r>
        <w:t xml:space="preserve"> Also pending: </w:t>
      </w:r>
      <w:r>
        <w:rPr>
          <w:b/>
          <w:bCs/>
        </w:rPr>
        <w:t>California AB 1159</w:t>
      </w:r>
      <w:r>
        <w:t xml:space="preserve"> (would prohibit using student data for AI training) and </w:t>
      </w:r>
      <w:r>
        <w:rPr>
          <w:b/>
          <w:bCs/>
        </w:rPr>
        <w:t>Vermont HB 650</w:t>
      </w:r>
      <w:r>
        <w:t xml:space="preserve"> (EdTech provider registration and privacy certification — registration regimes are expensive). And a </w:t>
      </w:r>
      <w:r>
        <w:rPr>
          <w:b/>
          <w:bCs/>
        </w:rPr>
        <w:t>Florida State Board of Education rule</w:t>
      </w:r>
      <w:r>
        <w:t xml:space="preserve"> was scheduled for a vote on </w:t>
      </w:r>
      <w:r>
        <w:rPr>
          <w:b/>
          <w:bCs/>
        </w:rPr>
        <w:t>16 September 2026</w:t>
      </w:r>
      <w:r>
        <w:t xml:space="preserve">, five days after the date of this paper: for K-12 it would require parental notice when AI instructional tools are approved and a parental opt-out; for the state colleges, institutional AI policies covering academic integrity, assignments and </w:t>
      </w:r>
      <w:r>
        <w:rPr>
          <w:b/>
          <w:bCs/>
        </w:rPr>
        <w:t>grading</w:t>
      </w:r>
      <w:r>
        <w:t xml:space="preserve">. </w:t>
      </w:r>
      <w:r>
        <w:rPr>
          <w:b/>
          <w:bCs/>
        </w:rPr>
        <w:t>Check that outcome.</w:t>
      </w:r>
    </w:p>
    <w:p w14:paraId="49C7E539" w14:textId="77777777" w:rsidR="0090768F" w:rsidRDefault="00000000">
      <w:pPr>
        <w:pStyle w:val="Heading3"/>
      </w:pPr>
      <w:bookmarkStart w:id="83" w:name="Xa79ac5c172cf58c306a31321aeb4549aeb4d05a"/>
      <w:bookmarkEnd w:id="82"/>
      <w:r>
        <w:t>11.7 State education-agency guidance — the commercial gatekeeper</w:t>
      </w:r>
    </w:p>
    <w:p w14:paraId="14B18BCF" w14:textId="77777777" w:rsidR="0090768F" w:rsidRDefault="00000000">
      <w:pPr>
        <w:pStyle w:val="FirstParagraph"/>
      </w:pPr>
      <w:r>
        <w:t xml:space="preserve">Approximately </w:t>
      </w:r>
      <w:r>
        <w:rPr>
          <w:b/>
          <w:bCs/>
        </w:rPr>
        <w:t>35 states plus DC and Puerto Rico</w:t>
      </w:r>
      <w:r>
        <w:t xml:space="preserve"> have issued AI guidance </w:t>
      </w:r>
      <w:r>
        <w:rPr>
          <w:i/>
          <w:iCs/>
        </w:rPr>
        <w:t>(counts differ across trackers — 35, 34, 27, 26+ — because “guidance” is defined differently; use “approximately 35” and cite the tracker rather than a hard number)</w:t>
      </w:r>
      <w:r>
        <w:t>. It is not law. It is procurement gospel, and it converges on one rule.</w:t>
      </w:r>
    </w:p>
    <w:p w14:paraId="7A4D3E57" w14:textId="77777777" w:rsidR="0090768F" w:rsidRDefault="00000000">
      <w:pPr>
        <w:pStyle w:val="BodyText"/>
      </w:pPr>
      <w:r>
        <w:rPr>
          <w:b/>
          <w:bCs/>
        </w:rPr>
        <w:t>Georgia is the most explicit, and its line runs exactly through our product.</w:t>
      </w:r>
      <w:r>
        <w:t xml:space="preserve"> </w:t>
      </w:r>
      <w:r>
        <w:rPr>
          <w:i/>
          <w:iCs/>
        </w:rPr>
        <w:t>Leveraging AI in the K-12 Setting</w:t>
      </w:r>
      <w:r>
        <w:t xml:space="preserve"> (January 2025) lists as </w:t>
      </w:r>
      <w:r>
        <w:rPr>
          <w:b/>
          <w:bCs/>
        </w:rPr>
        <w:t>not recommended</w:t>
      </w:r>
      <w:r>
        <w:t xml:space="preserve">: </w:t>
      </w:r>
      <w:r>
        <w:rPr>
          <w:i/>
          <w:iCs/>
        </w:rPr>
        <w:t xml:space="preserve">“Grade student assignments or projects that are </w:t>
      </w:r>
      <w:r>
        <w:rPr>
          <w:b/>
          <w:bCs/>
          <w:i/>
          <w:iCs/>
        </w:rPr>
        <w:t>subjective</w:t>
      </w:r>
      <w:r>
        <w:rPr>
          <w:i/>
          <w:iCs/>
        </w:rPr>
        <w:t>”</w:t>
      </w:r>
      <w:r>
        <w:t xml:space="preserve"> and </w:t>
      </w:r>
      <w:r>
        <w:rPr>
          <w:i/>
          <w:iCs/>
        </w:rPr>
        <w:t>“Evaluate educators”</w:t>
      </w:r>
      <w:r>
        <w:t xml:space="preserve">; and as </w:t>
      </w:r>
      <w:r>
        <w:rPr>
          <w:b/>
          <w:bCs/>
        </w:rPr>
        <w:t>acceptable</w:t>
      </w:r>
      <w:r>
        <w:t xml:space="preserve">: </w:t>
      </w:r>
      <w:r>
        <w:rPr>
          <w:i/>
          <w:iCs/>
        </w:rPr>
        <w:t>“Grade multiple choice exams”</w:t>
      </w:r>
      <w:r>
        <w:t xml:space="preserve">, </w:t>
      </w:r>
      <w:r>
        <w:rPr>
          <w:i/>
          <w:iCs/>
        </w:rPr>
        <w:t>“Assist in the development of a rubric for an assignment”</w:t>
      </w:r>
      <w:r>
        <w:t xml:space="preserve">, </w:t>
      </w:r>
      <w:r>
        <w:rPr>
          <w:i/>
          <w:iCs/>
        </w:rPr>
        <w:t>“Provide feedback on a non-graded assignment/project”</w:t>
      </w:r>
      <w:r>
        <w:t xml:space="preserve"> — with the governing principle that </w:t>
      </w:r>
      <w:r>
        <w:rPr>
          <w:i/>
          <w:iCs/>
        </w:rPr>
        <w:t>“Final decision-making should always involve human judgment.”</w:t>
      </w:r>
    </w:p>
    <w:p w14:paraId="005D8E04" w14:textId="77777777" w:rsidR="0090768F" w:rsidRDefault="00000000">
      <w:pPr>
        <w:pStyle w:val="BodyText"/>
      </w:pPr>
      <w:r>
        <w:t xml:space="preserve">Handwritten free-response exams are subjective grading. </w:t>
      </w:r>
      <w:r>
        <w:rPr>
          <w:b/>
          <w:bCs/>
        </w:rPr>
        <w:t>Read literally, Georgia’s guidance does not recommend our core use case. This is the single most important commercial finding in the US section.</w:t>
      </w:r>
      <w:r>
        <w:t xml:space="preserve"> The counter-position must be that we </w:t>
      </w:r>
      <w:r>
        <w:rPr>
          <w:i/>
          <w:iCs/>
        </w:rPr>
        <w:t>propose</w:t>
      </w:r>
      <w:r>
        <w:t xml:space="preserve"> and the teacher </w:t>
      </w:r>
      <w:r>
        <w:rPr>
          <w:i/>
          <w:iCs/>
        </w:rPr>
        <w:t>decides</w:t>
      </w:r>
      <w:r>
        <w:t xml:space="preserve"> — a rubric-application and feedback assistant with a human grader, not an AI grader — and the product must be able to demonstrate that in a five-minute demonstration.</w:t>
      </w:r>
    </w:p>
    <w:p w14:paraId="201DCD0D" w14:textId="77777777" w:rsidR="0090768F" w:rsidRDefault="00000000">
      <w:pPr>
        <w:pStyle w:val="BodyText"/>
      </w:pPr>
      <w:r>
        <w:t xml:space="preserve">Other representative positions: </w:t>
      </w:r>
      <w:r>
        <w:rPr>
          <w:b/>
          <w:bCs/>
        </w:rPr>
        <w:t>DC (OSSE, 2 September 2026)</w:t>
      </w:r>
      <w:r>
        <w:t xml:space="preserve"> places AI-assisted grading in a “use with caution” band requiring substantial human oversight, and </w:t>
      </w:r>
      <w:r>
        <w:rPr>
          <w:b/>
          <w:bCs/>
        </w:rPr>
        <w:t>prohibits AI outright for IEP determinations and discipline</w:t>
      </w:r>
      <w:r>
        <w:t xml:space="preserve"> </w:t>
      </w:r>
      <w:r>
        <w:rPr>
          <w:i/>
          <w:iCs/>
        </w:rPr>
        <w:t>(reported via news coverage; pull the OSSE document before quoting)</w:t>
      </w:r>
      <w:r>
        <w:t xml:space="preserve">; </w:t>
      </w:r>
      <w:r>
        <w:rPr>
          <w:b/>
          <w:bCs/>
        </w:rPr>
        <w:t>Alabama</w:t>
      </w:r>
      <w:r>
        <w:t xml:space="preserve"> mandates </w:t>
      </w:r>
      <w:r>
        <w:rPr>
          <w:i/>
          <w:iCs/>
        </w:rPr>
        <w:t>“human verification of AI-generated content and grading”</w:t>
      </w:r>
      <w:r>
        <w:t xml:space="preserve">; </w:t>
      </w:r>
      <w:r>
        <w:rPr>
          <w:b/>
          <w:bCs/>
        </w:rPr>
        <w:t>Vermont</w:t>
      </w:r>
      <w:r>
        <w:t xml:space="preserve"> requires educators to review all outputs; </w:t>
      </w:r>
      <w:r>
        <w:rPr>
          <w:b/>
          <w:bCs/>
        </w:rPr>
        <w:t>North Carolina</w:t>
      </w:r>
      <w:r>
        <w:t xml:space="preserve"> and </w:t>
      </w:r>
      <w:r>
        <w:rPr>
          <w:b/>
          <w:bCs/>
        </w:rPr>
        <w:t>Maine</w:t>
      </w:r>
      <w:r>
        <w:t xml:space="preserve"> require that AI enhance rather than replace professional judgment; </w:t>
      </w:r>
      <w:r>
        <w:rPr>
          <w:b/>
          <w:bCs/>
        </w:rPr>
        <w:t>Massachusetts</w:t>
      </w:r>
      <w:r>
        <w:t xml:space="preserve"> is transparency-focused and notably </w:t>
      </w:r>
      <w:r>
        <w:rPr>
          <w:b/>
          <w:bCs/>
        </w:rPr>
        <w:t>rejects AI detection tools</w:t>
      </w:r>
      <w:r>
        <w:t xml:space="preserve">, which matters if we ever bundle originality detection; </w:t>
      </w:r>
      <w:r>
        <w:rPr>
          <w:b/>
          <w:bCs/>
        </w:rPr>
        <w:t>Washington</w:t>
      </w:r>
      <w:r>
        <w:t xml:space="preserve"> frames a “Human–AI–Human” model.</w:t>
      </w:r>
    </w:p>
    <w:p w14:paraId="32503BE6" w14:textId="77777777" w:rsidR="0090768F" w:rsidRDefault="00000000">
      <w:pPr>
        <w:pStyle w:val="BodyText"/>
      </w:pPr>
      <w:r>
        <w:rPr>
          <w:b/>
          <w:bCs/>
        </w:rPr>
        <w:t>The consistent finding across every tracker reviewed: no state permits AI as the sole determinant of a grade.</w:t>
      </w:r>
      <w:r>
        <w:t xml:space="preserve"> That is now statutory in Oklahoma and, on the current pattern, will be in three or four more states within two legislative sessions.</w:t>
      </w:r>
    </w:p>
    <w:p w14:paraId="4B16B60E" w14:textId="77777777" w:rsidR="0090768F" w:rsidRDefault="00000000">
      <w:pPr>
        <w:pStyle w:val="Heading3"/>
      </w:pPr>
      <w:bookmarkStart w:id="84" w:name="the-50-state-matrix"/>
      <w:bookmarkEnd w:id="83"/>
      <w:r>
        <w:t>11.8 The 50-state matrix</w:t>
      </w:r>
    </w:p>
    <w:p w14:paraId="41530636" w14:textId="77777777" w:rsidR="0090768F" w:rsidRDefault="00000000">
      <w:pPr>
        <w:pStyle w:val="FirstParagraph"/>
      </w:pPr>
      <w:r>
        <w:t xml:space="preserve">Reading notes. Column 1 is compiled principally from the FPF/Student Privacy Compass state-laws chart and a vendor-published aggregator, cross-checked against primary statute </w:t>
      </w:r>
      <w:r>
        <w:lastRenderedPageBreak/>
        <w:t xml:space="preserve">text only for the states discussed in §11.3; entries marked </w:t>
      </w:r>
      <w:r>
        <w:rPr>
          <w:b/>
          <w:bCs/>
        </w:rPr>
        <w:t>(agg.)</w:t>
      </w:r>
      <w:r>
        <w:t xml:space="preserve"> are </w:t>
      </w:r>
      <w:r>
        <w:rPr>
          <w:b/>
          <w:bCs/>
        </w:rPr>
        <w:t>not independently verified against the statute and must not be put in a client-facing document without pulling the section</w:t>
      </w:r>
      <w:r>
        <w:t>. Column 2 means in force on 11 September 2026. Column 4 follows the AI for Education state tracker; the count differs across trackers because “guidance” is defined differently, so treat it as approximate.</w:t>
      </w:r>
    </w:p>
    <w:tbl>
      <w:tblPr>
        <w:tblStyle w:val="Table"/>
        <w:tblW w:w="5000" w:type="pct"/>
        <w:tblLook w:val="0020" w:firstRow="1" w:lastRow="0" w:firstColumn="0" w:lastColumn="0" w:noHBand="0" w:noVBand="0"/>
      </w:tblPr>
      <w:tblGrid>
        <w:gridCol w:w="1719"/>
        <w:gridCol w:w="1999"/>
        <w:gridCol w:w="2065"/>
        <w:gridCol w:w="1987"/>
        <w:gridCol w:w="1590"/>
      </w:tblGrid>
      <w:tr w:rsidR="0090768F" w14:paraId="7139E960"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29221844" w14:textId="77777777" w:rsidR="0090768F" w:rsidRDefault="00000000">
            <w:pPr>
              <w:pStyle w:val="Compact"/>
            </w:pPr>
            <w:r>
              <w:t>State</w:t>
            </w:r>
          </w:p>
        </w:tc>
        <w:tc>
          <w:tcPr>
            <w:tcW w:w="0" w:type="auto"/>
          </w:tcPr>
          <w:p w14:paraId="1C09A998" w14:textId="77777777" w:rsidR="0090768F" w:rsidRDefault="00000000">
            <w:pPr>
              <w:pStyle w:val="Compact"/>
            </w:pPr>
            <w:r>
              <w:t>Student-privacy vendor statute</w:t>
            </w:r>
          </w:p>
        </w:tc>
        <w:tc>
          <w:tcPr>
            <w:tcW w:w="0" w:type="auto"/>
          </w:tcPr>
          <w:p w14:paraId="39BBEB3C" w14:textId="77777777" w:rsidR="0090768F" w:rsidRDefault="00000000">
            <w:pPr>
              <w:pStyle w:val="Compact"/>
            </w:pPr>
            <w:r>
              <w:t>Comprehensive privacy law in force</w:t>
            </w:r>
          </w:p>
        </w:tc>
        <w:tc>
          <w:tcPr>
            <w:tcW w:w="0" w:type="auto"/>
          </w:tcPr>
          <w:p w14:paraId="793C2D6B" w14:textId="77777777" w:rsidR="0090768F" w:rsidRDefault="00000000">
            <w:pPr>
              <w:pStyle w:val="Compact"/>
            </w:pPr>
            <w:r>
              <w:t>AI statute relevant to us</w:t>
            </w:r>
          </w:p>
        </w:tc>
        <w:tc>
          <w:tcPr>
            <w:tcW w:w="0" w:type="auto"/>
          </w:tcPr>
          <w:p w14:paraId="14A74CCC" w14:textId="77777777" w:rsidR="0090768F" w:rsidRDefault="00000000">
            <w:pPr>
              <w:pStyle w:val="Compact"/>
            </w:pPr>
            <w:r>
              <w:t>State education-agency AI guidance</w:t>
            </w:r>
          </w:p>
        </w:tc>
      </w:tr>
      <w:tr w:rsidR="0090768F" w14:paraId="0C1AEAE3" w14:textId="77777777">
        <w:tc>
          <w:tcPr>
            <w:tcW w:w="0" w:type="auto"/>
          </w:tcPr>
          <w:p w14:paraId="55BAFBB7" w14:textId="77777777" w:rsidR="0090768F" w:rsidRDefault="00000000">
            <w:pPr>
              <w:pStyle w:val="Compact"/>
            </w:pPr>
            <w:r>
              <w:t>Alabama</w:t>
            </w:r>
          </w:p>
        </w:tc>
        <w:tc>
          <w:tcPr>
            <w:tcW w:w="0" w:type="auto"/>
          </w:tcPr>
          <w:p w14:paraId="01576E6E" w14:textId="77777777" w:rsidR="0090768F" w:rsidRDefault="00000000">
            <w:pPr>
              <w:pStyle w:val="Compact"/>
            </w:pPr>
            <w:r>
              <w:t>none specific — COPPA/FERPA only (agg.)</w:t>
            </w:r>
          </w:p>
        </w:tc>
        <w:tc>
          <w:tcPr>
            <w:tcW w:w="0" w:type="auto"/>
          </w:tcPr>
          <w:p w14:paraId="1234285D" w14:textId="77777777" w:rsidR="0090768F" w:rsidRDefault="00000000">
            <w:pPr>
              <w:pStyle w:val="Compact"/>
            </w:pPr>
            <w:r>
              <w:t>no (enacted; eff. 1 May 2027)</w:t>
            </w:r>
          </w:p>
        </w:tc>
        <w:tc>
          <w:tcPr>
            <w:tcW w:w="0" w:type="auto"/>
          </w:tcPr>
          <w:p w14:paraId="75FD2650" w14:textId="77777777" w:rsidR="0090768F" w:rsidRDefault="00000000">
            <w:pPr>
              <w:pStyle w:val="Compact"/>
            </w:pPr>
            <w:r>
              <w:t>HB 329 (2026, enacted; scope unverified)</w:t>
            </w:r>
          </w:p>
        </w:tc>
        <w:tc>
          <w:tcPr>
            <w:tcW w:w="0" w:type="auto"/>
          </w:tcPr>
          <w:p w14:paraId="0BB3CF0D" w14:textId="77777777" w:rsidR="0090768F" w:rsidRDefault="00000000">
            <w:pPr>
              <w:pStyle w:val="Compact"/>
            </w:pPr>
            <w:r>
              <w:t>Y — requires “human verification of AI-generated content and grading”</w:t>
            </w:r>
          </w:p>
        </w:tc>
      </w:tr>
      <w:tr w:rsidR="0090768F" w14:paraId="20D822F5" w14:textId="77777777">
        <w:tc>
          <w:tcPr>
            <w:tcW w:w="0" w:type="auto"/>
          </w:tcPr>
          <w:p w14:paraId="7FB1ACAD" w14:textId="77777777" w:rsidR="0090768F" w:rsidRDefault="00000000">
            <w:pPr>
              <w:pStyle w:val="Compact"/>
            </w:pPr>
            <w:r>
              <w:t>Alaska</w:t>
            </w:r>
          </w:p>
        </w:tc>
        <w:tc>
          <w:tcPr>
            <w:tcW w:w="0" w:type="auto"/>
          </w:tcPr>
          <w:p w14:paraId="5E3A5B1D" w14:textId="77777777" w:rsidR="0090768F" w:rsidRDefault="00000000">
            <w:pPr>
              <w:pStyle w:val="Compact"/>
            </w:pPr>
            <w:r>
              <w:t>none specific — breach law only (agg.)</w:t>
            </w:r>
          </w:p>
        </w:tc>
        <w:tc>
          <w:tcPr>
            <w:tcW w:w="0" w:type="auto"/>
          </w:tcPr>
          <w:p w14:paraId="7FC64185" w14:textId="77777777" w:rsidR="0090768F" w:rsidRDefault="00000000">
            <w:pPr>
              <w:pStyle w:val="Compact"/>
            </w:pPr>
            <w:r>
              <w:t>no</w:t>
            </w:r>
          </w:p>
        </w:tc>
        <w:tc>
          <w:tcPr>
            <w:tcW w:w="0" w:type="auto"/>
          </w:tcPr>
          <w:p w14:paraId="73CC9149" w14:textId="77777777" w:rsidR="0090768F" w:rsidRDefault="00000000">
            <w:pPr>
              <w:pStyle w:val="Compact"/>
            </w:pPr>
            <w:r>
              <w:t>none</w:t>
            </w:r>
          </w:p>
        </w:tc>
        <w:tc>
          <w:tcPr>
            <w:tcW w:w="0" w:type="auto"/>
          </w:tcPr>
          <w:p w14:paraId="09EE9509" w14:textId="77777777" w:rsidR="0090768F" w:rsidRDefault="00000000">
            <w:pPr>
              <w:pStyle w:val="Compact"/>
            </w:pPr>
            <w:r>
              <w:t>Y (general)</w:t>
            </w:r>
          </w:p>
        </w:tc>
      </w:tr>
      <w:tr w:rsidR="0090768F" w14:paraId="42A999A8" w14:textId="77777777">
        <w:tc>
          <w:tcPr>
            <w:tcW w:w="0" w:type="auto"/>
          </w:tcPr>
          <w:p w14:paraId="1EC1DCAF" w14:textId="77777777" w:rsidR="0090768F" w:rsidRDefault="00000000">
            <w:pPr>
              <w:pStyle w:val="Compact"/>
            </w:pPr>
            <w:r>
              <w:t>Arizona</w:t>
            </w:r>
          </w:p>
        </w:tc>
        <w:tc>
          <w:tcPr>
            <w:tcW w:w="0" w:type="auto"/>
          </w:tcPr>
          <w:p w14:paraId="0E3BEA96" w14:textId="77777777" w:rsidR="0090768F" w:rsidRDefault="00000000">
            <w:pPr>
              <w:pStyle w:val="Compact"/>
            </w:pPr>
            <w:r>
              <w:t>A.R.S. § 15-1046 (operator: no targeted ads, no sale, no profiling)</w:t>
            </w:r>
          </w:p>
        </w:tc>
        <w:tc>
          <w:tcPr>
            <w:tcW w:w="0" w:type="auto"/>
          </w:tcPr>
          <w:p w14:paraId="2BA33B22" w14:textId="77777777" w:rsidR="0090768F" w:rsidRDefault="00000000">
            <w:pPr>
              <w:pStyle w:val="Compact"/>
            </w:pPr>
            <w:r>
              <w:t>no</w:t>
            </w:r>
          </w:p>
        </w:tc>
        <w:tc>
          <w:tcPr>
            <w:tcW w:w="0" w:type="auto"/>
          </w:tcPr>
          <w:p w14:paraId="30205B7F" w14:textId="77777777" w:rsidR="0090768F" w:rsidRDefault="00000000">
            <w:pPr>
              <w:pStyle w:val="Compact"/>
            </w:pPr>
            <w:r>
              <w:t>none</w:t>
            </w:r>
          </w:p>
        </w:tc>
        <w:tc>
          <w:tcPr>
            <w:tcW w:w="0" w:type="auto"/>
          </w:tcPr>
          <w:p w14:paraId="6462F04D" w14:textId="77777777" w:rsidR="0090768F" w:rsidRDefault="00000000">
            <w:pPr>
              <w:pStyle w:val="Compact"/>
            </w:pPr>
            <w:r>
              <w:t>Y (general)</w:t>
            </w:r>
          </w:p>
        </w:tc>
      </w:tr>
      <w:tr w:rsidR="0090768F" w14:paraId="052A53D0" w14:textId="77777777">
        <w:tc>
          <w:tcPr>
            <w:tcW w:w="0" w:type="auto"/>
          </w:tcPr>
          <w:p w14:paraId="7F789A25" w14:textId="77777777" w:rsidR="0090768F" w:rsidRDefault="00000000">
            <w:pPr>
              <w:pStyle w:val="Compact"/>
            </w:pPr>
            <w:r>
              <w:t>Arkansas</w:t>
            </w:r>
          </w:p>
        </w:tc>
        <w:tc>
          <w:tcPr>
            <w:tcW w:w="0" w:type="auto"/>
          </w:tcPr>
          <w:p w14:paraId="50BE6EA8" w14:textId="77777777" w:rsidR="0090768F" w:rsidRDefault="00000000">
            <w:pPr>
              <w:pStyle w:val="Compact"/>
            </w:pPr>
            <w:r>
              <w:t>Act 1196 (2015); Student Data Vendor Security Act, Ark. Code §§ 6-18-2601–2608</w:t>
            </w:r>
          </w:p>
        </w:tc>
        <w:tc>
          <w:tcPr>
            <w:tcW w:w="0" w:type="auto"/>
          </w:tcPr>
          <w:p w14:paraId="34A80E8E" w14:textId="77777777" w:rsidR="0090768F" w:rsidRDefault="00000000">
            <w:pPr>
              <w:pStyle w:val="Compact"/>
            </w:pPr>
            <w:r>
              <w:rPr>
                <w:b/>
                <w:bCs/>
              </w:rPr>
              <w:t>no — claimed comprehensive law unverified; treat as not in force</w:t>
            </w:r>
          </w:p>
        </w:tc>
        <w:tc>
          <w:tcPr>
            <w:tcW w:w="0" w:type="auto"/>
          </w:tcPr>
          <w:p w14:paraId="2E432A2A" w14:textId="77777777" w:rsidR="0090768F" w:rsidRDefault="00000000">
            <w:pPr>
              <w:pStyle w:val="Compact"/>
            </w:pPr>
            <w:r>
              <w:t>none</w:t>
            </w:r>
          </w:p>
        </w:tc>
        <w:tc>
          <w:tcPr>
            <w:tcW w:w="0" w:type="auto"/>
          </w:tcPr>
          <w:p w14:paraId="61B55929" w14:textId="77777777" w:rsidR="0090768F" w:rsidRDefault="00000000">
            <w:pPr>
              <w:pStyle w:val="Compact"/>
            </w:pPr>
            <w:r>
              <w:t>N</w:t>
            </w:r>
          </w:p>
        </w:tc>
      </w:tr>
      <w:tr w:rsidR="0090768F" w14:paraId="5CBEB5C2" w14:textId="77777777">
        <w:tc>
          <w:tcPr>
            <w:tcW w:w="0" w:type="auto"/>
          </w:tcPr>
          <w:p w14:paraId="43DE04D7" w14:textId="77777777" w:rsidR="0090768F" w:rsidRDefault="00000000">
            <w:pPr>
              <w:pStyle w:val="Compact"/>
            </w:pPr>
            <w:r>
              <w:t>California</w:t>
            </w:r>
          </w:p>
        </w:tc>
        <w:tc>
          <w:tcPr>
            <w:tcW w:w="0" w:type="auto"/>
          </w:tcPr>
          <w:p w14:paraId="376C8160" w14:textId="77777777" w:rsidR="0090768F" w:rsidRDefault="00000000">
            <w:pPr>
              <w:pStyle w:val="Compact"/>
            </w:pPr>
            <w:r>
              <w:rPr>
                <w:b/>
                <w:bCs/>
              </w:rPr>
              <w:t>SOPIPA, Bus. &amp; Prof. Code § 22584; AB 1584, Educ. Code § 49073.1</w:t>
            </w:r>
          </w:p>
        </w:tc>
        <w:tc>
          <w:tcPr>
            <w:tcW w:w="0" w:type="auto"/>
          </w:tcPr>
          <w:p w14:paraId="58AC0E79" w14:textId="77777777" w:rsidR="0090768F" w:rsidRDefault="00000000">
            <w:pPr>
              <w:pStyle w:val="Compact"/>
            </w:pPr>
            <w:r>
              <w:rPr>
                <w:b/>
                <w:bCs/>
              </w:rPr>
              <w:t>yes — CCPA/CPRA, 1 Jan 2020</w:t>
            </w:r>
          </w:p>
        </w:tc>
        <w:tc>
          <w:tcPr>
            <w:tcW w:w="0" w:type="auto"/>
          </w:tcPr>
          <w:p w14:paraId="5BB4268D" w14:textId="77777777" w:rsidR="0090768F" w:rsidRDefault="00000000">
            <w:pPr>
              <w:pStyle w:val="Compact"/>
            </w:pPr>
            <w:r>
              <w:rPr>
                <w:b/>
                <w:bCs/>
              </w:rPr>
              <w:t>CPPA ADMT regs (compliance 1 Jan 2027)</w:t>
            </w:r>
            <w:r>
              <w:t>; AB 2013 (1 Jan 2026); SB 942/AB 853</w:t>
            </w:r>
          </w:p>
        </w:tc>
        <w:tc>
          <w:tcPr>
            <w:tcW w:w="0" w:type="auto"/>
          </w:tcPr>
          <w:p w14:paraId="2937CCF6" w14:textId="77777777" w:rsidR="0090768F" w:rsidRDefault="00000000">
            <w:pPr>
              <w:pStyle w:val="Compact"/>
            </w:pPr>
            <w:r>
              <w:t>Y — human oversight; SB 1288 model policy expressly non-mandatory</w:t>
            </w:r>
          </w:p>
        </w:tc>
      </w:tr>
      <w:tr w:rsidR="0090768F" w14:paraId="49BEBBCB" w14:textId="77777777">
        <w:tc>
          <w:tcPr>
            <w:tcW w:w="0" w:type="auto"/>
          </w:tcPr>
          <w:p w14:paraId="1B4FBCC1" w14:textId="77777777" w:rsidR="0090768F" w:rsidRDefault="00000000">
            <w:pPr>
              <w:pStyle w:val="Compact"/>
            </w:pPr>
            <w:r>
              <w:t>Colorado</w:t>
            </w:r>
          </w:p>
        </w:tc>
        <w:tc>
          <w:tcPr>
            <w:tcW w:w="0" w:type="auto"/>
          </w:tcPr>
          <w:p w14:paraId="5D08F374" w14:textId="77777777" w:rsidR="0090768F" w:rsidRDefault="00000000">
            <w:pPr>
              <w:pStyle w:val="Compact"/>
            </w:pPr>
            <w:r>
              <w:rPr>
                <w:b/>
                <w:bCs/>
              </w:rPr>
              <w:t>Student Data Transparency and Security Act, C.R.S. § 22-16-101 ff.</w:t>
            </w:r>
          </w:p>
        </w:tc>
        <w:tc>
          <w:tcPr>
            <w:tcW w:w="0" w:type="auto"/>
          </w:tcPr>
          <w:p w14:paraId="3B70A3F3" w14:textId="77777777" w:rsidR="0090768F" w:rsidRDefault="00000000">
            <w:pPr>
              <w:pStyle w:val="Compact"/>
            </w:pPr>
            <w:r>
              <w:t>yes — CPA, 1 Jul 2023 (profiling opt-out)</w:t>
            </w:r>
          </w:p>
        </w:tc>
        <w:tc>
          <w:tcPr>
            <w:tcW w:w="0" w:type="auto"/>
          </w:tcPr>
          <w:p w14:paraId="6B4E6FF3" w14:textId="77777777" w:rsidR="0090768F" w:rsidRDefault="00000000">
            <w:pPr>
              <w:pStyle w:val="Compact"/>
            </w:pPr>
            <w:r>
              <w:rPr>
                <w:b/>
                <w:bCs/>
              </w:rPr>
              <w:t>SB 26-189 (ADMTA), eff. 1 Jan 2027 — education is a consequential decision. SB 24-205 repealed</w:t>
            </w:r>
          </w:p>
        </w:tc>
        <w:tc>
          <w:tcPr>
            <w:tcW w:w="0" w:type="auto"/>
          </w:tcPr>
          <w:p w14:paraId="3B29B2D7" w14:textId="77777777" w:rsidR="0090768F" w:rsidRDefault="00000000">
            <w:pPr>
              <w:pStyle w:val="Compact"/>
            </w:pPr>
            <w:r>
              <w:t>Y (general)</w:t>
            </w:r>
          </w:p>
        </w:tc>
      </w:tr>
      <w:tr w:rsidR="0090768F" w14:paraId="5EB88291" w14:textId="77777777">
        <w:tc>
          <w:tcPr>
            <w:tcW w:w="0" w:type="auto"/>
          </w:tcPr>
          <w:p w14:paraId="353744D8" w14:textId="77777777" w:rsidR="0090768F" w:rsidRDefault="00000000">
            <w:pPr>
              <w:pStyle w:val="Compact"/>
            </w:pPr>
            <w:r>
              <w:t>Connecticut</w:t>
            </w:r>
          </w:p>
        </w:tc>
        <w:tc>
          <w:tcPr>
            <w:tcW w:w="0" w:type="auto"/>
          </w:tcPr>
          <w:p w14:paraId="2458F41A" w14:textId="77777777" w:rsidR="0090768F" w:rsidRDefault="00000000">
            <w:pPr>
              <w:pStyle w:val="Compact"/>
            </w:pPr>
            <w:r>
              <w:rPr>
                <w:b/>
                <w:bCs/>
              </w:rPr>
              <w:t xml:space="preserve">Conn. Gen. Stat. </w:t>
            </w:r>
            <w:r>
              <w:rPr>
                <w:b/>
                <w:bCs/>
              </w:rPr>
              <w:lastRenderedPageBreak/>
              <w:t>§§ 10-234aa–10-234ff</w:t>
            </w:r>
            <w:r>
              <w:t xml:space="preserve"> — 10 mandatory terms + 5-business-day posting</w:t>
            </w:r>
          </w:p>
        </w:tc>
        <w:tc>
          <w:tcPr>
            <w:tcW w:w="0" w:type="auto"/>
          </w:tcPr>
          <w:p w14:paraId="039956ED" w14:textId="77777777" w:rsidR="0090768F" w:rsidRDefault="00000000">
            <w:pPr>
              <w:pStyle w:val="Compact"/>
            </w:pPr>
            <w:r>
              <w:lastRenderedPageBreak/>
              <w:t xml:space="preserve">yes — CTDPA, 1 </w:t>
            </w:r>
            <w:r>
              <w:lastRenderedPageBreak/>
              <w:t xml:space="preserve">Jul 2023; </w:t>
            </w:r>
            <w:r>
              <w:rPr>
                <w:b/>
                <w:bCs/>
              </w:rPr>
              <w:t>SB 1295 amendments eff. 1 Jul 2026</w:t>
            </w:r>
          </w:p>
        </w:tc>
        <w:tc>
          <w:tcPr>
            <w:tcW w:w="0" w:type="auto"/>
          </w:tcPr>
          <w:p w14:paraId="2CA86E88" w14:textId="77777777" w:rsidR="0090768F" w:rsidRDefault="00000000">
            <w:pPr>
              <w:pStyle w:val="Compact"/>
            </w:pPr>
            <w:r>
              <w:lastRenderedPageBreak/>
              <w:t>none specific</w:t>
            </w:r>
          </w:p>
        </w:tc>
        <w:tc>
          <w:tcPr>
            <w:tcW w:w="0" w:type="auto"/>
          </w:tcPr>
          <w:p w14:paraId="54A5263B" w14:textId="77777777" w:rsidR="0090768F" w:rsidRDefault="00000000">
            <w:pPr>
              <w:pStyle w:val="Compact"/>
            </w:pPr>
            <w:r>
              <w:t>Y (general)</w:t>
            </w:r>
          </w:p>
        </w:tc>
      </w:tr>
      <w:tr w:rsidR="0090768F" w14:paraId="622F5D07" w14:textId="77777777">
        <w:tc>
          <w:tcPr>
            <w:tcW w:w="0" w:type="auto"/>
          </w:tcPr>
          <w:p w14:paraId="6775EC69" w14:textId="77777777" w:rsidR="0090768F" w:rsidRDefault="00000000">
            <w:pPr>
              <w:pStyle w:val="Compact"/>
            </w:pPr>
            <w:r>
              <w:t>Delaware</w:t>
            </w:r>
          </w:p>
        </w:tc>
        <w:tc>
          <w:tcPr>
            <w:tcW w:w="0" w:type="auto"/>
          </w:tcPr>
          <w:p w14:paraId="31FB5C06" w14:textId="77777777" w:rsidR="0090768F" w:rsidRDefault="00000000">
            <w:pPr>
              <w:pStyle w:val="Compact"/>
            </w:pPr>
            <w:r>
              <w:t>Student Data Privacy Protection Act, 14 Del. C. ch. 81A</w:t>
            </w:r>
          </w:p>
        </w:tc>
        <w:tc>
          <w:tcPr>
            <w:tcW w:w="0" w:type="auto"/>
          </w:tcPr>
          <w:p w14:paraId="130630E4" w14:textId="77777777" w:rsidR="0090768F" w:rsidRDefault="00000000">
            <w:pPr>
              <w:pStyle w:val="Compact"/>
            </w:pPr>
            <w:r>
              <w:t>yes — DPDPA, 1 Jan 2025</w:t>
            </w:r>
          </w:p>
        </w:tc>
        <w:tc>
          <w:tcPr>
            <w:tcW w:w="0" w:type="auto"/>
          </w:tcPr>
          <w:p w14:paraId="6F8E6514" w14:textId="77777777" w:rsidR="0090768F" w:rsidRDefault="00000000">
            <w:pPr>
              <w:pStyle w:val="Compact"/>
            </w:pPr>
            <w:r>
              <w:t>none</w:t>
            </w:r>
          </w:p>
        </w:tc>
        <w:tc>
          <w:tcPr>
            <w:tcW w:w="0" w:type="auto"/>
          </w:tcPr>
          <w:p w14:paraId="44C8B0B1" w14:textId="77777777" w:rsidR="0090768F" w:rsidRDefault="00000000">
            <w:pPr>
              <w:pStyle w:val="Compact"/>
            </w:pPr>
            <w:r>
              <w:t>Y (general)</w:t>
            </w:r>
          </w:p>
        </w:tc>
      </w:tr>
      <w:tr w:rsidR="0090768F" w14:paraId="38343654" w14:textId="77777777">
        <w:tc>
          <w:tcPr>
            <w:tcW w:w="0" w:type="auto"/>
          </w:tcPr>
          <w:p w14:paraId="4E10B081" w14:textId="77777777" w:rsidR="0090768F" w:rsidRDefault="00000000">
            <w:pPr>
              <w:pStyle w:val="Compact"/>
            </w:pPr>
            <w:r>
              <w:t>District of Columbia</w:t>
            </w:r>
          </w:p>
        </w:tc>
        <w:tc>
          <w:tcPr>
            <w:tcW w:w="0" w:type="auto"/>
          </w:tcPr>
          <w:p w14:paraId="71503255" w14:textId="77777777" w:rsidR="0090768F" w:rsidRDefault="00000000">
            <w:pPr>
              <w:pStyle w:val="Compact"/>
            </w:pPr>
            <w:r>
              <w:t>Protecting Students Digital Privacy Act, D.C. Code § 38-831.02</w:t>
            </w:r>
          </w:p>
        </w:tc>
        <w:tc>
          <w:tcPr>
            <w:tcW w:w="0" w:type="auto"/>
          </w:tcPr>
          <w:p w14:paraId="2CA7CF2E" w14:textId="77777777" w:rsidR="0090768F" w:rsidRDefault="00000000">
            <w:pPr>
              <w:pStyle w:val="Compact"/>
            </w:pPr>
            <w:r>
              <w:t>no</w:t>
            </w:r>
          </w:p>
        </w:tc>
        <w:tc>
          <w:tcPr>
            <w:tcW w:w="0" w:type="auto"/>
          </w:tcPr>
          <w:p w14:paraId="3CC3EB8E" w14:textId="77777777" w:rsidR="0090768F" w:rsidRDefault="00000000">
            <w:pPr>
              <w:pStyle w:val="Compact"/>
            </w:pPr>
            <w:r>
              <w:t>none</w:t>
            </w:r>
          </w:p>
        </w:tc>
        <w:tc>
          <w:tcPr>
            <w:tcW w:w="0" w:type="auto"/>
          </w:tcPr>
          <w:p w14:paraId="43308A3E" w14:textId="77777777" w:rsidR="0090768F" w:rsidRDefault="00000000">
            <w:pPr>
              <w:pStyle w:val="Compact"/>
            </w:pPr>
            <w:r>
              <w:t xml:space="preserve">Y — </w:t>
            </w:r>
            <w:r>
              <w:rPr>
                <w:b/>
                <w:bCs/>
              </w:rPr>
              <w:t>OSSE (2 Sep 2026): grading “use with caution”; IEP and discipline prohibited</w:t>
            </w:r>
          </w:p>
        </w:tc>
      </w:tr>
      <w:tr w:rsidR="0090768F" w14:paraId="6911D646" w14:textId="77777777">
        <w:tc>
          <w:tcPr>
            <w:tcW w:w="0" w:type="auto"/>
          </w:tcPr>
          <w:p w14:paraId="46150B22" w14:textId="77777777" w:rsidR="0090768F" w:rsidRDefault="00000000">
            <w:pPr>
              <w:pStyle w:val="Compact"/>
            </w:pPr>
            <w:r>
              <w:t>Florida</w:t>
            </w:r>
          </w:p>
        </w:tc>
        <w:tc>
          <w:tcPr>
            <w:tcW w:w="0" w:type="auto"/>
          </w:tcPr>
          <w:p w14:paraId="3058F04B" w14:textId="77777777" w:rsidR="0090768F" w:rsidRDefault="00000000">
            <w:pPr>
              <w:pStyle w:val="Compact"/>
            </w:pPr>
            <w:r>
              <w:t>Student Online Personal Information Protection Act (HB 662, 2023)</w:t>
            </w:r>
          </w:p>
        </w:tc>
        <w:tc>
          <w:tcPr>
            <w:tcW w:w="0" w:type="auto"/>
          </w:tcPr>
          <w:p w14:paraId="5F073806" w14:textId="77777777" w:rsidR="0090768F" w:rsidRDefault="00000000">
            <w:pPr>
              <w:pStyle w:val="Compact"/>
            </w:pPr>
            <w:r>
              <w:t>FDBR, 1 Jul 2024 — &gt;$1bn revenue only; almost certainly inapplicable</w:t>
            </w:r>
          </w:p>
        </w:tc>
        <w:tc>
          <w:tcPr>
            <w:tcW w:w="0" w:type="auto"/>
          </w:tcPr>
          <w:p w14:paraId="32FD22A9" w14:textId="77777777" w:rsidR="0090768F" w:rsidRDefault="00000000">
            <w:pPr>
              <w:pStyle w:val="Compact"/>
            </w:pPr>
            <w:r>
              <w:t xml:space="preserve">none enacted; </w:t>
            </w:r>
            <w:r>
              <w:rPr>
                <w:b/>
                <w:bCs/>
              </w:rPr>
              <w:t>State Board rule vote 16 Sep 2026</w:t>
            </w:r>
          </w:p>
        </w:tc>
        <w:tc>
          <w:tcPr>
            <w:tcW w:w="0" w:type="auto"/>
          </w:tcPr>
          <w:p w14:paraId="34277720" w14:textId="77777777" w:rsidR="0090768F" w:rsidRDefault="00000000">
            <w:pPr>
              <w:pStyle w:val="Compact"/>
            </w:pPr>
            <w:r>
              <w:t>N per tracker</w:t>
            </w:r>
          </w:p>
        </w:tc>
      </w:tr>
      <w:tr w:rsidR="0090768F" w14:paraId="070BDF11" w14:textId="77777777">
        <w:tc>
          <w:tcPr>
            <w:tcW w:w="0" w:type="auto"/>
          </w:tcPr>
          <w:p w14:paraId="6C56187D" w14:textId="77777777" w:rsidR="0090768F" w:rsidRDefault="00000000">
            <w:pPr>
              <w:pStyle w:val="Compact"/>
            </w:pPr>
            <w:r>
              <w:t>Georgia</w:t>
            </w:r>
          </w:p>
        </w:tc>
        <w:tc>
          <w:tcPr>
            <w:tcW w:w="0" w:type="auto"/>
          </w:tcPr>
          <w:p w14:paraId="3DF6642D" w14:textId="77777777" w:rsidR="0090768F" w:rsidRDefault="00000000">
            <w:pPr>
              <w:pStyle w:val="Compact"/>
            </w:pPr>
            <w:r>
              <w:rPr>
                <w:b/>
                <w:bCs/>
              </w:rPr>
              <w:t>O.C.G.A. §§ 20-2-660–668; § 20-2-666 operator limits; 45-day deletion</w:t>
            </w:r>
          </w:p>
        </w:tc>
        <w:tc>
          <w:tcPr>
            <w:tcW w:w="0" w:type="auto"/>
          </w:tcPr>
          <w:p w14:paraId="306DFA6D" w14:textId="77777777" w:rsidR="0090768F" w:rsidRDefault="00000000">
            <w:pPr>
              <w:pStyle w:val="Compact"/>
            </w:pPr>
            <w:r>
              <w:t>no</w:t>
            </w:r>
          </w:p>
        </w:tc>
        <w:tc>
          <w:tcPr>
            <w:tcW w:w="0" w:type="auto"/>
          </w:tcPr>
          <w:p w14:paraId="062CE68B" w14:textId="77777777" w:rsidR="0090768F" w:rsidRDefault="00000000">
            <w:pPr>
              <w:pStyle w:val="Compact"/>
            </w:pPr>
            <w:r>
              <w:t>SB 179 (CS/AI graduation requirement)</w:t>
            </w:r>
          </w:p>
        </w:tc>
        <w:tc>
          <w:tcPr>
            <w:tcW w:w="0" w:type="auto"/>
          </w:tcPr>
          <w:p w14:paraId="039505CB" w14:textId="77777777" w:rsidR="0090768F" w:rsidRDefault="00000000">
            <w:pPr>
              <w:pStyle w:val="Compact"/>
            </w:pPr>
            <w:r>
              <w:t xml:space="preserve">Y — </w:t>
            </w:r>
            <w:r>
              <w:rPr>
                <w:b/>
                <w:bCs/>
              </w:rPr>
              <w:t>strongest grading language: do not use AI to grade subjective work</w:t>
            </w:r>
          </w:p>
        </w:tc>
      </w:tr>
      <w:tr w:rsidR="0090768F" w14:paraId="2F38EA71" w14:textId="77777777">
        <w:tc>
          <w:tcPr>
            <w:tcW w:w="0" w:type="auto"/>
          </w:tcPr>
          <w:p w14:paraId="6D7949FE" w14:textId="77777777" w:rsidR="0090768F" w:rsidRDefault="00000000">
            <w:pPr>
              <w:pStyle w:val="Compact"/>
            </w:pPr>
            <w:r>
              <w:t>Hawaii</w:t>
            </w:r>
          </w:p>
        </w:tc>
        <w:tc>
          <w:tcPr>
            <w:tcW w:w="0" w:type="auto"/>
          </w:tcPr>
          <w:p w14:paraId="611885AA" w14:textId="77777777" w:rsidR="0090768F" w:rsidRDefault="00000000">
            <w:pPr>
              <w:pStyle w:val="Compact"/>
            </w:pPr>
            <w:r>
              <w:t>HRS § 302A-500 (agg.)</w:t>
            </w:r>
          </w:p>
        </w:tc>
        <w:tc>
          <w:tcPr>
            <w:tcW w:w="0" w:type="auto"/>
          </w:tcPr>
          <w:p w14:paraId="04CCB649" w14:textId="77777777" w:rsidR="0090768F" w:rsidRDefault="00000000">
            <w:pPr>
              <w:pStyle w:val="Compact"/>
            </w:pPr>
            <w:r>
              <w:t>no</w:t>
            </w:r>
          </w:p>
        </w:tc>
        <w:tc>
          <w:tcPr>
            <w:tcW w:w="0" w:type="auto"/>
          </w:tcPr>
          <w:p w14:paraId="3C79B4BC" w14:textId="77777777" w:rsidR="0090768F" w:rsidRDefault="00000000">
            <w:pPr>
              <w:pStyle w:val="Compact"/>
            </w:pPr>
            <w:r>
              <w:t>SB 2212 (2026, enacted; scope unverified)</w:t>
            </w:r>
          </w:p>
        </w:tc>
        <w:tc>
          <w:tcPr>
            <w:tcW w:w="0" w:type="auto"/>
          </w:tcPr>
          <w:p w14:paraId="24175C34" w14:textId="77777777" w:rsidR="0090768F" w:rsidRDefault="00000000">
            <w:pPr>
              <w:pStyle w:val="Compact"/>
            </w:pPr>
            <w:r>
              <w:t>Y (general)</w:t>
            </w:r>
          </w:p>
        </w:tc>
      </w:tr>
      <w:tr w:rsidR="0090768F" w14:paraId="2CB90B95" w14:textId="77777777">
        <w:tc>
          <w:tcPr>
            <w:tcW w:w="0" w:type="auto"/>
          </w:tcPr>
          <w:p w14:paraId="3586C9B1" w14:textId="77777777" w:rsidR="0090768F" w:rsidRDefault="00000000">
            <w:pPr>
              <w:pStyle w:val="Compact"/>
            </w:pPr>
            <w:r>
              <w:t>Idaho</w:t>
            </w:r>
          </w:p>
        </w:tc>
        <w:tc>
          <w:tcPr>
            <w:tcW w:w="0" w:type="auto"/>
          </w:tcPr>
          <w:p w14:paraId="0EF46093" w14:textId="77777777" w:rsidR="0090768F" w:rsidRDefault="00000000">
            <w:pPr>
              <w:pStyle w:val="Compact"/>
            </w:pPr>
            <w:r>
              <w:t>Idaho Code § 33-133; SB 1372 (2014)</w:t>
            </w:r>
          </w:p>
        </w:tc>
        <w:tc>
          <w:tcPr>
            <w:tcW w:w="0" w:type="auto"/>
          </w:tcPr>
          <w:p w14:paraId="50298FA3" w14:textId="77777777" w:rsidR="0090768F" w:rsidRDefault="00000000">
            <w:pPr>
              <w:pStyle w:val="Compact"/>
            </w:pPr>
            <w:r>
              <w:t>no</w:t>
            </w:r>
          </w:p>
        </w:tc>
        <w:tc>
          <w:tcPr>
            <w:tcW w:w="0" w:type="auto"/>
          </w:tcPr>
          <w:p w14:paraId="65784ECF" w14:textId="77777777" w:rsidR="0090768F" w:rsidRDefault="00000000">
            <w:pPr>
              <w:pStyle w:val="Compact"/>
            </w:pPr>
            <w:r>
              <w:rPr>
                <w:b/>
                <w:bCs/>
              </w:rPr>
              <w:t>SB 1227 (2026)</w:t>
            </w:r>
            <w:r>
              <w:t xml:space="preserve"> — prohibits AI replacing human teachers</w:t>
            </w:r>
          </w:p>
        </w:tc>
        <w:tc>
          <w:tcPr>
            <w:tcW w:w="0" w:type="auto"/>
          </w:tcPr>
          <w:p w14:paraId="537438EF" w14:textId="77777777" w:rsidR="0090768F" w:rsidRDefault="00000000">
            <w:pPr>
              <w:pStyle w:val="Compact"/>
            </w:pPr>
            <w:r>
              <w:t>N</w:t>
            </w:r>
          </w:p>
        </w:tc>
      </w:tr>
      <w:tr w:rsidR="0090768F" w14:paraId="6D0B7CF7" w14:textId="77777777">
        <w:tc>
          <w:tcPr>
            <w:tcW w:w="0" w:type="auto"/>
          </w:tcPr>
          <w:p w14:paraId="51FE160A" w14:textId="77777777" w:rsidR="0090768F" w:rsidRDefault="00000000">
            <w:pPr>
              <w:pStyle w:val="Compact"/>
            </w:pPr>
            <w:r>
              <w:t>Illinois</w:t>
            </w:r>
          </w:p>
        </w:tc>
        <w:tc>
          <w:tcPr>
            <w:tcW w:w="0" w:type="auto"/>
          </w:tcPr>
          <w:p w14:paraId="1BA05F58" w14:textId="77777777" w:rsidR="0090768F" w:rsidRDefault="00000000">
            <w:pPr>
              <w:pStyle w:val="Compact"/>
            </w:pPr>
            <w:r>
              <w:rPr>
                <w:b/>
                <w:bCs/>
              </w:rPr>
              <w:t>SOPPA, 105 ILCS 85</w:t>
            </w:r>
            <w:r>
              <w:t xml:space="preserve"> — written agreement, 30-</w:t>
            </w:r>
            <w:r>
              <w:lastRenderedPageBreak/>
              <w:t>day breach notice, public posting, annual third-party list; ISSRA (private right of action)</w:t>
            </w:r>
          </w:p>
        </w:tc>
        <w:tc>
          <w:tcPr>
            <w:tcW w:w="0" w:type="auto"/>
          </w:tcPr>
          <w:p w14:paraId="7276610C" w14:textId="77777777" w:rsidR="0090768F" w:rsidRDefault="00000000">
            <w:pPr>
              <w:pStyle w:val="Compact"/>
            </w:pPr>
            <w:r>
              <w:rPr>
                <w:b/>
                <w:bCs/>
              </w:rPr>
              <w:lastRenderedPageBreak/>
              <w:t>no comprehensive law</w:t>
            </w:r>
            <w:r>
              <w:t xml:space="preserve"> (BIPA and </w:t>
            </w:r>
            <w:r>
              <w:lastRenderedPageBreak/>
              <w:t>SOPPA only)</w:t>
            </w:r>
          </w:p>
        </w:tc>
        <w:tc>
          <w:tcPr>
            <w:tcW w:w="0" w:type="auto"/>
          </w:tcPr>
          <w:p w14:paraId="4275FE66" w14:textId="77777777" w:rsidR="0090768F" w:rsidRDefault="00000000">
            <w:pPr>
              <w:pStyle w:val="Compact"/>
            </w:pPr>
            <w:r>
              <w:lastRenderedPageBreak/>
              <w:t xml:space="preserve">HB 3773 (IHRA, employment only, 1 Jan 2026); </w:t>
            </w:r>
            <w:r>
              <w:rPr>
                <w:b/>
                <w:bCs/>
              </w:rPr>
              <w:lastRenderedPageBreak/>
              <w:t>BIPA, 740 ILCS 14</w:t>
            </w:r>
          </w:p>
        </w:tc>
        <w:tc>
          <w:tcPr>
            <w:tcW w:w="0" w:type="auto"/>
          </w:tcPr>
          <w:p w14:paraId="43AD5E67" w14:textId="77777777" w:rsidR="0090768F" w:rsidRDefault="00000000">
            <w:pPr>
              <w:pStyle w:val="Compact"/>
            </w:pPr>
            <w:r>
              <w:lastRenderedPageBreak/>
              <w:t xml:space="preserve">Y; State Board guidance due </w:t>
            </w:r>
            <w:r>
              <w:lastRenderedPageBreak/>
              <w:t>1 Jul 2026</w:t>
            </w:r>
          </w:p>
        </w:tc>
      </w:tr>
      <w:tr w:rsidR="0090768F" w14:paraId="07630988" w14:textId="77777777">
        <w:tc>
          <w:tcPr>
            <w:tcW w:w="0" w:type="auto"/>
          </w:tcPr>
          <w:p w14:paraId="6CC610FB" w14:textId="77777777" w:rsidR="0090768F" w:rsidRDefault="00000000">
            <w:pPr>
              <w:pStyle w:val="Compact"/>
            </w:pPr>
            <w:r>
              <w:lastRenderedPageBreak/>
              <w:t>Indiana</w:t>
            </w:r>
          </w:p>
        </w:tc>
        <w:tc>
          <w:tcPr>
            <w:tcW w:w="0" w:type="auto"/>
          </w:tcPr>
          <w:p w14:paraId="058653C4" w14:textId="77777777" w:rsidR="0090768F" w:rsidRDefault="00000000">
            <w:pPr>
              <w:pStyle w:val="Compact"/>
            </w:pPr>
            <w:r>
              <w:t>none specific (agg.)</w:t>
            </w:r>
          </w:p>
        </w:tc>
        <w:tc>
          <w:tcPr>
            <w:tcW w:w="0" w:type="auto"/>
          </w:tcPr>
          <w:p w14:paraId="0D482CF2" w14:textId="77777777" w:rsidR="0090768F" w:rsidRDefault="00000000">
            <w:pPr>
              <w:pStyle w:val="Compact"/>
            </w:pPr>
            <w:r>
              <w:t>yes — SB 5, 1 Jan 2026</w:t>
            </w:r>
          </w:p>
        </w:tc>
        <w:tc>
          <w:tcPr>
            <w:tcW w:w="0" w:type="auto"/>
          </w:tcPr>
          <w:p w14:paraId="24F0EFDF" w14:textId="77777777" w:rsidR="0090768F" w:rsidRDefault="00000000">
            <w:pPr>
              <w:pStyle w:val="Compact"/>
            </w:pPr>
            <w:r>
              <w:t>none</w:t>
            </w:r>
          </w:p>
        </w:tc>
        <w:tc>
          <w:tcPr>
            <w:tcW w:w="0" w:type="auto"/>
          </w:tcPr>
          <w:p w14:paraId="4A2EFB14" w14:textId="77777777" w:rsidR="0090768F" w:rsidRDefault="00000000">
            <w:pPr>
              <w:pStyle w:val="Compact"/>
            </w:pPr>
            <w:r>
              <w:t>Y (general)</w:t>
            </w:r>
          </w:p>
        </w:tc>
      </w:tr>
      <w:tr w:rsidR="0090768F" w14:paraId="3B182224" w14:textId="77777777">
        <w:tc>
          <w:tcPr>
            <w:tcW w:w="0" w:type="auto"/>
          </w:tcPr>
          <w:p w14:paraId="7D716305" w14:textId="77777777" w:rsidR="0090768F" w:rsidRDefault="00000000">
            <w:pPr>
              <w:pStyle w:val="Compact"/>
            </w:pPr>
            <w:r>
              <w:t>Iowa</w:t>
            </w:r>
          </w:p>
        </w:tc>
        <w:tc>
          <w:tcPr>
            <w:tcW w:w="0" w:type="auto"/>
          </w:tcPr>
          <w:p w14:paraId="01F0B500" w14:textId="77777777" w:rsidR="0090768F" w:rsidRDefault="00000000">
            <w:pPr>
              <w:pStyle w:val="Compact"/>
            </w:pPr>
            <w:r>
              <w:t>HF 2354 (2018) operator law</w:t>
            </w:r>
          </w:p>
        </w:tc>
        <w:tc>
          <w:tcPr>
            <w:tcW w:w="0" w:type="auto"/>
          </w:tcPr>
          <w:p w14:paraId="0A5C6FFC" w14:textId="77777777" w:rsidR="0090768F" w:rsidRDefault="00000000">
            <w:pPr>
              <w:pStyle w:val="Compact"/>
            </w:pPr>
            <w:r>
              <w:t>yes — SF 262, 1 Jan 2025 (no profiling opt-out, no DPA duty)</w:t>
            </w:r>
          </w:p>
        </w:tc>
        <w:tc>
          <w:tcPr>
            <w:tcW w:w="0" w:type="auto"/>
          </w:tcPr>
          <w:p w14:paraId="1740C5C2" w14:textId="77777777" w:rsidR="0090768F" w:rsidRDefault="00000000">
            <w:pPr>
              <w:pStyle w:val="Compact"/>
            </w:pPr>
            <w:r>
              <w:t>none</w:t>
            </w:r>
          </w:p>
        </w:tc>
        <w:tc>
          <w:tcPr>
            <w:tcW w:w="0" w:type="auto"/>
          </w:tcPr>
          <w:p w14:paraId="2AEF5838" w14:textId="77777777" w:rsidR="0090768F" w:rsidRDefault="00000000">
            <w:pPr>
              <w:pStyle w:val="Compact"/>
            </w:pPr>
            <w:r>
              <w:t>N</w:t>
            </w:r>
          </w:p>
        </w:tc>
      </w:tr>
      <w:tr w:rsidR="0090768F" w14:paraId="1EC32534" w14:textId="77777777">
        <w:tc>
          <w:tcPr>
            <w:tcW w:w="0" w:type="auto"/>
          </w:tcPr>
          <w:p w14:paraId="27E28D58" w14:textId="77777777" w:rsidR="0090768F" w:rsidRDefault="00000000">
            <w:pPr>
              <w:pStyle w:val="Compact"/>
            </w:pPr>
            <w:r>
              <w:t>Kansas</w:t>
            </w:r>
          </w:p>
        </w:tc>
        <w:tc>
          <w:tcPr>
            <w:tcW w:w="0" w:type="auto"/>
          </w:tcPr>
          <w:p w14:paraId="39552510" w14:textId="77777777" w:rsidR="0090768F" w:rsidRDefault="00000000">
            <w:pPr>
              <w:pStyle w:val="Compact"/>
            </w:pPr>
            <w:r>
              <w:t>Student Data Privacy Act, K.S.A. §§ 72-6312–6320</w:t>
            </w:r>
          </w:p>
        </w:tc>
        <w:tc>
          <w:tcPr>
            <w:tcW w:w="0" w:type="auto"/>
          </w:tcPr>
          <w:p w14:paraId="127BA437" w14:textId="77777777" w:rsidR="0090768F" w:rsidRDefault="00000000">
            <w:pPr>
              <w:pStyle w:val="Compact"/>
            </w:pPr>
            <w:r>
              <w:t>no</w:t>
            </w:r>
          </w:p>
        </w:tc>
        <w:tc>
          <w:tcPr>
            <w:tcW w:w="0" w:type="auto"/>
          </w:tcPr>
          <w:p w14:paraId="2C579DCF" w14:textId="77777777" w:rsidR="0090768F" w:rsidRDefault="00000000">
            <w:pPr>
              <w:pStyle w:val="Compact"/>
            </w:pPr>
            <w:r>
              <w:t>none</w:t>
            </w:r>
          </w:p>
        </w:tc>
        <w:tc>
          <w:tcPr>
            <w:tcW w:w="0" w:type="auto"/>
          </w:tcPr>
          <w:p w14:paraId="384DE125" w14:textId="77777777" w:rsidR="0090768F" w:rsidRDefault="00000000">
            <w:pPr>
              <w:pStyle w:val="Compact"/>
            </w:pPr>
            <w:r>
              <w:t>N</w:t>
            </w:r>
          </w:p>
        </w:tc>
      </w:tr>
      <w:tr w:rsidR="0090768F" w14:paraId="284D2761" w14:textId="77777777">
        <w:tc>
          <w:tcPr>
            <w:tcW w:w="0" w:type="auto"/>
          </w:tcPr>
          <w:p w14:paraId="3F7710C9" w14:textId="77777777" w:rsidR="0090768F" w:rsidRDefault="00000000">
            <w:pPr>
              <w:pStyle w:val="Compact"/>
            </w:pPr>
            <w:r>
              <w:t>Kentucky</w:t>
            </w:r>
          </w:p>
        </w:tc>
        <w:tc>
          <w:tcPr>
            <w:tcW w:w="0" w:type="auto"/>
          </w:tcPr>
          <w:p w14:paraId="55CBC124" w14:textId="77777777" w:rsidR="0090768F" w:rsidRDefault="00000000">
            <w:pPr>
              <w:pStyle w:val="Compact"/>
            </w:pPr>
            <w:r>
              <w:t>KRS 365.734 (cloud restriction); HB 232 (2014)</w:t>
            </w:r>
          </w:p>
        </w:tc>
        <w:tc>
          <w:tcPr>
            <w:tcW w:w="0" w:type="auto"/>
          </w:tcPr>
          <w:p w14:paraId="04BD5EEB" w14:textId="77777777" w:rsidR="0090768F" w:rsidRDefault="00000000">
            <w:pPr>
              <w:pStyle w:val="Compact"/>
            </w:pPr>
            <w:r>
              <w:t>yes — HB 15, 1 Jan 2026</w:t>
            </w:r>
          </w:p>
        </w:tc>
        <w:tc>
          <w:tcPr>
            <w:tcW w:w="0" w:type="auto"/>
          </w:tcPr>
          <w:p w14:paraId="6FEF12DE" w14:textId="77777777" w:rsidR="0090768F" w:rsidRDefault="00000000">
            <w:pPr>
              <w:pStyle w:val="Compact"/>
            </w:pPr>
            <w:r>
              <w:t>none</w:t>
            </w:r>
          </w:p>
        </w:tc>
        <w:tc>
          <w:tcPr>
            <w:tcW w:w="0" w:type="auto"/>
          </w:tcPr>
          <w:p w14:paraId="41B3C303" w14:textId="77777777" w:rsidR="0090768F" w:rsidRDefault="00000000">
            <w:pPr>
              <w:pStyle w:val="Compact"/>
            </w:pPr>
            <w:r>
              <w:t>Y (general)</w:t>
            </w:r>
          </w:p>
        </w:tc>
      </w:tr>
      <w:tr w:rsidR="0090768F" w14:paraId="38ED7198" w14:textId="77777777">
        <w:tc>
          <w:tcPr>
            <w:tcW w:w="0" w:type="auto"/>
          </w:tcPr>
          <w:p w14:paraId="32EC6D2F" w14:textId="77777777" w:rsidR="0090768F" w:rsidRDefault="00000000">
            <w:pPr>
              <w:pStyle w:val="Compact"/>
            </w:pPr>
            <w:r>
              <w:t>Louisiana</w:t>
            </w:r>
          </w:p>
        </w:tc>
        <w:tc>
          <w:tcPr>
            <w:tcW w:w="0" w:type="auto"/>
          </w:tcPr>
          <w:p w14:paraId="33257FB6" w14:textId="77777777" w:rsidR="0090768F" w:rsidRDefault="00000000">
            <w:pPr>
              <w:pStyle w:val="Compact"/>
            </w:pPr>
            <w:r>
              <w:rPr>
                <w:b/>
                <w:bCs/>
              </w:rPr>
              <w:t>La. R.S. 17:3914 — carries criminal/civil penalties</w:t>
            </w:r>
            <w:r>
              <w:t>; HB 946 (2014)</w:t>
            </w:r>
          </w:p>
        </w:tc>
        <w:tc>
          <w:tcPr>
            <w:tcW w:w="0" w:type="auto"/>
          </w:tcPr>
          <w:p w14:paraId="40A14893" w14:textId="77777777" w:rsidR="0090768F" w:rsidRDefault="00000000">
            <w:pPr>
              <w:pStyle w:val="Compact"/>
            </w:pPr>
            <w:r>
              <w:t>no (enacted; eff. 1 Jan 2027)</w:t>
            </w:r>
          </w:p>
        </w:tc>
        <w:tc>
          <w:tcPr>
            <w:tcW w:w="0" w:type="auto"/>
          </w:tcPr>
          <w:p w14:paraId="066A18FB" w14:textId="77777777" w:rsidR="0090768F" w:rsidRDefault="00000000">
            <w:pPr>
              <w:pStyle w:val="Compact"/>
            </w:pPr>
            <w:r>
              <w:t>none</w:t>
            </w:r>
          </w:p>
        </w:tc>
        <w:tc>
          <w:tcPr>
            <w:tcW w:w="0" w:type="auto"/>
          </w:tcPr>
          <w:p w14:paraId="2F4D060A" w14:textId="77777777" w:rsidR="0090768F" w:rsidRDefault="00000000">
            <w:pPr>
              <w:pStyle w:val="Compact"/>
            </w:pPr>
            <w:r>
              <w:t>Y (general)</w:t>
            </w:r>
          </w:p>
        </w:tc>
      </w:tr>
      <w:tr w:rsidR="0090768F" w14:paraId="234965F6" w14:textId="77777777">
        <w:tc>
          <w:tcPr>
            <w:tcW w:w="0" w:type="auto"/>
          </w:tcPr>
          <w:p w14:paraId="082BA465" w14:textId="77777777" w:rsidR="0090768F" w:rsidRDefault="00000000">
            <w:pPr>
              <w:pStyle w:val="Compact"/>
            </w:pPr>
            <w:r>
              <w:t>Maine</w:t>
            </w:r>
          </w:p>
        </w:tc>
        <w:tc>
          <w:tcPr>
            <w:tcW w:w="0" w:type="auto"/>
          </w:tcPr>
          <w:p w14:paraId="0D4E77CF" w14:textId="77777777" w:rsidR="0090768F" w:rsidRDefault="00000000">
            <w:pPr>
              <w:pStyle w:val="Compact"/>
            </w:pPr>
            <w:r>
              <w:t>Maine Student Information Privacy Act, 20-A M.R.S. § 6005</w:t>
            </w:r>
          </w:p>
        </w:tc>
        <w:tc>
          <w:tcPr>
            <w:tcW w:w="0" w:type="auto"/>
          </w:tcPr>
          <w:p w14:paraId="1656EDC2" w14:textId="77777777" w:rsidR="0090768F" w:rsidRDefault="00000000">
            <w:pPr>
              <w:pStyle w:val="Compact"/>
            </w:pPr>
            <w:r>
              <w:t>no</w:t>
            </w:r>
          </w:p>
        </w:tc>
        <w:tc>
          <w:tcPr>
            <w:tcW w:w="0" w:type="auto"/>
          </w:tcPr>
          <w:p w14:paraId="1FEBEFBD" w14:textId="77777777" w:rsidR="0090768F" w:rsidRDefault="00000000">
            <w:pPr>
              <w:pStyle w:val="Compact"/>
            </w:pPr>
            <w:r>
              <w:t>none</w:t>
            </w:r>
          </w:p>
        </w:tc>
        <w:tc>
          <w:tcPr>
            <w:tcW w:w="0" w:type="auto"/>
          </w:tcPr>
          <w:p w14:paraId="3958EB58" w14:textId="77777777" w:rsidR="0090768F" w:rsidRDefault="00000000">
            <w:pPr>
              <w:pStyle w:val="Compact"/>
            </w:pPr>
            <w:r>
              <w:t>Y — AI should “enhance, not replace” human judgment</w:t>
            </w:r>
          </w:p>
        </w:tc>
      </w:tr>
      <w:tr w:rsidR="0090768F" w14:paraId="659FCE76" w14:textId="77777777">
        <w:tc>
          <w:tcPr>
            <w:tcW w:w="0" w:type="auto"/>
          </w:tcPr>
          <w:p w14:paraId="51D963C9" w14:textId="77777777" w:rsidR="0090768F" w:rsidRDefault="00000000">
            <w:pPr>
              <w:pStyle w:val="Compact"/>
            </w:pPr>
            <w:r>
              <w:t>Maryland</w:t>
            </w:r>
          </w:p>
        </w:tc>
        <w:tc>
          <w:tcPr>
            <w:tcW w:w="0" w:type="auto"/>
          </w:tcPr>
          <w:p w14:paraId="1BD5F28F" w14:textId="77777777" w:rsidR="0090768F" w:rsidRDefault="00000000">
            <w:pPr>
              <w:pStyle w:val="Compact"/>
            </w:pPr>
            <w:r>
              <w:t>Educ. Art. § 4-131; State Fin. &amp; Proc. § 3.5-311</w:t>
            </w:r>
          </w:p>
        </w:tc>
        <w:tc>
          <w:tcPr>
            <w:tcW w:w="0" w:type="auto"/>
          </w:tcPr>
          <w:p w14:paraId="79C717EF" w14:textId="77777777" w:rsidR="0090768F" w:rsidRDefault="00000000">
            <w:pPr>
              <w:pStyle w:val="Compact"/>
            </w:pPr>
            <w:r>
              <w:t>yes — MODPA, 1 Oct 2025 (strict minimisation)</w:t>
            </w:r>
          </w:p>
        </w:tc>
        <w:tc>
          <w:tcPr>
            <w:tcW w:w="0" w:type="auto"/>
          </w:tcPr>
          <w:p w14:paraId="65EE30AC" w14:textId="77777777" w:rsidR="0090768F" w:rsidRDefault="00000000">
            <w:pPr>
              <w:pStyle w:val="Compact"/>
            </w:pPr>
            <w:r>
              <w:rPr>
                <w:b/>
                <w:bCs/>
              </w:rPr>
              <w:t>SB 720 (2026)</w:t>
            </w:r>
            <w:r>
              <w:t xml:space="preserve"> — district AI policy within 120 days of state guidance; AI coordinator</w:t>
            </w:r>
          </w:p>
        </w:tc>
        <w:tc>
          <w:tcPr>
            <w:tcW w:w="0" w:type="auto"/>
          </w:tcPr>
          <w:p w14:paraId="7DCE1245" w14:textId="77777777" w:rsidR="0090768F" w:rsidRDefault="00000000">
            <w:pPr>
              <w:pStyle w:val="Compact"/>
            </w:pPr>
            <w:r>
              <w:t>Y (state guidance mandated)</w:t>
            </w:r>
          </w:p>
        </w:tc>
      </w:tr>
      <w:tr w:rsidR="0090768F" w14:paraId="453F1B1B" w14:textId="77777777">
        <w:tc>
          <w:tcPr>
            <w:tcW w:w="0" w:type="auto"/>
          </w:tcPr>
          <w:p w14:paraId="3EC06633" w14:textId="77777777" w:rsidR="0090768F" w:rsidRDefault="00000000">
            <w:pPr>
              <w:pStyle w:val="Compact"/>
            </w:pPr>
            <w:r>
              <w:t>Massachusetts</w:t>
            </w:r>
          </w:p>
        </w:tc>
        <w:tc>
          <w:tcPr>
            <w:tcW w:w="0" w:type="auto"/>
          </w:tcPr>
          <w:p w14:paraId="761D8A7D" w14:textId="77777777" w:rsidR="0090768F" w:rsidRDefault="00000000">
            <w:pPr>
              <w:pStyle w:val="Compact"/>
            </w:pPr>
            <w:r>
              <w:rPr>
                <w:b/>
                <w:bCs/>
              </w:rPr>
              <w:t>no operator statute</w:t>
            </w:r>
            <w:r>
              <w:t xml:space="preserve"> — 603 CMR 23.00, 201 </w:t>
            </w:r>
            <w:r>
              <w:lastRenderedPageBreak/>
              <w:t>CMR 17.00, M.G.L. c. 93H</w:t>
            </w:r>
          </w:p>
        </w:tc>
        <w:tc>
          <w:tcPr>
            <w:tcW w:w="0" w:type="auto"/>
          </w:tcPr>
          <w:p w14:paraId="6656E70D" w14:textId="77777777" w:rsidR="0090768F" w:rsidRDefault="00000000">
            <w:pPr>
              <w:pStyle w:val="Compact"/>
            </w:pPr>
            <w:r>
              <w:lastRenderedPageBreak/>
              <w:t>no</w:t>
            </w:r>
          </w:p>
        </w:tc>
        <w:tc>
          <w:tcPr>
            <w:tcW w:w="0" w:type="auto"/>
          </w:tcPr>
          <w:p w14:paraId="2EEAD17D" w14:textId="77777777" w:rsidR="0090768F" w:rsidRDefault="00000000">
            <w:pPr>
              <w:pStyle w:val="Compact"/>
            </w:pPr>
            <w:r>
              <w:t>none</w:t>
            </w:r>
          </w:p>
        </w:tc>
        <w:tc>
          <w:tcPr>
            <w:tcW w:w="0" w:type="auto"/>
          </w:tcPr>
          <w:p w14:paraId="0173743E" w14:textId="77777777" w:rsidR="0090768F" w:rsidRDefault="00000000">
            <w:pPr>
              <w:pStyle w:val="Compact"/>
            </w:pPr>
            <w:r>
              <w:t xml:space="preserve">Y — human oversight; explicitly </w:t>
            </w:r>
            <w:r>
              <w:lastRenderedPageBreak/>
              <w:t>discourages AI detection tools</w:t>
            </w:r>
          </w:p>
        </w:tc>
      </w:tr>
      <w:tr w:rsidR="0090768F" w14:paraId="1F49037F" w14:textId="77777777">
        <w:tc>
          <w:tcPr>
            <w:tcW w:w="0" w:type="auto"/>
          </w:tcPr>
          <w:p w14:paraId="20FFB793" w14:textId="77777777" w:rsidR="0090768F" w:rsidRDefault="00000000">
            <w:pPr>
              <w:pStyle w:val="Compact"/>
            </w:pPr>
            <w:r>
              <w:lastRenderedPageBreak/>
              <w:t>Michigan</w:t>
            </w:r>
          </w:p>
        </w:tc>
        <w:tc>
          <w:tcPr>
            <w:tcW w:w="0" w:type="auto"/>
          </w:tcPr>
          <w:p w14:paraId="0D323C66" w14:textId="77777777" w:rsidR="0090768F" w:rsidRDefault="00000000">
            <w:pPr>
              <w:pStyle w:val="Compact"/>
            </w:pPr>
            <w:r>
              <w:t xml:space="preserve">MCL 380.1136; </w:t>
            </w:r>
            <w:r>
              <w:rPr>
                <w:b/>
                <w:bCs/>
              </w:rPr>
              <w:t>MCL 388.1295</w:t>
            </w:r>
            <w:r>
              <w:t xml:space="preserve"> (operator law)</w:t>
            </w:r>
          </w:p>
        </w:tc>
        <w:tc>
          <w:tcPr>
            <w:tcW w:w="0" w:type="auto"/>
          </w:tcPr>
          <w:p w14:paraId="5B43DF28" w14:textId="77777777" w:rsidR="0090768F" w:rsidRDefault="00000000">
            <w:pPr>
              <w:pStyle w:val="Compact"/>
            </w:pPr>
            <w:r>
              <w:t>no</w:t>
            </w:r>
          </w:p>
        </w:tc>
        <w:tc>
          <w:tcPr>
            <w:tcW w:w="0" w:type="auto"/>
          </w:tcPr>
          <w:p w14:paraId="55D4F405" w14:textId="77777777" w:rsidR="0090768F" w:rsidRDefault="00000000">
            <w:pPr>
              <w:pStyle w:val="Compact"/>
            </w:pPr>
            <w:r>
              <w:t>none</w:t>
            </w:r>
          </w:p>
        </w:tc>
        <w:tc>
          <w:tcPr>
            <w:tcW w:w="0" w:type="auto"/>
          </w:tcPr>
          <w:p w14:paraId="65A252A2" w14:textId="77777777" w:rsidR="0090768F" w:rsidRDefault="00000000">
            <w:pPr>
              <w:pStyle w:val="Compact"/>
            </w:pPr>
            <w:r>
              <w:t>Y (general)</w:t>
            </w:r>
          </w:p>
        </w:tc>
      </w:tr>
      <w:tr w:rsidR="0090768F" w14:paraId="166B36A9" w14:textId="77777777">
        <w:tc>
          <w:tcPr>
            <w:tcW w:w="0" w:type="auto"/>
          </w:tcPr>
          <w:p w14:paraId="4F17CF2A" w14:textId="77777777" w:rsidR="0090768F" w:rsidRDefault="00000000">
            <w:pPr>
              <w:pStyle w:val="Compact"/>
            </w:pPr>
            <w:r>
              <w:t>Minnesota</w:t>
            </w:r>
          </w:p>
        </w:tc>
        <w:tc>
          <w:tcPr>
            <w:tcW w:w="0" w:type="auto"/>
          </w:tcPr>
          <w:p w14:paraId="5F7368A8" w14:textId="77777777" w:rsidR="0090768F" w:rsidRDefault="00000000">
            <w:pPr>
              <w:pStyle w:val="Compact"/>
            </w:pPr>
            <w:r>
              <w:t>Minn. Stat. § 13.32; HF 2353 (2022) provider restrictions</w:t>
            </w:r>
          </w:p>
        </w:tc>
        <w:tc>
          <w:tcPr>
            <w:tcW w:w="0" w:type="auto"/>
          </w:tcPr>
          <w:p w14:paraId="6982CC2C" w14:textId="77777777" w:rsidR="0090768F" w:rsidRDefault="00000000">
            <w:pPr>
              <w:pStyle w:val="Compact"/>
            </w:pPr>
            <w:r>
              <w:t xml:space="preserve">yes — MCDPA, 31 Jul 2025 — </w:t>
            </w:r>
            <w:r>
              <w:rPr>
                <w:b/>
                <w:bCs/>
              </w:rPr>
              <w:t>ADM explanation right</w:t>
            </w:r>
          </w:p>
        </w:tc>
        <w:tc>
          <w:tcPr>
            <w:tcW w:w="0" w:type="auto"/>
          </w:tcPr>
          <w:p w14:paraId="59DF9757" w14:textId="77777777" w:rsidR="0090768F" w:rsidRDefault="00000000">
            <w:pPr>
              <w:pStyle w:val="Compact"/>
            </w:pPr>
            <w:r>
              <w:t>none</w:t>
            </w:r>
          </w:p>
        </w:tc>
        <w:tc>
          <w:tcPr>
            <w:tcW w:w="0" w:type="auto"/>
          </w:tcPr>
          <w:p w14:paraId="71BDB8E6" w14:textId="77777777" w:rsidR="0090768F" w:rsidRDefault="00000000">
            <w:pPr>
              <w:pStyle w:val="Compact"/>
            </w:pPr>
            <w:r>
              <w:t>Y (general)</w:t>
            </w:r>
          </w:p>
        </w:tc>
      </w:tr>
      <w:tr w:rsidR="0090768F" w14:paraId="04BDFE87" w14:textId="77777777">
        <w:tc>
          <w:tcPr>
            <w:tcW w:w="0" w:type="auto"/>
          </w:tcPr>
          <w:p w14:paraId="2A1CA279" w14:textId="77777777" w:rsidR="0090768F" w:rsidRDefault="00000000">
            <w:pPr>
              <w:pStyle w:val="Compact"/>
            </w:pPr>
            <w:r>
              <w:t>Mississippi</w:t>
            </w:r>
          </w:p>
        </w:tc>
        <w:tc>
          <w:tcPr>
            <w:tcW w:w="0" w:type="auto"/>
          </w:tcPr>
          <w:p w14:paraId="2791D4D3" w14:textId="77777777" w:rsidR="0090768F" w:rsidRDefault="00000000">
            <w:pPr>
              <w:pStyle w:val="Compact"/>
            </w:pPr>
            <w:r>
              <w:t>none specific (agg.)</w:t>
            </w:r>
          </w:p>
        </w:tc>
        <w:tc>
          <w:tcPr>
            <w:tcW w:w="0" w:type="auto"/>
          </w:tcPr>
          <w:p w14:paraId="209E6677" w14:textId="77777777" w:rsidR="0090768F" w:rsidRDefault="00000000">
            <w:pPr>
              <w:pStyle w:val="Compact"/>
            </w:pPr>
            <w:r>
              <w:t>no</w:t>
            </w:r>
          </w:p>
        </w:tc>
        <w:tc>
          <w:tcPr>
            <w:tcW w:w="0" w:type="auto"/>
          </w:tcPr>
          <w:p w14:paraId="77CDA577" w14:textId="77777777" w:rsidR="0090768F" w:rsidRDefault="00000000">
            <w:pPr>
              <w:pStyle w:val="Compact"/>
            </w:pPr>
            <w:r>
              <w:t>SB 2294 (CS/AI credit)</w:t>
            </w:r>
          </w:p>
        </w:tc>
        <w:tc>
          <w:tcPr>
            <w:tcW w:w="0" w:type="auto"/>
          </w:tcPr>
          <w:p w14:paraId="2751B5F3" w14:textId="77777777" w:rsidR="0090768F" w:rsidRDefault="00000000">
            <w:pPr>
              <w:pStyle w:val="Compact"/>
            </w:pPr>
            <w:r>
              <w:t>Y (general)</w:t>
            </w:r>
          </w:p>
        </w:tc>
      </w:tr>
      <w:tr w:rsidR="0090768F" w14:paraId="47FDDA95" w14:textId="77777777">
        <w:tc>
          <w:tcPr>
            <w:tcW w:w="0" w:type="auto"/>
          </w:tcPr>
          <w:p w14:paraId="07DA2CF4" w14:textId="77777777" w:rsidR="0090768F" w:rsidRDefault="00000000">
            <w:pPr>
              <w:pStyle w:val="Compact"/>
            </w:pPr>
            <w:r>
              <w:t>Missouri</w:t>
            </w:r>
          </w:p>
        </w:tc>
        <w:tc>
          <w:tcPr>
            <w:tcW w:w="0" w:type="auto"/>
          </w:tcPr>
          <w:p w14:paraId="57FB510D" w14:textId="77777777" w:rsidR="0090768F" w:rsidRDefault="00000000">
            <w:pPr>
              <w:pStyle w:val="Compact"/>
            </w:pPr>
            <w:r>
              <w:t>RSMo § 161.096; HB 1490 (2014)</w:t>
            </w:r>
          </w:p>
        </w:tc>
        <w:tc>
          <w:tcPr>
            <w:tcW w:w="0" w:type="auto"/>
          </w:tcPr>
          <w:p w14:paraId="5F613357" w14:textId="77777777" w:rsidR="0090768F" w:rsidRDefault="00000000">
            <w:pPr>
              <w:pStyle w:val="Compact"/>
            </w:pPr>
            <w:r>
              <w:t>no</w:t>
            </w:r>
          </w:p>
        </w:tc>
        <w:tc>
          <w:tcPr>
            <w:tcW w:w="0" w:type="auto"/>
          </w:tcPr>
          <w:p w14:paraId="2EFB85B8" w14:textId="77777777" w:rsidR="0090768F" w:rsidRDefault="00000000">
            <w:pPr>
              <w:pStyle w:val="Compact"/>
            </w:pPr>
            <w:r>
              <w:t>none</w:t>
            </w:r>
          </w:p>
        </w:tc>
        <w:tc>
          <w:tcPr>
            <w:tcW w:w="0" w:type="auto"/>
          </w:tcPr>
          <w:p w14:paraId="0245BA04" w14:textId="77777777" w:rsidR="0090768F" w:rsidRDefault="00000000">
            <w:pPr>
              <w:pStyle w:val="Compact"/>
            </w:pPr>
            <w:r>
              <w:t>Y (general)</w:t>
            </w:r>
          </w:p>
        </w:tc>
      </w:tr>
      <w:tr w:rsidR="0090768F" w14:paraId="092C8B4C" w14:textId="77777777">
        <w:tc>
          <w:tcPr>
            <w:tcW w:w="0" w:type="auto"/>
          </w:tcPr>
          <w:p w14:paraId="70B769A2" w14:textId="77777777" w:rsidR="0090768F" w:rsidRDefault="00000000">
            <w:pPr>
              <w:pStyle w:val="Compact"/>
            </w:pPr>
            <w:r>
              <w:t>Montana</w:t>
            </w:r>
          </w:p>
        </w:tc>
        <w:tc>
          <w:tcPr>
            <w:tcW w:w="0" w:type="auto"/>
          </w:tcPr>
          <w:p w14:paraId="475C6516" w14:textId="77777777" w:rsidR="0090768F" w:rsidRDefault="00000000">
            <w:pPr>
              <w:pStyle w:val="Compact"/>
            </w:pPr>
            <w:r>
              <w:t>Pupil Online Personal Information Protection Act, MCA §§ 20-7-1323–1326</w:t>
            </w:r>
          </w:p>
        </w:tc>
        <w:tc>
          <w:tcPr>
            <w:tcW w:w="0" w:type="auto"/>
          </w:tcPr>
          <w:p w14:paraId="3E9ED2EF" w14:textId="77777777" w:rsidR="0090768F" w:rsidRDefault="00000000">
            <w:pPr>
              <w:pStyle w:val="Compact"/>
            </w:pPr>
            <w:r>
              <w:t>yes — MCDPA, 1 Oct 2024</w:t>
            </w:r>
          </w:p>
        </w:tc>
        <w:tc>
          <w:tcPr>
            <w:tcW w:w="0" w:type="auto"/>
          </w:tcPr>
          <w:p w14:paraId="6E0F01C6" w14:textId="77777777" w:rsidR="0090768F" w:rsidRDefault="00000000">
            <w:pPr>
              <w:pStyle w:val="Compact"/>
            </w:pPr>
            <w:r>
              <w:t>none</w:t>
            </w:r>
          </w:p>
        </w:tc>
        <w:tc>
          <w:tcPr>
            <w:tcW w:w="0" w:type="auto"/>
          </w:tcPr>
          <w:p w14:paraId="50C3F8CC" w14:textId="77777777" w:rsidR="0090768F" w:rsidRDefault="00000000">
            <w:pPr>
              <w:pStyle w:val="Compact"/>
            </w:pPr>
            <w:r>
              <w:t>Y (general)</w:t>
            </w:r>
          </w:p>
        </w:tc>
      </w:tr>
      <w:tr w:rsidR="0090768F" w14:paraId="0B91EA1E" w14:textId="77777777">
        <w:tc>
          <w:tcPr>
            <w:tcW w:w="0" w:type="auto"/>
          </w:tcPr>
          <w:p w14:paraId="0CE88647" w14:textId="77777777" w:rsidR="0090768F" w:rsidRDefault="00000000">
            <w:pPr>
              <w:pStyle w:val="Compact"/>
            </w:pPr>
            <w:r>
              <w:t>Nebraska</w:t>
            </w:r>
          </w:p>
        </w:tc>
        <w:tc>
          <w:tcPr>
            <w:tcW w:w="0" w:type="auto"/>
          </w:tcPr>
          <w:p w14:paraId="4F7416F3" w14:textId="77777777" w:rsidR="0090768F" w:rsidRDefault="00000000">
            <w:pPr>
              <w:pStyle w:val="Compact"/>
            </w:pPr>
            <w:r>
              <w:t>Neb. Rev. Stat. § 79-2,104; Student Online Personal Protection Act (LB 512)</w:t>
            </w:r>
          </w:p>
        </w:tc>
        <w:tc>
          <w:tcPr>
            <w:tcW w:w="0" w:type="auto"/>
          </w:tcPr>
          <w:p w14:paraId="33A15B38" w14:textId="77777777" w:rsidR="0090768F" w:rsidRDefault="00000000">
            <w:pPr>
              <w:pStyle w:val="Compact"/>
            </w:pPr>
            <w:r>
              <w:t>yes — NDPA, 1 Jan 2025; Age-Appropriate Design Code eff. 1 Jan 2026</w:t>
            </w:r>
          </w:p>
        </w:tc>
        <w:tc>
          <w:tcPr>
            <w:tcW w:w="0" w:type="auto"/>
          </w:tcPr>
          <w:p w14:paraId="50353F3F" w14:textId="77777777" w:rsidR="0090768F" w:rsidRDefault="00000000">
            <w:pPr>
              <w:pStyle w:val="Compact"/>
            </w:pPr>
            <w:r>
              <w:t>none</w:t>
            </w:r>
          </w:p>
        </w:tc>
        <w:tc>
          <w:tcPr>
            <w:tcW w:w="0" w:type="auto"/>
          </w:tcPr>
          <w:p w14:paraId="25C82DCD" w14:textId="77777777" w:rsidR="0090768F" w:rsidRDefault="00000000">
            <w:pPr>
              <w:pStyle w:val="Compact"/>
            </w:pPr>
            <w:r>
              <w:t>N</w:t>
            </w:r>
          </w:p>
        </w:tc>
      </w:tr>
      <w:tr w:rsidR="0090768F" w14:paraId="2ED450DE" w14:textId="77777777">
        <w:tc>
          <w:tcPr>
            <w:tcW w:w="0" w:type="auto"/>
          </w:tcPr>
          <w:p w14:paraId="77CF2FCD" w14:textId="77777777" w:rsidR="0090768F" w:rsidRDefault="00000000">
            <w:pPr>
              <w:pStyle w:val="Compact"/>
            </w:pPr>
            <w:r>
              <w:t>Nevada</w:t>
            </w:r>
          </w:p>
        </w:tc>
        <w:tc>
          <w:tcPr>
            <w:tcW w:w="0" w:type="auto"/>
          </w:tcPr>
          <w:p w14:paraId="6269C06F" w14:textId="77777777" w:rsidR="0090768F" w:rsidRDefault="00000000">
            <w:pPr>
              <w:pStyle w:val="Compact"/>
            </w:pPr>
            <w:r>
              <w:t>NRS §§ 388.281–388.295</w:t>
            </w:r>
          </w:p>
        </w:tc>
        <w:tc>
          <w:tcPr>
            <w:tcW w:w="0" w:type="auto"/>
          </w:tcPr>
          <w:p w14:paraId="0E0850FF" w14:textId="77777777" w:rsidR="0090768F" w:rsidRDefault="00000000">
            <w:pPr>
              <w:pStyle w:val="Compact"/>
            </w:pPr>
            <w:r>
              <w:t>no</w:t>
            </w:r>
          </w:p>
        </w:tc>
        <w:tc>
          <w:tcPr>
            <w:tcW w:w="0" w:type="auto"/>
          </w:tcPr>
          <w:p w14:paraId="701804F9" w14:textId="77777777" w:rsidR="0090768F" w:rsidRDefault="00000000">
            <w:pPr>
              <w:pStyle w:val="Compact"/>
            </w:pPr>
            <w:r>
              <w:t>none</w:t>
            </w:r>
          </w:p>
        </w:tc>
        <w:tc>
          <w:tcPr>
            <w:tcW w:w="0" w:type="auto"/>
          </w:tcPr>
          <w:p w14:paraId="6483C974" w14:textId="77777777" w:rsidR="0090768F" w:rsidRDefault="00000000">
            <w:pPr>
              <w:pStyle w:val="Compact"/>
            </w:pPr>
            <w:r>
              <w:t>Y (general)</w:t>
            </w:r>
          </w:p>
        </w:tc>
      </w:tr>
      <w:tr w:rsidR="0090768F" w14:paraId="6A61E9CC" w14:textId="77777777">
        <w:tc>
          <w:tcPr>
            <w:tcW w:w="0" w:type="auto"/>
          </w:tcPr>
          <w:p w14:paraId="222F1371" w14:textId="77777777" w:rsidR="0090768F" w:rsidRDefault="00000000">
            <w:pPr>
              <w:pStyle w:val="Compact"/>
            </w:pPr>
            <w:r>
              <w:t>New Hampshire</w:t>
            </w:r>
          </w:p>
        </w:tc>
        <w:tc>
          <w:tcPr>
            <w:tcW w:w="0" w:type="auto"/>
          </w:tcPr>
          <w:p w14:paraId="030991C6" w14:textId="77777777" w:rsidR="0090768F" w:rsidRDefault="00000000">
            <w:pPr>
              <w:pStyle w:val="Compact"/>
            </w:pPr>
            <w:r>
              <w:t xml:space="preserve">RSA 189:65–189:68; </w:t>
            </w:r>
            <w:r>
              <w:rPr>
                <w:b/>
                <w:bCs/>
              </w:rPr>
              <w:t>RSA 189:68-a</w:t>
            </w:r>
          </w:p>
        </w:tc>
        <w:tc>
          <w:tcPr>
            <w:tcW w:w="0" w:type="auto"/>
          </w:tcPr>
          <w:p w14:paraId="212A037E" w14:textId="77777777" w:rsidR="0090768F" w:rsidRDefault="00000000">
            <w:pPr>
              <w:pStyle w:val="Compact"/>
            </w:pPr>
            <w:r>
              <w:t>yes — NHDPA, 1 Jan 2025</w:t>
            </w:r>
          </w:p>
        </w:tc>
        <w:tc>
          <w:tcPr>
            <w:tcW w:w="0" w:type="auto"/>
          </w:tcPr>
          <w:p w14:paraId="63D4B2D8" w14:textId="77777777" w:rsidR="0090768F" w:rsidRDefault="00000000">
            <w:pPr>
              <w:pStyle w:val="Compact"/>
            </w:pPr>
            <w:r>
              <w:t>none</w:t>
            </w:r>
          </w:p>
        </w:tc>
        <w:tc>
          <w:tcPr>
            <w:tcW w:w="0" w:type="auto"/>
          </w:tcPr>
          <w:p w14:paraId="71DDF08B" w14:textId="77777777" w:rsidR="0090768F" w:rsidRDefault="00000000">
            <w:pPr>
              <w:pStyle w:val="Compact"/>
            </w:pPr>
            <w:r>
              <w:t>N</w:t>
            </w:r>
          </w:p>
        </w:tc>
      </w:tr>
      <w:tr w:rsidR="0090768F" w14:paraId="2E1C7647" w14:textId="77777777">
        <w:tc>
          <w:tcPr>
            <w:tcW w:w="0" w:type="auto"/>
          </w:tcPr>
          <w:p w14:paraId="49532720" w14:textId="77777777" w:rsidR="0090768F" w:rsidRDefault="00000000">
            <w:pPr>
              <w:pStyle w:val="Compact"/>
            </w:pPr>
            <w:r>
              <w:t>New Jersey</w:t>
            </w:r>
          </w:p>
        </w:tc>
        <w:tc>
          <w:tcPr>
            <w:tcW w:w="0" w:type="auto"/>
          </w:tcPr>
          <w:p w14:paraId="1610E5AC" w14:textId="77777777" w:rsidR="0090768F" w:rsidRDefault="00000000">
            <w:pPr>
              <w:pStyle w:val="Compact"/>
            </w:pPr>
            <w:r>
              <w:t>P.L. 2019, c.494 (A4978) — sale of student records prohibited</w:t>
            </w:r>
          </w:p>
        </w:tc>
        <w:tc>
          <w:tcPr>
            <w:tcW w:w="0" w:type="auto"/>
          </w:tcPr>
          <w:p w14:paraId="2147B24E" w14:textId="77777777" w:rsidR="0090768F" w:rsidRDefault="00000000">
            <w:pPr>
              <w:pStyle w:val="Compact"/>
            </w:pPr>
            <w:r>
              <w:t xml:space="preserve">yes — NJDPA, 15 Jan 2025 — </w:t>
            </w:r>
            <w:r>
              <w:rPr>
                <w:b/>
                <w:bCs/>
              </w:rPr>
              <w:t>no data-level FERPA exemption; no nonprofit exemption</w:t>
            </w:r>
          </w:p>
        </w:tc>
        <w:tc>
          <w:tcPr>
            <w:tcW w:w="0" w:type="auto"/>
          </w:tcPr>
          <w:p w14:paraId="5690245D" w14:textId="77777777" w:rsidR="0090768F" w:rsidRDefault="00000000">
            <w:pPr>
              <w:pStyle w:val="Compact"/>
            </w:pPr>
            <w:r>
              <w:t>none</w:t>
            </w:r>
          </w:p>
        </w:tc>
        <w:tc>
          <w:tcPr>
            <w:tcW w:w="0" w:type="auto"/>
          </w:tcPr>
          <w:p w14:paraId="72CFEF4E" w14:textId="77777777" w:rsidR="0090768F" w:rsidRDefault="00000000">
            <w:pPr>
              <w:pStyle w:val="Compact"/>
            </w:pPr>
            <w:r>
              <w:t>N per tracker (conflicting reports — flagged)</w:t>
            </w:r>
          </w:p>
        </w:tc>
      </w:tr>
      <w:tr w:rsidR="0090768F" w14:paraId="1DA1AB33" w14:textId="77777777">
        <w:tc>
          <w:tcPr>
            <w:tcW w:w="0" w:type="auto"/>
          </w:tcPr>
          <w:p w14:paraId="14F24DD9" w14:textId="77777777" w:rsidR="0090768F" w:rsidRDefault="00000000">
            <w:pPr>
              <w:pStyle w:val="Compact"/>
            </w:pPr>
            <w:r>
              <w:t>New Mexico</w:t>
            </w:r>
          </w:p>
        </w:tc>
        <w:tc>
          <w:tcPr>
            <w:tcW w:w="0" w:type="auto"/>
          </w:tcPr>
          <w:p w14:paraId="2EA13F52" w14:textId="77777777" w:rsidR="0090768F" w:rsidRDefault="00000000">
            <w:pPr>
              <w:pStyle w:val="Compact"/>
            </w:pPr>
            <w:r>
              <w:t>none specific (agg.)</w:t>
            </w:r>
          </w:p>
        </w:tc>
        <w:tc>
          <w:tcPr>
            <w:tcW w:w="0" w:type="auto"/>
          </w:tcPr>
          <w:p w14:paraId="7B06FD2F" w14:textId="77777777" w:rsidR="0090768F" w:rsidRDefault="00000000">
            <w:pPr>
              <w:pStyle w:val="Compact"/>
            </w:pPr>
            <w:r>
              <w:t>no</w:t>
            </w:r>
          </w:p>
        </w:tc>
        <w:tc>
          <w:tcPr>
            <w:tcW w:w="0" w:type="auto"/>
          </w:tcPr>
          <w:p w14:paraId="562BF074" w14:textId="77777777" w:rsidR="0090768F" w:rsidRDefault="00000000">
            <w:pPr>
              <w:pStyle w:val="Compact"/>
            </w:pPr>
            <w:r>
              <w:t>none</w:t>
            </w:r>
          </w:p>
        </w:tc>
        <w:tc>
          <w:tcPr>
            <w:tcW w:w="0" w:type="auto"/>
          </w:tcPr>
          <w:p w14:paraId="6EB4800F" w14:textId="77777777" w:rsidR="0090768F" w:rsidRDefault="00000000">
            <w:pPr>
              <w:pStyle w:val="Compact"/>
            </w:pPr>
            <w:r>
              <w:t>Y (general)</w:t>
            </w:r>
          </w:p>
        </w:tc>
      </w:tr>
      <w:tr w:rsidR="0090768F" w14:paraId="71C50B33" w14:textId="77777777">
        <w:tc>
          <w:tcPr>
            <w:tcW w:w="0" w:type="auto"/>
          </w:tcPr>
          <w:p w14:paraId="5E317ECB" w14:textId="77777777" w:rsidR="0090768F" w:rsidRDefault="00000000">
            <w:pPr>
              <w:pStyle w:val="Compact"/>
            </w:pPr>
            <w:r>
              <w:lastRenderedPageBreak/>
              <w:t>New York</w:t>
            </w:r>
          </w:p>
        </w:tc>
        <w:tc>
          <w:tcPr>
            <w:tcW w:w="0" w:type="auto"/>
          </w:tcPr>
          <w:p w14:paraId="2BDA2596" w14:textId="77777777" w:rsidR="0090768F" w:rsidRDefault="00000000">
            <w:pPr>
              <w:pStyle w:val="Compact"/>
            </w:pPr>
            <w:r>
              <w:rPr>
                <w:b/>
                <w:bCs/>
              </w:rPr>
              <w:t>Education Law § 2-d + 8 NYCRR Part 121 — strictest in the country (§11.3)</w:t>
            </w:r>
          </w:p>
        </w:tc>
        <w:tc>
          <w:tcPr>
            <w:tcW w:w="0" w:type="auto"/>
          </w:tcPr>
          <w:p w14:paraId="6AE0BE49" w14:textId="77777777" w:rsidR="0090768F" w:rsidRDefault="00000000">
            <w:pPr>
              <w:pStyle w:val="Compact"/>
            </w:pPr>
            <w:r>
              <w:t>no</w:t>
            </w:r>
          </w:p>
        </w:tc>
        <w:tc>
          <w:tcPr>
            <w:tcW w:w="0" w:type="auto"/>
          </w:tcPr>
          <w:p w14:paraId="4AF0EBB5" w14:textId="77777777" w:rsidR="0090768F" w:rsidRDefault="00000000">
            <w:pPr>
              <w:pStyle w:val="Compact"/>
            </w:pPr>
            <w:r>
              <w:t>RAISE Act (frontier models — inapplicable)</w:t>
            </w:r>
          </w:p>
        </w:tc>
        <w:tc>
          <w:tcPr>
            <w:tcW w:w="0" w:type="auto"/>
          </w:tcPr>
          <w:p w14:paraId="178F5BE4" w14:textId="77777777" w:rsidR="0090768F" w:rsidRDefault="00000000">
            <w:pPr>
              <w:pStyle w:val="Compact"/>
            </w:pPr>
            <w:r>
              <w:t>N statewide (NYC DOE has its own)</w:t>
            </w:r>
          </w:p>
        </w:tc>
      </w:tr>
      <w:tr w:rsidR="0090768F" w14:paraId="165BE9DD" w14:textId="77777777">
        <w:tc>
          <w:tcPr>
            <w:tcW w:w="0" w:type="auto"/>
          </w:tcPr>
          <w:p w14:paraId="2F4B8768" w14:textId="77777777" w:rsidR="0090768F" w:rsidRDefault="00000000">
            <w:pPr>
              <w:pStyle w:val="Compact"/>
            </w:pPr>
            <w:r>
              <w:t>North Carolina</w:t>
            </w:r>
          </w:p>
        </w:tc>
        <w:tc>
          <w:tcPr>
            <w:tcW w:w="0" w:type="auto"/>
          </w:tcPr>
          <w:p w14:paraId="7F967F90" w14:textId="77777777" w:rsidR="0090768F" w:rsidRDefault="00000000">
            <w:pPr>
              <w:pStyle w:val="Compact"/>
            </w:pPr>
            <w:r>
              <w:t>G.S. § 115C-401.2</w:t>
            </w:r>
          </w:p>
        </w:tc>
        <w:tc>
          <w:tcPr>
            <w:tcW w:w="0" w:type="auto"/>
          </w:tcPr>
          <w:p w14:paraId="4BA8AEE6" w14:textId="77777777" w:rsidR="0090768F" w:rsidRDefault="00000000">
            <w:pPr>
              <w:pStyle w:val="Compact"/>
            </w:pPr>
            <w:r>
              <w:t>no</w:t>
            </w:r>
          </w:p>
        </w:tc>
        <w:tc>
          <w:tcPr>
            <w:tcW w:w="0" w:type="auto"/>
          </w:tcPr>
          <w:p w14:paraId="214A8380" w14:textId="77777777" w:rsidR="0090768F" w:rsidRDefault="00000000">
            <w:pPr>
              <w:pStyle w:val="Compact"/>
            </w:pPr>
            <w:r>
              <w:rPr>
                <w:b/>
                <w:bCs/>
              </w:rPr>
              <w:t>state model AI policy due 31 Dec 2026; district policies 30 Jun 2027</w:t>
            </w:r>
          </w:p>
        </w:tc>
        <w:tc>
          <w:tcPr>
            <w:tcW w:w="0" w:type="auto"/>
          </w:tcPr>
          <w:p w14:paraId="42A38617" w14:textId="77777777" w:rsidR="0090768F" w:rsidRDefault="00000000">
            <w:pPr>
              <w:pStyle w:val="Compact"/>
            </w:pPr>
            <w:r>
              <w:t>Y — maintain educator judgment and oversight</w:t>
            </w:r>
          </w:p>
        </w:tc>
      </w:tr>
      <w:tr w:rsidR="0090768F" w14:paraId="1A657576" w14:textId="77777777">
        <w:tc>
          <w:tcPr>
            <w:tcW w:w="0" w:type="auto"/>
          </w:tcPr>
          <w:p w14:paraId="5F277E07" w14:textId="77777777" w:rsidR="0090768F" w:rsidRDefault="00000000">
            <w:pPr>
              <w:pStyle w:val="Compact"/>
            </w:pPr>
            <w:r>
              <w:t>North Dakota</w:t>
            </w:r>
          </w:p>
        </w:tc>
        <w:tc>
          <w:tcPr>
            <w:tcW w:w="0" w:type="auto"/>
          </w:tcPr>
          <w:p w14:paraId="091ABBF9" w14:textId="77777777" w:rsidR="0090768F" w:rsidRDefault="00000000">
            <w:pPr>
              <w:pStyle w:val="Compact"/>
            </w:pPr>
            <w:r>
              <w:t>NDCC § 15.1-07-25.3 (agg.)</w:t>
            </w:r>
          </w:p>
        </w:tc>
        <w:tc>
          <w:tcPr>
            <w:tcW w:w="0" w:type="auto"/>
          </w:tcPr>
          <w:p w14:paraId="61A9E25F" w14:textId="77777777" w:rsidR="0090768F" w:rsidRDefault="00000000">
            <w:pPr>
              <w:pStyle w:val="Compact"/>
            </w:pPr>
            <w:r>
              <w:t>no</w:t>
            </w:r>
          </w:p>
        </w:tc>
        <w:tc>
          <w:tcPr>
            <w:tcW w:w="0" w:type="auto"/>
          </w:tcPr>
          <w:p w14:paraId="4D5E4914" w14:textId="77777777" w:rsidR="0090768F" w:rsidRDefault="00000000">
            <w:pPr>
              <w:pStyle w:val="Compact"/>
            </w:pPr>
            <w:r>
              <w:t>none</w:t>
            </w:r>
          </w:p>
        </w:tc>
        <w:tc>
          <w:tcPr>
            <w:tcW w:w="0" w:type="auto"/>
          </w:tcPr>
          <w:p w14:paraId="352653B1" w14:textId="77777777" w:rsidR="0090768F" w:rsidRDefault="00000000">
            <w:pPr>
              <w:pStyle w:val="Compact"/>
            </w:pPr>
            <w:r>
              <w:t>Y (general)</w:t>
            </w:r>
          </w:p>
        </w:tc>
      </w:tr>
      <w:tr w:rsidR="0090768F" w14:paraId="2C1D5650" w14:textId="77777777">
        <w:tc>
          <w:tcPr>
            <w:tcW w:w="0" w:type="auto"/>
          </w:tcPr>
          <w:p w14:paraId="4157E045" w14:textId="77777777" w:rsidR="0090768F" w:rsidRDefault="00000000">
            <w:pPr>
              <w:pStyle w:val="Compact"/>
            </w:pPr>
            <w:r>
              <w:t>Ohio</w:t>
            </w:r>
          </w:p>
        </w:tc>
        <w:tc>
          <w:tcPr>
            <w:tcW w:w="0" w:type="auto"/>
          </w:tcPr>
          <w:p w14:paraId="63439DF1" w14:textId="77777777" w:rsidR="0090768F" w:rsidRDefault="00000000">
            <w:pPr>
              <w:pStyle w:val="Compact"/>
            </w:pPr>
            <w:r>
              <w:rPr>
                <w:b/>
                <w:bCs/>
              </w:rPr>
              <w:t>SB 29 (eff. Oct 2024)</w:t>
            </w:r>
            <w:r>
              <w:t xml:space="preserve"> — 90-day deletion; </w:t>
            </w:r>
            <w:r>
              <w:rPr>
                <w:b/>
                <w:bCs/>
              </w:rPr>
              <w:t>72-hour parent breach notice</w:t>
            </w:r>
            <w:r>
              <w:t>; monitoring ban</w:t>
            </w:r>
          </w:p>
        </w:tc>
        <w:tc>
          <w:tcPr>
            <w:tcW w:w="0" w:type="auto"/>
          </w:tcPr>
          <w:p w14:paraId="340F0F74" w14:textId="77777777" w:rsidR="0090768F" w:rsidRDefault="00000000">
            <w:pPr>
              <w:pStyle w:val="Compact"/>
            </w:pPr>
            <w:r>
              <w:t>no</w:t>
            </w:r>
          </w:p>
        </w:tc>
        <w:tc>
          <w:tcPr>
            <w:tcW w:w="0" w:type="auto"/>
          </w:tcPr>
          <w:p w14:paraId="40D09401" w14:textId="77777777" w:rsidR="0090768F" w:rsidRDefault="00000000">
            <w:pPr>
              <w:pStyle w:val="Compact"/>
            </w:pPr>
            <w:r>
              <w:rPr>
                <w:b/>
                <w:bCs/>
              </w:rPr>
              <w:t>ORC § 3301.24(B)</w:t>
            </w:r>
            <w:r>
              <w:t xml:space="preserve"> — every district must adopt an AI policy by </w:t>
            </w:r>
            <w:r>
              <w:rPr>
                <w:b/>
                <w:bCs/>
              </w:rPr>
              <w:t>1 Jul 2026</w:t>
            </w:r>
          </w:p>
        </w:tc>
        <w:tc>
          <w:tcPr>
            <w:tcW w:w="0" w:type="auto"/>
          </w:tcPr>
          <w:p w14:paraId="1CCAD36A" w14:textId="77777777" w:rsidR="0090768F" w:rsidRDefault="00000000">
            <w:pPr>
              <w:pStyle w:val="Compact"/>
            </w:pPr>
            <w:r>
              <w:t>Y — state model AI policy published</w:t>
            </w:r>
          </w:p>
        </w:tc>
      </w:tr>
      <w:tr w:rsidR="0090768F" w14:paraId="3FDE8102" w14:textId="77777777">
        <w:tc>
          <w:tcPr>
            <w:tcW w:w="0" w:type="auto"/>
          </w:tcPr>
          <w:p w14:paraId="7C84F581" w14:textId="77777777" w:rsidR="0090768F" w:rsidRDefault="00000000">
            <w:pPr>
              <w:pStyle w:val="Compact"/>
            </w:pPr>
            <w:r>
              <w:t>Oklahoma</w:t>
            </w:r>
          </w:p>
        </w:tc>
        <w:tc>
          <w:tcPr>
            <w:tcW w:w="0" w:type="auto"/>
          </w:tcPr>
          <w:p w14:paraId="13CB49C8" w14:textId="77777777" w:rsidR="0090768F" w:rsidRDefault="00000000">
            <w:pPr>
              <w:pStyle w:val="Compact"/>
            </w:pPr>
            <w:r>
              <w:t>70 O.S. § 3-168</w:t>
            </w:r>
          </w:p>
        </w:tc>
        <w:tc>
          <w:tcPr>
            <w:tcW w:w="0" w:type="auto"/>
          </w:tcPr>
          <w:p w14:paraId="78DA3121" w14:textId="77777777" w:rsidR="0090768F" w:rsidRDefault="00000000">
            <w:pPr>
              <w:pStyle w:val="Compact"/>
            </w:pPr>
            <w:r>
              <w:t>no (enacted; eff. 1 Jan 2027)</w:t>
            </w:r>
          </w:p>
        </w:tc>
        <w:tc>
          <w:tcPr>
            <w:tcW w:w="0" w:type="auto"/>
          </w:tcPr>
          <w:p w14:paraId="659BB705" w14:textId="77777777" w:rsidR="0090768F" w:rsidRDefault="00000000">
            <w:pPr>
              <w:pStyle w:val="Compact"/>
            </w:pPr>
            <w:r>
              <w:rPr>
                <w:b/>
                <w:bCs/>
              </w:rPr>
              <w:t>SB 1734, Responsible Technology in Schools Act — eff. 1 Jul 2026 (§11.6)</w:t>
            </w:r>
          </w:p>
        </w:tc>
        <w:tc>
          <w:tcPr>
            <w:tcW w:w="0" w:type="auto"/>
          </w:tcPr>
          <w:p w14:paraId="21C93AB9" w14:textId="77777777" w:rsidR="0090768F" w:rsidRDefault="00000000">
            <w:pPr>
              <w:pStyle w:val="Compact"/>
            </w:pPr>
            <w:r>
              <w:t>Y (general)</w:t>
            </w:r>
          </w:p>
        </w:tc>
      </w:tr>
      <w:tr w:rsidR="0090768F" w14:paraId="5BEF9BDD" w14:textId="77777777">
        <w:tc>
          <w:tcPr>
            <w:tcW w:w="0" w:type="auto"/>
          </w:tcPr>
          <w:p w14:paraId="5607ED3C" w14:textId="77777777" w:rsidR="0090768F" w:rsidRDefault="00000000">
            <w:pPr>
              <w:pStyle w:val="Compact"/>
            </w:pPr>
            <w:r>
              <w:t>Oregon</w:t>
            </w:r>
          </w:p>
        </w:tc>
        <w:tc>
          <w:tcPr>
            <w:tcW w:w="0" w:type="auto"/>
          </w:tcPr>
          <w:p w14:paraId="092509E4" w14:textId="77777777" w:rsidR="0090768F" w:rsidRDefault="00000000">
            <w:pPr>
              <w:pStyle w:val="Compact"/>
            </w:pPr>
            <w:r>
              <w:t>Oregon Student Information Protection Act (SB 187, 2015)</w:t>
            </w:r>
          </w:p>
        </w:tc>
        <w:tc>
          <w:tcPr>
            <w:tcW w:w="0" w:type="auto"/>
          </w:tcPr>
          <w:p w14:paraId="6CF9234D" w14:textId="77777777" w:rsidR="0090768F" w:rsidRDefault="00000000">
            <w:pPr>
              <w:pStyle w:val="Compact"/>
            </w:pPr>
            <w:r>
              <w:t>yes — OCPA, 1 Jul 2024; HB 2008 (under-16 sale ban) 1 Jan 2026</w:t>
            </w:r>
          </w:p>
        </w:tc>
        <w:tc>
          <w:tcPr>
            <w:tcW w:w="0" w:type="auto"/>
          </w:tcPr>
          <w:p w14:paraId="2CCC3902" w14:textId="77777777" w:rsidR="0090768F" w:rsidRDefault="00000000">
            <w:pPr>
              <w:pStyle w:val="Compact"/>
            </w:pPr>
            <w:r>
              <w:t>SB 1546 (companion chatbots — inapplicable)</w:t>
            </w:r>
          </w:p>
        </w:tc>
        <w:tc>
          <w:tcPr>
            <w:tcW w:w="0" w:type="auto"/>
          </w:tcPr>
          <w:p w14:paraId="31B3DB44" w14:textId="77777777" w:rsidR="0090768F" w:rsidRDefault="00000000">
            <w:pPr>
              <w:pStyle w:val="Compact"/>
            </w:pPr>
            <w:r>
              <w:t>Y (general)</w:t>
            </w:r>
          </w:p>
        </w:tc>
      </w:tr>
      <w:tr w:rsidR="0090768F" w14:paraId="43B43B9C" w14:textId="77777777">
        <w:tc>
          <w:tcPr>
            <w:tcW w:w="0" w:type="auto"/>
          </w:tcPr>
          <w:p w14:paraId="123B5729" w14:textId="77777777" w:rsidR="0090768F" w:rsidRDefault="00000000">
            <w:pPr>
              <w:pStyle w:val="Compact"/>
            </w:pPr>
            <w:r>
              <w:t>Pennsylvania</w:t>
            </w:r>
          </w:p>
        </w:tc>
        <w:tc>
          <w:tcPr>
            <w:tcW w:w="0" w:type="auto"/>
          </w:tcPr>
          <w:p w14:paraId="098B8CA0" w14:textId="77777777" w:rsidR="0090768F" w:rsidRDefault="00000000">
            <w:pPr>
              <w:pStyle w:val="Compact"/>
            </w:pPr>
            <w:r>
              <w:t>none specific — breach notification law only (agg.)</w:t>
            </w:r>
          </w:p>
        </w:tc>
        <w:tc>
          <w:tcPr>
            <w:tcW w:w="0" w:type="auto"/>
          </w:tcPr>
          <w:p w14:paraId="499E899A" w14:textId="77777777" w:rsidR="0090768F" w:rsidRDefault="00000000">
            <w:pPr>
              <w:pStyle w:val="Compact"/>
            </w:pPr>
            <w:r>
              <w:t>no</w:t>
            </w:r>
          </w:p>
        </w:tc>
        <w:tc>
          <w:tcPr>
            <w:tcW w:w="0" w:type="auto"/>
          </w:tcPr>
          <w:p w14:paraId="6211AA9E" w14:textId="77777777" w:rsidR="0090768F" w:rsidRDefault="00000000">
            <w:pPr>
              <w:pStyle w:val="Compact"/>
            </w:pPr>
            <w:r>
              <w:t>none</w:t>
            </w:r>
          </w:p>
        </w:tc>
        <w:tc>
          <w:tcPr>
            <w:tcW w:w="0" w:type="auto"/>
          </w:tcPr>
          <w:p w14:paraId="5ACB48C9" w14:textId="77777777" w:rsidR="0090768F" w:rsidRDefault="00000000">
            <w:pPr>
              <w:pStyle w:val="Compact"/>
            </w:pPr>
            <w:r>
              <w:t>N</w:t>
            </w:r>
          </w:p>
        </w:tc>
      </w:tr>
      <w:tr w:rsidR="0090768F" w14:paraId="2FF19547" w14:textId="77777777">
        <w:tc>
          <w:tcPr>
            <w:tcW w:w="0" w:type="auto"/>
          </w:tcPr>
          <w:p w14:paraId="745F9B6C" w14:textId="77777777" w:rsidR="0090768F" w:rsidRDefault="00000000">
            <w:pPr>
              <w:pStyle w:val="Compact"/>
            </w:pPr>
            <w:r>
              <w:t>Rhode Island</w:t>
            </w:r>
          </w:p>
        </w:tc>
        <w:tc>
          <w:tcPr>
            <w:tcW w:w="0" w:type="auto"/>
          </w:tcPr>
          <w:p w14:paraId="12DA7094" w14:textId="77777777" w:rsidR="0090768F" w:rsidRDefault="00000000">
            <w:pPr>
              <w:pStyle w:val="Compact"/>
            </w:pPr>
            <w:r>
              <w:t>R.I. Gen. Laws tit. 16, ch. 104</w:t>
            </w:r>
          </w:p>
        </w:tc>
        <w:tc>
          <w:tcPr>
            <w:tcW w:w="0" w:type="auto"/>
          </w:tcPr>
          <w:p w14:paraId="611D986F" w14:textId="77777777" w:rsidR="0090768F" w:rsidRDefault="00000000">
            <w:pPr>
              <w:pStyle w:val="Compact"/>
            </w:pPr>
            <w:r>
              <w:t>yes — RIDTPPA, 1 Jan 2026</w:t>
            </w:r>
          </w:p>
        </w:tc>
        <w:tc>
          <w:tcPr>
            <w:tcW w:w="0" w:type="auto"/>
          </w:tcPr>
          <w:p w14:paraId="476DBCC8" w14:textId="77777777" w:rsidR="0090768F" w:rsidRDefault="00000000">
            <w:pPr>
              <w:pStyle w:val="Compact"/>
            </w:pPr>
            <w:r>
              <w:t>none</w:t>
            </w:r>
          </w:p>
        </w:tc>
        <w:tc>
          <w:tcPr>
            <w:tcW w:w="0" w:type="auto"/>
          </w:tcPr>
          <w:p w14:paraId="57F0120E" w14:textId="77777777" w:rsidR="0090768F" w:rsidRDefault="00000000">
            <w:pPr>
              <w:pStyle w:val="Compact"/>
            </w:pPr>
            <w:r>
              <w:t>Y (general)</w:t>
            </w:r>
          </w:p>
        </w:tc>
      </w:tr>
      <w:tr w:rsidR="0090768F" w14:paraId="1461BD97" w14:textId="77777777">
        <w:tc>
          <w:tcPr>
            <w:tcW w:w="0" w:type="auto"/>
          </w:tcPr>
          <w:p w14:paraId="61F897BD" w14:textId="77777777" w:rsidR="0090768F" w:rsidRDefault="00000000">
            <w:pPr>
              <w:pStyle w:val="Compact"/>
            </w:pPr>
            <w:r>
              <w:t>South Carolina</w:t>
            </w:r>
          </w:p>
        </w:tc>
        <w:tc>
          <w:tcPr>
            <w:tcW w:w="0" w:type="auto"/>
          </w:tcPr>
          <w:p w14:paraId="18E20A6D" w14:textId="77777777" w:rsidR="0090768F" w:rsidRDefault="00000000">
            <w:pPr>
              <w:pStyle w:val="Compact"/>
            </w:pPr>
            <w:r>
              <w:t>S.C. Code § 59-1-490 (agg.)</w:t>
            </w:r>
          </w:p>
        </w:tc>
        <w:tc>
          <w:tcPr>
            <w:tcW w:w="0" w:type="auto"/>
          </w:tcPr>
          <w:p w14:paraId="32B6A621" w14:textId="77777777" w:rsidR="0090768F" w:rsidRDefault="00000000">
            <w:pPr>
              <w:pStyle w:val="Compact"/>
            </w:pPr>
            <w:r>
              <w:t>no</w:t>
            </w:r>
          </w:p>
        </w:tc>
        <w:tc>
          <w:tcPr>
            <w:tcW w:w="0" w:type="auto"/>
          </w:tcPr>
          <w:p w14:paraId="2410121D" w14:textId="77777777" w:rsidR="0090768F" w:rsidRDefault="00000000">
            <w:pPr>
              <w:pStyle w:val="Compact"/>
            </w:pPr>
            <w:r>
              <w:rPr>
                <w:b/>
                <w:bCs/>
              </w:rPr>
              <w:t>H.5253 INTRODUCED ONLY — not enacted</w:t>
            </w:r>
          </w:p>
        </w:tc>
        <w:tc>
          <w:tcPr>
            <w:tcW w:w="0" w:type="auto"/>
          </w:tcPr>
          <w:p w14:paraId="17939903" w14:textId="77777777" w:rsidR="0090768F" w:rsidRDefault="00000000">
            <w:pPr>
              <w:pStyle w:val="Compact"/>
            </w:pPr>
            <w:r>
              <w:t>N</w:t>
            </w:r>
          </w:p>
        </w:tc>
      </w:tr>
      <w:tr w:rsidR="0090768F" w14:paraId="0B496D94" w14:textId="77777777">
        <w:tc>
          <w:tcPr>
            <w:tcW w:w="0" w:type="auto"/>
          </w:tcPr>
          <w:p w14:paraId="04B317DC" w14:textId="77777777" w:rsidR="0090768F" w:rsidRDefault="00000000">
            <w:pPr>
              <w:pStyle w:val="Compact"/>
            </w:pPr>
            <w:r>
              <w:t>South Dakota</w:t>
            </w:r>
          </w:p>
        </w:tc>
        <w:tc>
          <w:tcPr>
            <w:tcW w:w="0" w:type="auto"/>
          </w:tcPr>
          <w:p w14:paraId="65A709C4" w14:textId="77777777" w:rsidR="0090768F" w:rsidRDefault="00000000">
            <w:pPr>
              <w:pStyle w:val="Compact"/>
            </w:pPr>
            <w:r>
              <w:t xml:space="preserve">SDCL §§ 13-3-51, </w:t>
            </w:r>
            <w:r>
              <w:lastRenderedPageBreak/>
              <w:t>13-3-51.1 (agg.)</w:t>
            </w:r>
          </w:p>
        </w:tc>
        <w:tc>
          <w:tcPr>
            <w:tcW w:w="0" w:type="auto"/>
          </w:tcPr>
          <w:p w14:paraId="542EA2E8" w14:textId="77777777" w:rsidR="0090768F" w:rsidRDefault="00000000">
            <w:pPr>
              <w:pStyle w:val="Compact"/>
            </w:pPr>
            <w:r>
              <w:lastRenderedPageBreak/>
              <w:t>no</w:t>
            </w:r>
          </w:p>
        </w:tc>
        <w:tc>
          <w:tcPr>
            <w:tcW w:w="0" w:type="auto"/>
          </w:tcPr>
          <w:p w14:paraId="1C2C7E0B" w14:textId="77777777" w:rsidR="0090768F" w:rsidRDefault="00000000">
            <w:pPr>
              <w:pStyle w:val="Compact"/>
            </w:pPr>
            <w:r>
              <w:t>none</w:t>
            </w:r>
          </w:p>
        </w:tc>
        <w:tc>
          <w:tcPr>
            <w:tcW w:w="0" w:type="auto"/>
          </w:tcPr>
          <w:p w14:paraId="71EC24B7" w14:textId="77777777" w:rsidR="0090768F" w:rsidRDefault="00000000">
            <w:pPr>
              <w:pStyle w:val="Compact"/>
            </w:pPr>
            <w:r>
              <w:t>N</w:t>
            </w:r>
          </w:p>
        </w:tc>
      </w:tr>
      <w:tr w:rsidR="0090768F" w14:paraId="33CE61F3" w14:textId="77777777">
        <w:tc>
          <w:tcPr>
            <w:tcW w:w="0" w:type="auto"/>
          </w:tcPr>
          <w:p w14:paraId="1AFD8C3A" w14:textId="77777777" w:rsidR="0090768F" w:rsidRDefault="00000000">
            <w:pPr>
              <w:pStyle w:val="Compact"/>
            </w:pPr>
            <w:r>
              <w:t>Tennessee</w:t>
            </w:r>
          </w:p>
        </w:tc>
        <w:tc>
          <w:tcPr>
            <w:tcW w:w="0" w:type="auto"/>
          </w:tcPr>
          <w:p w14:paraId="0BF94F29" w14:textId="77777777" w:rsidR="0090768F" w:rsidRDefault="00000000">
            <w:pPr>
              <w:pStyle w:val="Compact"/>
            </w:pPr>
            <w:r>
              <w:rPr>
                <w:b/>
                <w:bCs/>
              </w:rPr>
              <w:t>T.C.A. §§ 49-1-701–708</w:t>
            </w:r>
            <w:r>
              <w:t>, incl. § 49-1-708</w:t>
            </w:r>
          </w:p>
        </w:tc>
        <w:tc>
          <w:tcPr>
            <w:tcW w:w="0" w:type="auto"/>
          </w:tcPr>
          <w:p w14:paraId="765E934F" w14:textId="77777777" w:rsidR="0090768F" w:rsidRDefault="00000000">
            <w:pPr>
              <w:pStyle w:val="Compact"/>
            </w:pPr>
            <w:r>
              <w:t>yes — TIPA, 1 Jul 2025</w:t>
            </w:r>
          </w:p>
        </w:tc>
        <w:tc>
          <w:tcPr>
            <w:tcW w:w="0" w:type="auto"/>
          </w:tcPr>
          <w:p w14:paraId="25463F7A" w14:textId="77777777" w:rsidR="0090768F" w:rsidRDefault="00000000">
            <w:pPr>
              <w:pStyle w:val="Compact"/>
            </w:pPr>
            <w:r>
              <w:t>district AI policies and annual reporting (LEA section number unverified)</w:t>
            </w:r>
          </w:p>
        </w:tc>
        <w:tc>
          <w:tcPr>
            <w:tcW w:w="0" w:type="auto"/>
          </w:tcPr>
          <w:p w14:paraId="12FDF5E1" w14:textId="77777777" w:rsidR="0090768F" w:rsidRDefault="00000000">
            <w:pPr>
              <w:pStyle w:val="Compact"/>
            </w:pPr>
            <w:r>
              <w:t>N per tracker — conflicts with the statutory mandate; flagged</w:t>
            </w:r>
          </w:p>
        </w:tc>
      </w:tr>
      <w:tr w:rsidR="0090768F" w14:paraId="21607475" w14:textId="77777777">
        <w:tc>
          <w:tcPr>
            <w:tcW w:w="0" w:type="auto"/>
          </w:tcPr>
          <w:p w14:paraId="0F907D60" w14:textId="77777777" w:rsidR="0090768F" w:rsidRDefault="00000000">
            <w:pPr>
              <w:pStyle w:val="Compact"/>
            </w:pPr>
            <w:r>
              <w:t>Texas</w:t>
            </w:r>
          </w:p>
        </w:tc>
        <w:tc>
          <w:tcPr>
            <w:tcW w:w="0" w:type="auto"/>
          </w:tcPr>
          <w:p w14:paraId="3526740A" w14:textId="77777777" w:rsidR="0090768F" w:rsidRDefault="00000000">
            <w:pPr>
              <w:pStyle w:val="Compact"/>
            </w:pPr>
            <w:r>
              <w:rPr>
                <w:b/>
                <w:bCs/>
              </w:rPr>
              <w:t>Educ. Code ch. 32, Subchapter D, §§ 32.151–32.156</w:t>
            </w:r>
            <w:r>
              <w:t xml:space="preserve"> (not Subch. C); HB 18 (2023)</w:t>
            </w:r>
          </w:p>
        </w:tc>
        <w:tc>
          <w:tcPr>
            <w:tcW w:w="0" w:type="auto"/>
          </w:tcPr>
          <w:p w14:paraId="1F3E64E6" w14:textId="77777777" w:rsidR="0090768F" w:rsidRDefault="00000000">
            <w:pPr>
              <w:pStyle w:val="Compact"/>
            </w:pPr>
            <w:r>
              <w:t>yes — TDPSA, 1 Jul 2024</w:t>
            </w:r>
          </w:p>
        </w:tc>
        <w:tc>
          <w:tcPr>
            <w:tcW w:w="0" w:type="auto"/>
          </w:tcPr>
          <w:p w14:paraId="37B1870C" w14:textId="77777777" w:rsidR="0090768F" w:rsidRDefault="00000000">
            <w:pPr>
              <w:pStyle w:val="Compact"/>
            </w:pPr>
            <w:r>
              <w:rPr>
                <w:b/>
                <w:bCs/>
              </w:rPr>
              <w:t>TRAIGA / HB 149, eff. 1 Jan 2026</w:t>
            </w:r>
            <w:r>
              <w:t xml:space="preserve"> (intent-based discrimination standard); CUBI</w:t>
            </w:r>
          </w:p>
        </w:tc>
        <w:tc>
          <w:tcPr>
            <w:tcW w:w="0" w:type="auto"/>
          </w:tcPr>
          <w:p w14:paraId="3096B9BE" w14:textId="77777777" w:rsidR="0090768F" w:rsidRDefault="00000000">
            <w:pPr>
              <w:pStyle w:val="Compact"/>
            </w:pPr>
            <w:r>
              <w:t>N</w:t>
            </w:r>
          </w:p>
        </w:tc>
      </w:tr>
      <w:tr w:rsidR="0090768F" w14:paraId="76BCDEB6" w14:textId="77777777">
        <w:tc>
          <w:tcPr>
            <w:tcW w:w="0" w:type="auto"/>
          </w:tcPr>
          <w:p w14:paraId="0C607C75" w14:textId="77777777" w:rsidR="0090768F" w:rsidRDefault="00000000">
            <w:pPr>
              <w:pStyle w:val="Compact"/>
            </w:pPr>
            <w:r>
              <w:t>Utah</w:t>
            </w:r>
          </w:p>
        </w:tc>
        <w:tc>
          <w:tcPr>
            <w:tcW w:w="0" w:type="auto"/>
          </w:tcPr>
          <w:p w14:paraId="6C9340B6" w14:textId="77777777" w:rsidR="0090768F" w:rsidRDefault="00000000">
            <w:pPr>
              <w:pStyle w:val="Compact"/>
            </w:pPr>
            <w:r>
              <w:rPr>
                <w:b/>
                <w:bCs/>
              </w:rPr>
              <w:t>Student Data Protection Act, Utah Code §§ 53E-9-301 ff., esp. § 53E-9-309; HB 55 (2026), eff. 1 Jul 2026</w:t>
            </w:r>
          </w:p>
        </w:tc>
        <w:tc>
          <w:tcPr>
            <w:tcW w:w="0" w:type="auto"/>
          </w:tcPr>
          <w:p w14:paraId="68266666" w14:textId="77777777" w:rsidR="0090768F" w:rsidRDefault="00000000">
            <w:pPr>
              <w:pStyle w:val="Compact"/>
            </w:pPr>
            <w:r>
              <w:t>yes — UCPA, 31 Dec 2023; right to correct added 1 Jul 2026</w:t>
            </w:r>
          </w:p>
        </w:tc>
        <w:tc>
          <w:tcPr>
            <w:tcW w:w="0" w:type="auto"/>
          </w:tcPr>
          <w:p w14:paraId="243340A1" w14:textId="77777777" w:rsidR="0090768F" w:rsidRDefault="00000000">
            <w:pPr>
              <w:pStyle w:val="Compact"/>
            </w:pPr>
            <w:r>
              <w:t xml:space="preserve">AI Policy Act (SB 149, as amended); </w:t>
            </w:r>
            <w:r>
              <w:rPr>
                <w:b/>
                <w:bCs/>
              </w:rPr>
              <w:t>HB 273 (2026)</w:t>
            </w:r>
            <w:r>
              <w:t>; HB 218</w:t>
            </w:r>
          </w:p>
        </w:tc>
        <w:tc>
          <w:tcPr>
            <w:tcW w:w="0" w:type="auto"/>
          </w:tcPr>
          <w:p w14:paraId="5D4337B4" w14:textId="77777777" w:rsidR="0090768F" w:rsidRDefault="00000000">
            <w:pPr>
              <w:pStyle w:val="Compact"/>
            </w:pPr>
            <w:r>
              <w:t>Y (general)</w:t>
            </w:r>
          </w:p>
        </w:tc>
      </w:tr>
      <w:tr w:rsidR="0090768F" w14:paraId="2790ECBB" w14:textId="77777777">
        <w:tc>
          <w:tcPr>
            <w:tcW w:w="0" w:type="auto"/>
          </w:tcPr>
          <w:p w14:paraId="46B8E2A7" w14:textId="77777777" w:rsidR="0090768F" w:rsidRDefault="00000000">
            <w:pPr>
              <w:pStyle w:val="Compact"/>
            </w:pPr>
            <w:r>
              <w:t>Vermont</w:t>
            </w:r>
          </w:p>
        </w:tc>
        <w:tc>
          <w:tcPr>
            <w:tcW w:w="0" w:type="auto"/>
          </w:tcPr>
          <w:p w14:paraId="3DDC084B" w14:textId="77777777" w:rsidR="0090768F" w:rsidRDefault="00000000">
            <w:pPr>
              <w:pStyle w:val="Compact"/>
            </w:pPr>
            <w:r>
              <w:t>16 V.S.A. § 2773a (agg.)</w:t>
            </w:r>
          </w:p>
        </w:tc>
        <w:tc>
          <w:tcPr>
            <w:tcW w:w="0" w:type="auto"/>
          </w:tcPr>
          <w:p w14:paraId="3D37071A" w14:textId="77777777" w:rsidR="0090768F" w:rsidRDefault="00000000">
            <w:pPr>
              <w:pStyle w:val="Compact"/>
            </w:pPr>
            <w:r>
              <w:t xml:space="preserve">no — </w:t>
            </w:r>
            <w:r>
              <w:rPr>
                <w:b/>
                <w:bCs/>
              </w:rPr>
              <w:t>VDPOSA (S.71) eff. 1 Jan 2028</w:t>
            </w:r>
          </w:p>
        </w:tc>
        <w:tc>
          <w:tcPr>
            <w:tcW w:w="0" w:type="auto"/>
          </w:tcPr>
          <w:p w14:paraId="031852D5" w14:textId="77777777" w:rsidR="0090768F" w:rsidRDefault="00000000">
            <w:pPr>
              <w:pStyle w:val="Compact"/>
            </w:pPr>
            <w:r>
              <w:t>none</w:t>
            </w:r>
          </w:p>
        </w:tc>
        <w:tc>
          <w:tcPr>
            <w:tcW w:w="0" w:type="auto"/>
          </w:tcPr>
          <w:p w14:paraId="572E5572" w14:textId="77777777" w:rsidR="0090768F" w:rsidRDefault="00000000">
            <w:pPr>
              <w:pStyle w:val="Compact"/>
            </w:pPr>
            <w:r>
              <w:t>Y — educators must review all outputs</w:t>
            </w:r>
          </w:p>
        </w:tc>
      </w:tr>
      <w:tr w:rsidR="0090768F" w14:paraId="3560A591" w14:textId="77777777">
        <w:tc>
          <w:tcPr>
            <w:tcW w:w="0" w:type="auto"/>
          </w:tcPr>
          <w:p w14:paraId="7DD68524" w14:textId="77777777" w:rsidR="0090768F" w:rsidRDefault="00000000">
            <w:pPr>
              <w:pStyle w:val="Compact"/>
            </w:pPr>
            <w:r>
              <w:t>Virginia</w:t>
            </w:r>
          </w:p>
        </w:tc>
        <w:tc>
          <w:tcPr>
            <w:tcW w:w="0" w:type="auto"/>
          </w:tcPr>
          <w:p w14:paraId="29BEB3A9" w14:textId="77777777" w:rsidR="0090768F" w:rsidRDefault="00000000">
            <w:pPr>
              <w:pStyle w:val="Compact"/>
            </w:pPr>
            <w:r>
              <w:rPr>
                <w:b/>
                <w:bCs/>
              </w:rPr>
              <w:t>Va. Code § 22.1-289.01</w:t>
            </w:r>
            <w:r>
              <w:t>; § 22.1-287.02</w:t>
            </w:r>
          </w:p>
        </w:tc>
        <w:tc>
          <w:tcPr>
            <w:tcW w:w="0" w:type="auto"/>
          </w:tcPr>
          <w:p w14:paraId="13FF1E5C" w14:textId="77777777" w:rsidR="0090768F" w:rsidRDefault="00000000">
            <w:pPr>
              <w:pStyle w:val="Compact"/>
            </w:pPr>
            <w:r>
              <w:t>yes — VCDPA, 1 Jan 2023</w:t>
            </w:r>
          </w:p>
        </w:tc>
        <w:tc>
          <w:tcPr>
            <w:tcW w:w="0" w:type="auto"/>
          </w:tcPr>
          <w:p w14:paraId="3D3C593B" w14:textId="77777777" w:rsidR="0090768F" w:rsidRDefault="00000000">
            <w:pPr>
              <w:pStyle w:val="Compact"/>
            </w:pPr>
            <w:r>
              <w:rPr>
                <w:b/>
                <w:bCs/>
              </w:rPr>
              <w:t>HB 1186 (2026), eff. 1 Jul 2026</w:t>
            </w:r>
            <w:r>
              <w:t xml:space="preserve"> — guidance must address FERPA, COPPA, bias, </w:t>
            </w:r>
            <w:r>
              <w:rPr>
                <w:b/>
                <w:bCs/>
              </w:rPr>
              <w:t>high-stakes decisions</w:t>
            </w:r>
          </w:p>
        </w:tc>
        <w:tc>
          <w:tcPr>
            <w:tcW w:w="0" w:type="auto"/>
          </w:tcPr>
          <w:p w14:paraId="4F3813E9" w14:textId="77777777" w:rsidR="0090768F" w:rsidRDefault="00000000">
            <w:pPr>
              <w:pStyle w:val="Compact"/>
            </w:pPr>
            <w:r>
              <w:t>Y (general)</w:t>
            </w:r>
          </w:p>
        </w:tc>
      </w:tr>
      <w:tr w:rsidR="0090768F" w14:paraId="47E3A50B" w14:textId="77777777">
        <w:tc>
          <w:tcPr>
            <w:tcW w:w="0" w:type="auto"/>
          </w:tcPr>
          <w:p w14:paraId="57BC6FEF" w14:textId="77777777" w:rsidR="0090768F" w:rsidRDefault="00000000">
            <w:pPr>
              <w:pStyle w:val="Compact"/>
            </w:pPr>
            <w:r>
              <w:t>Washington</w:t>
            </w:r>
          </w:p>
        </w:tc>
        <w:tc>
          <w:tcPr>
            <w:tcW w:w="0" w:type="auto"/>
          </w:tcPr>
          <w:p w14:paraId="731F0FDE" w14:textId="77777777" w:rsidR="0090768F" w:rsidRDefault="00000000">
            <w:pPr>
              <w:pStyle w:val="Compact"/>
            </w:pPr>
            <w:r>
              <w:rPr>
                <w:b/>
                <w:bCs/>
              </w:rPr>
              <w:t>Student User Privacy in Education Rights Act, RCW ch. 28A.604</w:t>
            </w:r>
          </w:p>
        </w:tc>
        <w:tc>
          <w:tcPr>
            <w:tcW w:w="0" w:type="auto"/>
          </w:tcPr>
          <w:p w14:paraId="09B0B502" w14:textId="77777777" w:rsidR="0090768F" w:rsidRDefault="00000000">
            <w:pPr>
              <w:pStyle w:val="Compact"/>
            </w:pPr>
            <w:r>
              <w:t>no</w:t>
            </w:r>
          </w:p>
        </w:tc>
        <w:tc>
          <w:tcPr>
            <w:tcW w:w="0" w:type="auto"/>
          </w:tcPr>
          <w:p w14:paraId="5B1CBCDB" w14:textId="77777777" w:rsidR="0090768F" w:rsidRDefault="00000000">
            <w:pPr>
              <w:pStyle w:val="Compact"/>
            </w:pPr>
            <w:r>
              <w:t>HB 2225 (companion chatbots — inapplicable)</w:t>
            </w:r>
          </w:p>
        </w:tc>
        <w:tc>
          <w:tcPr>
            <w:tcW w:w="0" w:type="auto"/>
          </w:tcPr>
          <w:p w14:paraId="7886010F" w14:textId="77777777" w:rsidR="0090768F" w:rsidRDefault="00000000">
            <w:pPr>
              <w:pStyle w:val="Compact"/>
            </w:pPr>
            <w:r>
              <w:t>Y — “Human–AI–Human” framing</w:t>
            </w:r>
          </w:p>
        </w:tc>
      </w:tr>
      <w:tr w:rsidR="0090768F" w14:paraId="77035531" w14:textId="77777777">
        <w:tc>
          <w:tcPr>
            <w:tcW w:w="0" w:type="auto"/>
          </w:tcPr>
          <w:p w14:paraId="033F75EF" w14:textId="77777777" w:rsidR="0090768F" w:rsidRDefault="00000000">
            <w:pPr>
              <w:pStyle w:val="Compact"/>
            </w:pPr>
            <w:r>
              <w:t>West Virginia</w:t>
            </w:r>
          </w:p>
        </w:tc>
        <w:tc>
          <w:tcPr>
            <w:tcW w:w="0" w:type="auto"/>
          </w:tcPr>
          <w:p w14:paraId="349C0A9F" w14:textId="77777777" w:rsidR="0090768F" w:rsidRDefault="00000000">
            <w:pPr>
              <w:pStyle w:val="Compact"/>
            </w:pPr>
            <w:r>
              <w:t>W. Va. Code § 18-2-5h</w:t>
            </w:r>
          </w:p>
        </w:tc>
        <w:tc>
          <w:tcPr>
            <w:tcW w:w="0" w:type="auto"/>
          </w:tcPr>
          <w:p w14:paraId="61504377" w14:textId="77777777" w:rsidR="0090768F" w:rsidRDefault="00000000">
            <w:pPr>
              <w:pStyle w:val="Compact"/>
            </w:pPr>
            <w:r>
              <w:t>no</w:t>
            </w:r>
          </w:p>
        </w:tc>
        <w:tc>
          <w:tcPr>
            <w:tcW w:w="0" w:type="auto"/>
          </w:tcPr>
          <w:p w14:paraId="5F390492" w14:textId="77777777" w:rsidR="0090768F" w:rsidRDefault="00000000">
            <w:pPr>
              <w:pStyle w:val="Compact"/>
            </w:pPr>
            <w:r>
              <w:t xml:space="preserve">HB 5205 (2026) — reported to bar AI </w:t>
            </w:r>
            <w:r>
              <w:lastRenderedPageBreak/>
              <w:t xml:space="preserve">“independently making high-stakes student decisions”; </w:t>
            </w:r>
            <w:r>
              <w:rPr>
                <w:b/>
                <w:bCs/>
              </w:rPr>
              <w:t>status unverified</w:t>
            </w:r>
          </w:p>
        </w:tc>
        <w:tc>
          <w:tcPr>
            <w:tcW w:w="0" w:type="auto"/>
          </w:tcPr>
          <w:p w14:paraId="297134CD" w14:textId="77777777" w:rsidR="0090768F" w:rsidRDefault="00000000">
            <w:pPr>
              <w:pStyle w:val="Compact"/>
            </w:pPr>
            <w:r>
              <w:lastRenderedPageBreak/>
              <w:t>Y (general)</w:t>
            </w:r>
          </w:p>
        </w:tc>
      </w:tr>
      <w:tr w:rsidR="0090768F" w14:paraId="5109B1A8" w14:textId="77777777">
        <w:tc>
          <w:tcPr>
            <w:tcW w:w="0" w:type="auto"/>
          </w:tcPr>
          <w:p w14:paraId="55E825E5" w14:textId="77777777" w:rsidR="0090768F" w:rsidRDefault="00000000">
            <w:pPr>
              <w:pStyle w:val="Compact"/>
            </w:pPr>
            <w:r>
              <w:t>Wisconsin</w:t>
            </w:r>
          </w:p>
        </w:tc>
        <w:tc>
          <w:tcPr>
            <w:tcW w:w="0" w:type="auto"/>
          </w:tcPr>
          <w:p w14:paraId="4602AE03" w14:textId="77777777" w:rsidR="0090768F" w:rsidRDefault="00000000">
            <w:pPr>
              <w:pStyle w:val="Compact"/>
            </w:pPr>
            <w:r>
              <w:t>Wis. Stat. § 118.125 (pupil records)</w:t>
            </w:r>
          </w:p>
        </w:tc>
        <w:tc>
          <w:tcPr>
            <w:tcW w:w="0" w:type="auto"/>
          </w:tcPr>
          <w:p w14:paraId="6FDA918A" w14:textId="77777777" w:rsidR="0090768F" w:rsidRDefault="00000000">
            <w:pPr>
              <w:pStyle w:val="Compact"/>
            </w:pPr>
            <w:r>
              <w:t>no</w:t>
            </w:r>
          </w:p>
        </w:tc>
        <w:tc>
          <w:tcPr>
            <w:tcW w:w="0" w:type="auto"/>
          </w:tcPr>
          <w:p w14:paraId="2F0E3CEA" w14:textId="77777777" w:rsidR="0090768F" w:rsidRDefault="00000000">
            <w:pPr>
              <w:pStyle w:val="Compact"/>
            </w:pPr>
            <w:r>
              <w:t>none</w:t>
            </w:r>
          </w:p>
        </w:tc>
        <w:tc>
          <w:tcPr>
            <w:tcW w:w="0" w:type="auto"/>
          </w:tcPr>
          <w:p w14:paraId="5043B87F" w14:textId="77777777" w:rsidR="0090768F" w:rsidRDefault="00000000">
            <w:pPr>
              <w:pStyle w:val="Compact"/>
            </w:pPr>
            <w:r>
              <w:t>Y (general)</w:t>
            </w:r>
          </w:p>
        </w:tc>
      </w:tr>
      <w:tr w:rsidR="0090768F" w14:paraId="6AA30AF5" w14:textId="77777777">
        <w:tc>
          <w:tcPr>
            <w:tcW w:w="0" w:type="auto"/>
          </w:tcPr>
          <w:p w14:paraId="7BF16BD8" w14:textId="77777777" w:rsidR="0090768F" w:rsidRDefault="00000000">
            <w:pPr>
              <w:pStyle w:val="Compact"/>
            </w:pPr>
            <w:r>
              <w:t>Wyoming</w:t>
            </w:r>
          </w:p>
        </w:tc>
        <w:tc>
          <w:tcPr>
            <w:tcW w:w="0" w:type="auto"/>
          </w:tcPr>
          <w:p w14:paraId="77C33A4C" w14:textId="77777777" w:rsidR="0090768F" w:rsidRDefault="00000000">
            <w:pPr>
              <w:pStyle w:val="Compact"/>
            </w:pPr>
            <w:r>
              <w:t>none specific (agg.)</w:t>
            </w:r>
          </w:p>
        </w:tc>
        <w:tc>
          <w:tcPr>
            <w:tcW w:w="0" w:type="auto"/>
          </w:tcPr>
          <w:p w14:paraId="17A06721" w14:textId="77777777" w:rsidR="0090768F" w:rsidRDefault="00000000">
            <w:pPr>
              <w:pStyle w:val="Compact"/>
            </w:pPr>
            <w:r>
              <w:t>no</w:t>
            </w:r>
          </w:p>
        </w:tc>
        <w:tc>
          <w:tcPr>
            <w:tcW w:w="0" w:type="auto"/>
          </w:tcPr>
          <w:p w14:paraId="7FA117A7" w14:textId="77777777" w:rsidR="0090768F" w:rsidRDefault="00000000">
            <w:pPr>
              <w:pStyle w:val="Compact"/>
            </w:pPr>
            <w:r>
              <w:t>none</w:t>
            </w:r>
          </w:p>
        </w:tc>
        <w:tc>
          <w:tcPr>
            <w:tcW w:w="0" w:type="auto"/>
          </w:tcPr>
          <w:p w14:paraId="62156A7C" w14:textId="77777777" w:rsidR="0090768F" w:rsidRDefault="00000000">
            <w:pPr>
              <w:pStyle w:val="Compact"/>
            </w:pPr>
            <w:r>
              <w:t>Y (general)</w:t>
            </w:r>
          </w:p>
        </w:tc>
      </w:tr>
    </w:tbl>
    <w:p w14:paraId="0BE85923" w14:textId="77777777" w:rsidR="0090768F" w:rsidRDefault="00000000">
      <w:pPr>
        <w:pStyle w:val="BodyText"/>
      </w:pPr>
      <w:r>
        <w:rPr>
          <w:b/>
          <w:bCs/>
        </w:rPr>
        <w:t>Three corrections to trackers we have used internally.</w:t>
      </w:r>
      <w:r>
        <w:t xml:space="preserve"> Illinois has </w:t>
      </w:r>
      <w:r>
        <w:rPr>
          <w:b/>
          <w:bCs/>
        </w:rPr>
        <w:t>no</w:t>
      </w:r>
      <w:r>
        <w:t xml:space="preserve"> comprehensive consumer privacy law (an entry circulating internally belongs to Indiana’s SB 5). Arkansas’s claimed comprehensive law is not listed by the IAPP tracker and should be treated as not in force; what Arkansas verifiably has is a children-and-teens online privacy act with changes effective 1 July 2026. And South Carolina H.5253 is listed as enacted by at least one tracker but the legislature’s own page shows it introduced on 24 February 2026 and sitting in committee — the primary source wins, and we should not plan against it.</w:t>
      </w:r>
    </w:p>
    <w:p w14:paraId="6BB0380D" w14:textId="77777777" w:rsidR="0090768F" w:rsidRDefault="00000000">
      <w:pPr>
        <w:pStyle w:val="Heading2"/>
      </w:pPr>
      <w:bookmarkStart w:id="85" w:name="X27d22674c3520c115113549f7c89600b2c28da3"/>
      <w:bookmarkStart w:id="86" w:name="_Toc240060408"/>
      <w:bookmarkEnd w:id="75"/>
      <w:bookmarkEnd w:id="84"/>
      <w:r>
        <w:t>12. Consolidated product and compliance requirements</w:t>
      </w:r>
      <w:bookmarkEnd w:id="86"/>
    </w:p>
    <w:p w14:paraId="62634E98" w14:textId="77777777" w:rsidR="0090768F" w:rsidRDefault="00000000">
      <w:pPr>
        <w:pStyle w:val="FirstParagraph"/>
      </w:pPr>
      <w:r>
        <w:t xml:space="preserve">Derived from all three jurisdictions, in priority order. The striking result is how much of it is the </w:t>
      </w:r>
      <w:r>
        <w:rPr>
          <w:b/>
          <w:bCs/>
        </w:rPr>
        <w:t>same</w:t>
      </w:r>
      <w:r>
        <w:t xml:space="preserve"> requirement reached by different routes — which is the argument for building once rather than per market.</w:t>
      </w:r>
    </w:p>
    <w:p w14:paraId="16CB116F" w14:textId="77777777" w:rsidR="0090768F" w:rsidRDefault="00000000">
      <w:pPr>
        <w:pStyle w:val="Heading3"/>
      </w:pPr>
      <w:bookmarkStart w:id="87" w:name="non-negotiable"/>
      <w:r>
        <w:t>12.1 Non-negotiable</w:t>
      </w:r>
    </w:p>
    <w:p w14:paraId="07689E9A" w14:textId="77777777" w:rsidR="0090768F" w:rsidRDefault="00000000">
      <w:pPr>
        <w:pStyle w:val="Compact"/>
        <w:numPr>
          <w:ilvl w:val="0"/>
          <w:numId w:val="19"/>
        </w:numPr>
      </w:pPr>
      <w:r>
        <w:rPr>
          <w:b/>
          <w:bCs/>
        </w:rPr>
        <w:t>No auto-accept, no bulk-accept, no timeout-accept — in any market.</w:t>
      </w:r>
      <w:r>
        <w:t xml:space="preserve"> Per-item human review with the </w:t>
      </w:r>
      <w:r>
        <w:rPr>
          <w:b/>
          <w:bCs/>
        </w:rPr>
        <w:t>script and the proposal side by side</w:t>
      </w:r>
      <w:r>
        <w:t xml:space="preserve">, and no mark enterable without the script in view. Satisfies: GDPR Art. 22 / WP251; the DSK’s </w:t>
      </w:r>
      <w:r>
        <w:rPr>
          <w:i/>
          <w:iCs/>
        </w:rPr>
        <w:t>tatsächlicher Entscheidungsspielraum</w:t>
      </w:r>
      <w:r>
        <w:t xml:space="preserve"> test; BVerwG’s </w:t>
      </w:r>
      <w:r>
        <w:rPr>
          <w:i/>
          <w:iCs/>
        </w:rPr>
        <w:t>persönlich unmittelbar und vollständig zur Kenntnis nehmen</w:t>
      </w:r>
      <w:r>
        <w:t xml:space="preserve">; UK Art. 22A and the ICO’s draft per-decision requirement; JCQ’s </w:t>
      </w:r>
      <w:r>
        <w:rPr>
          <w:i/>
          <w:iCs/>
        </w:rPr>
        <w:t>“review all the work in its entirety”</w:t>
      </w:r>
      <w:r>
        <w:t>; the California ADMT safe harbour; Colorado’s meaningful human review; and Oklahoma SB 1734.</w:t>
      </w:r>
    </w:p>
    <w:p w14:paraId="5399342A" w14:textId="77777777" w:rsidR="0090768F" w:rsidRDefault="00000000">
      <w:pPr>
        <w:pStyle w:val="Compact"/>
        <w:numPr>
          <w:ilvl w:val="0"/>
          <w:numId w:val="19"/>
        </w:numPr>
      </w:pPr>
      <w:r>
        <w:rPr>
          <w:b/>
          <w:bCs/>
        </w:rPr>
        <w:t>Teacher-authored rubrics.</w:t>
      </w:r>
      <w:r>
        <w:t xml:space="preserve"> The model applies the examiner’s rubric; it does not supply one. Required by the German </w:t>
      </w:r>
      <w:r>
        <w:rPr>
          <w:i/>
          <w:iCs/>
        </w:rPr>
        <w:t>autonomes Bezugssystem</w:t>
      </w:r>
      <w:r>
        <w:t xml:space="preserve"> doctrine and helpful everywhere else.</w:t>
      </w:r>
    </w:p>
    <w:p w14:paraId="37730E45" w14:textId="77777777" w:rsidR="0090768F" w:rsidRDefault="00000000">
      <w:pPr>
        <w:pStyle w:val="Compact"/>
        <w:numPr>
          <w:ilvl w:val="0"/>
          <w:numId w:val="19"/>
        </w:numPr>
      </w:pPr>
      <w:r>
        <w:rPr>
          <w:b/>
          <w:bCs/>
        </w:rPr>
        <w:t>Deterministic, reproducible scoring across a batch.</w:t>
      </w:r>
      <w:r>
        <w:t xml:space="preserve"> A model that scores the same script differently on two runs creates a </w:t>
      </w:r>
      <w:r>
        <w:rPr>
          <w:i/>
          <w:iCs/>
        </w:rPr>
        <w:t>Chancengleichheit</w:t>
      </w:r>
      <w:r>
        <w:t xml:space="preserve"> defect under Art. 3(1) GG and an accuracy defect under GDPR Art. 5(1)(d) and AI Act Art. 15. This is an engineering constraint with a constitutional-law origin.</w:t>
      </w:r>
    </w:p>
    <w:p w14:paraId="53F72CD4" w14:textId="77777777" w:rsidR="0090768F" w:rsidRDefault="00000000">
      <w:pPr>
        <w:pStyle w:val="Compact"/>
        <w:numPr>
          <w:ilvl w:val="0"/>
          <w:numId w:val="19"/>
        </w:numPr>
      </w:pPr>
      <w:r>
        <w:rPr>
          <w:b/>
          <w:bCs/>
        </w:rPr>
        <w:lastRenderedPageBreak/>
        <w:t>Model training on customer content OFF by default</w:t>
      </w:r>
      <w:r>
        <w:t xml:space="preserve">, per-tenant switch, contractually and technically enforced. Required or strongly indicated by: GDPR purpose limitation and EDPB Opinion 28/2024; FERPA § 99.33(a)(2); COPPA § 312.10; California SOPIPA; DfE’s IP standard and DfE’s own published worked example of a school rejecting a supplier for exactly this; and the ICO edtech findings. Offer a bounded, opt-in </w:t>
      </w:r>
      <w:r>
        <w:rPr>
          <w:b/>
          <w:bCs/>
        </w:rPr>
        <w:t>validation/calibration study</w:t>
      </w:r>
      <w:r>
        <w:t xml:space="preserve"> instrument instead (FERPA § 99.31(a)(6) is the cleanest vehicle).</w:t>
      </w:r>
    </w:p>
    <w:p w14:paraId="4C7FB0F5" w14:textId="77777777" w:rsidR="0090768F" w:rsidRDefault="00000000">
      <w:pPr>
        <w:pStyle w:val="Compact"/>
        <w:numPr>
          <w:ilvl w:val="0"/>
          <w:numId w:val="19"/>
        </w:numPr>
      </w:pPr>
      <w:r>
        <w:rPr>
          <w:b/>
          <w:bCs/>
        </w:rPr>
        <w:t>EU/UK data residency option, and zero-retention model endpoints.</w:t>
      </w:r>
      <w:r>
        <w:t xml:space="preserve"> Design so that any adequacy decision is not load-bearing.</w:t>
      </w:r>
    </w:p>
    <w:p w14:paraId="59B48F14" w14:textId="77777777" w:rsidR="0090768F" w:rsidRDefault="00000000">
      <w:pPr>
        <w:pStyle w:val="Compact"/>
        <w:numPr>
          <w:ilvl w:val="0"/>
          <w:numId w:val="19"/>
        </w:numPr>
      </w:pPr>
      <w:r>
        <w:rPr>
          <w:b/>
          <w:bCs/>
        </w:rPr>
        <w:t>Per-script audit record, durable and exportable:</w:t>
      </w:r>
      <w:r>
        <w:t xml:space="preserve"> original scan, rubric version, model version, proposal and rationale, teacher’s edits, final mark and reasons, reviewer identity and timestamp, and whether the proposal was changed. This single artefact answers AI Act Art. 12 logging, the </w:t>
      </w:r>
      <w:r>
        <w:rPr>
          <w:i/>
          <w:iCs/>
        </w:rPr>
        <w:t>Überdenkensverfahren</w:t>
      </w:r>
      <w:r>
        <w:t>, the Art. 22 “meaningful review” question, US accreditation and “regular and substantive interaction”, and every district privacy review.</w:t>
      </w:r>
    </w:p>
    <w:p w14:paraId="7EE1D791" w14:textId="77777777" w:rsidR="0090768F" w:rsidRDefault="00000000">
      <w:pPr>
        <w:pStyle w:val="Compact"/>
        <w:numPr>
          <w:ilvl w:val="0"/>
          <w:numId w:val="19"/>
        </w:numPr>
      </w:pPr>
      <w:r>
        <w:rPr>
          <w:b/>
          <w:bCs/>
        </w:rPr>
        <w:t>Measured override and divergence rates — aggregate only.</w:t>
      </w:r>
      <w:r>
        <w:t xml:space="preserve"> The most valuable compliance artefact we can generate, and simultaneously the most dangerous if exposed per teacher (German co-determination). Aggregate, k-anonymised, switchable off at deployment.</w:t>
      </w:r>
    </w:p>
    <w:p w14:paraId="3917C5B2" w14:textId="77777777" w:rsidR="0090768F" w:rsidRDefault="00000000">
      <w:pPr>
        <w:pStyle w:val="Compact"/>
        <w:numPr>
          <w:ilvl w:val="0"/>
          <w:numId w:val="19"/>
        </w:numPr>
      </w:pPr>
      <w:r>
        <w:rPr>
          <w:b/>
          <w:bCs/>
        </w:rPr>
        <w:t>Calibrated confidence, never unjustified confidence.</w:t>
      </w:r>
      <w:r>
        <w:t xml:space="preserve"> Required by DfE’s Manipulation standard for teacher-facing products. Low-confidence items flagged for mandatory attention; never present a mark as settled.</w:t>
      </w:r>
    </w:p>
    <w:p w14:paraId="6008066B" w14:textId="77777777" w:rsidR="0090768F" w:rsidRDefault="00000000">
      <w:pPr>
        <w:pStyle w:val="Compact"/>
        <w:numPr>
          <w:ilvl w:val="0"/>
          <w:numId w:val="19"/>
        </w:numPr>
      </w:pPr>
      <w:r>
        <w:rPr>
          <w:b/>
          <w:bCs/>
        </w:rPr>
        <w:t>Special-category handling.</w:t>
      </w:r>
      <w:r>
        <w:t xml:space="preserve"> Assume scripts contain Art. 9 / special category data. Never allow a path where a solely-automated significant decision can occur on such data (UK Art. 22B). Special-category fields optional and disabled by default.</w:t>
      </w:r>
    </w:p>
    <w:p w14:paraId="2EEB1F06" w14:textId="77777777" w:rsidR="0090768F" w:rsidRDefault="00000000">
      <w:pPr>
        <w:pStyle w:val="Compact"/>
        <w:numPr>
          <w:ilvl w:val="0"/>
          <w:numId w:val="19"/>
        </w:numPr>
      </w:pPr>
      <w:r>
        <w:rPr>
          <w:b/>
          <w:bCs/>
        </w:rPr>
        <w:t>Per-student rubric modification</w:t>
      </w:r>
      <w:r>
        <w:t xml:space="preserve">, evidenced. Without it the product cannot implement a 504 plan, a SEND access arrangement, or a </w:t>
      </w:r>
      <w:r>
        <w:rPr>
          <w:i/>
          <w:iCs/>
        </w:rPr>
        <w:t>Nachteilsausgleich</w:t>
      </w:r>
      <w:r>
        <w:t>.</w:t>
      </w:r>
    </w:p>
    <w:p w14:paraId="0D11EF17" w14:textId="77777777" w:rsidR="0090768F" w:rsidRDefault="00000000">
      <w:pPr>
        <w:pStyle w:val="Compact"/>
        <w:numPr>
          <w:ilvl w:val="0"/>
          <w:numId w:val="19"/>
        </w:numPr>
      </w:pPr>
      <w:r>
        <w:rPr>
          <w:b/>
          <w:bCs/>
        </w:rPr>
        <w:t>Typed scripts scored identically to handwritten ones</w:t>
      </w:r>
      <w:r>
        <w:t xml:space="preserve"> — a scribe or word processor is an accommodation, not a different assessment.</w:t>
      </w:r>
    </w:p>
    <w:p w14:paraId="040E0AE5" w14:textId="77777777" w:rsidR="0090768F" w:rsidRDefault="00000000">
      <w:pPr>
        <w:pStyle w:val="Compact"/>
        <w:numPr>
          <w:ilvl w:val="0"/>
          <w:numId w:val="19"/>
        </w:numPr>
      </w:pPr>
      <w:r>
        <w:rPr>
          <w:b/>
          <w:bCs/>
        </w:rPr>
        <w:t>Transcription-confidence floor.</w:t>
      </w:r>
      <w:r>
        <w:t xml:space="preserve"> Never score a script whose transcription confidence falls below a threshold; route it to the teacher with the original image.</w:t>
      </w:r>
    </w:p>
    <w:p w14:paraId="29C495E3" w14:textId="77777777" w:rsidR="0090768F" w:rsidRDefault="00000000">
      <w:pPr>
        <w:pStyle w:val="Compact"/>
        <w:numPr>
          <w:ilvl w:val="0"/>
          <w:numId w:val="19"/>
        </w:numPr>
      </w:pPr>
      <w:r>
        <w:rPr>
          <w:b/>
          <w:bCs/>
        </w:rPr>
        <w:t>Hard architectural prohibitions</w:t>
      </w:r>
      <w:r>
        <w:t xml:space="preserve">, enforced in code and roadmap governance, not policy: </w:t>
      </w:r>
      <w:r>
        <w:rPr>
          <w:b/>
          <w:bCs/>
        </w:rPr>
        <w:t>no emotion or affect inference</w:t>
      </w:r>
      <w:r>
        <w:t xml:space="preserve"> (AI Act Art. 5(1)(f), prohibited, €35m/7% tier; PPRA category (2)); </w:t>
      </w:r>
      <w:r>
        <w:rPr>
          <w:b/>
          <w:bCs/>
        </w:rPr>
        <w:t>no face-geometry processing</w:t>
      </w:r>
      <w:r>
        <w:t xml:space="preserve"> (Illinois BIPA private right of action); </w:t>
      </w:r>
      <w:r>
        <w:rPr>
          <w:b/>
          <w:bCs/>
        </w:rPr>
        <w:t>no writer verification or handwriting-based identification</w:t>
      </w:r>
      <w:r>
        <w:t xml:space="preserve"> without a full Art. 9 / AI Act biometric re-assessment; </w:t>
      </w:r>
      <w:r>
        <w:rPr>
          <w:b/>
          <w:bCs/>
        </w:rPr>
        <w:t>no student-facing content sharing or live web search</w:t>
      </w:r>
      <w:r>
        <w:t xml:space="preserve"> (UK Online Safety Act); </w:t>
      </w:r>
      <w:r>
        <w:rPr>
          <w:b/>
          <w:bCs/>
        </w:rPr>
        <w:t>no per-teacher performance reporting</w:t>
      </w:r>
      <w:r>
        <w:t xml:space="preserve"> by default.</w:t>
      </w:r>
    </w:p>
    <w:p w14:paraId="75B6DCC2" w14:textId="77777777" w:rsidR="0090768F" w:rsidRDefault="00000000">
      <w:pPr>
        <w:pStyle w:val="Compact"/>
        <w:numPr>
          <w:ilvl w:val="0"/>
          <w:numId w:val="19"/>
        </w:numPr>
      </w:pPr>
      <w:r>
        <w:rPr>
          <w:b/>
          <w:bCs/>
        </w:rPr>
        <w:t>Accessibility to EN 301 549 / WCAG 2.1 AA</w:t>
      </w:r>
      <w:r>
        <w:t>, with a current VPAT. Alternatives for scanned images as non-text content; no information conveyed by colour alone.</w:t>
      </w:r>
    </w:p>
    <w:p w14:paraId="034000A2" w14:textId="77777777" w:rsidR="0090768F" w:rsidRDefault="00000000">
      <w:pPr>
        <w:pStyle w:val="Heading3"/>
      </w:pPr>
      <w:bookmarkStart w:id="88" w:name="high-value-differentiators"/>
      <w:bookmarkEnd w:id="87"/>
      <w:r>
        <w:t>12.2 High-value differentiators</w:t>
      </w:r>
    </w:p>
    <w:p w14:paraId="4964E798" w14:textId="77777777" w:rsidR="0090768F" w:rsidRDefault="00000000">
      <w:pPr>
        <w:pStyle w:val="Compact"/>
        <w:numPr>
          <w:ilvl w:val="0"/>
          <w:numId w:val="20"/>
        </w:numPr>
      </w:pPr>
      <w:r>
        <w:rPr>
          <w:b/>
          <w:bCs/>
        </w:rPr>
        <w:t>Stratified fairness evidence</w:t>
      </w:r>
      <w:r>
        <w:t xml:space="preserve"> by handwriting legibility band, EAL/L1 status, SEND or access-arrangement status, and where lawfully available ethnicity — plus a live </w:t>
      </w:r>
      <w:r>
        <w:lastRenderedPageBreak/>
        <w:t xml:space="preserve">tenant-level disparity dashboard. This is how a school discharges the Public Sector Equality Duty in the UK, how a district answers Title VI and 504 questions in the US, and how a Land ministry answers the KMK’s </w:t>
      </w:r>
      <w:r>
        <w:rPr>
          <w:i/>
          <w:iCs/>
        </w:rPr>
        <w:t>Gefahr von Diskriminierung durch Bias</w:t>
      </w:r>
      <w:r>
        <w:t xml:space="preserve">. </w:t>
      </w:r>
      <w:r>
        <w:rPr>
          <w:b/>
          <w:bCs/>
        </w:rPr>
        <w:t>AI Act Art. 4a now gives the EU-law basis for the protected-attribute processing this requires.</w:t>
      </w:r>
      <w:r>
        <w:t xml:space="preserve"> No competitor will have it.</w:t>
      </w:r>
    </w:p>
    <w:p w14:paraId="3F159A86" w14:textId="77777777" w:rsidR="0090768F" w:rsidRDefault="00000000">
      <w:pPr>
        <w:pStyle w:val="Compact"/>
        <w:numPr>
          <w:ilvl w:val="0"/>
          <w:numId w:val="20"/>
        </w:numPr>
      </w:pPr>
      <w:r>
        <w:rPr>
          <w:b/>
          <w:bCs/>
        </w:rPr>
        <w:t>Combined DPIA/FRIA pack</w:t>
      </w:r>
      <w:r>
        <w:t xml:space="preserve">, framed as risk </w:t>
      </w:r>
      <w:r>
        <w:rPr>
          <w:b/>
          <w:bCs/>
        </w:rPr>
        <w:t>to children</w:t>
      </w:r>
      <w:r>
        <w:t xml:space="preserve"> rather than organisational risk, expressly sanctioned by the amended AI Act Art. 27(4) and made materially more valuable by § 14 KI-MIG, which makes omitting the FRIA a fineable offence for our customer.</w:t>
      </w:r>
    </w:p>
    <w:p w14:paraId="3AD5CB2A" w14:textId="77777777" w:rsidR="0090768F" w:rsidRDefault="00000000">
      <w:pPr>
        <w:pStyle w:val="Compact"/>
        <w:numPr>
          <w:ilvl w:val="0"/>
          <w:numId w:val="20"/>
        </w:numPr>
      </w:pPr>
      <w:r>
        <w:rPr>
          <w:b/>
          <w:bCs/>
        </w:rPr>
        <w:t>Personalrat / works-council information pack and a draft Dienstvereinbarung.</w:t>
      </w:r>
      <w:r>
        <w:t xml:space="preserve"> Co-determination is frequently the longest pole in a German rollout, and councils approve far faster against a draft.</w:t>
      </w:r>
    </w:p>
    <w:p w14:paraId="36DFE4D9" w14:textId="77777777" w:rsidR="0090768F" w:rsidRDefault="00000000">
      <w:pPr>
        <w:pStyle w:val="Compact"/>
        <w:numPr>
          <w:ilvl w:val="0"/>
          <w:numId w:val="20"/>
        </w:numPr>
      </w:pPr>
      <w:r>
        <w:rPr>
          <w:b/>
          <w:bCs/>
        </w:rPr>
        <w:t>AI-literacy training module</w:t>
      </w:r>
      <w:r>
        <w:t xml:space="preserve"> shipped with the product, covering capabilities, limitations and </w:t>
      </w:r>
      <w:r>
        <w:rPr>
          <w:b/>
          <w:bCs/>
        </w:rPr>
        <w:t>automation bias</w:t>
      </w:r>
      <w:r>
        <w:t>. One artefact discharges AI Act Art. 4, evidences Art. 14(4)(a)–(b), supports Art. 26(2) competence, and satisfies the WP251 competence limb.</w:t>
      </w:r>
    </w:p>
    <w:p w14:paraId="465B2376" w14:textId="77777777" w:rsidR="0090768F" w:rsidRDefault="00000000">
      <w:pPr>
        <w:pStyle w:val="Compact"/>
        <w:numPr>
          <w:ilvl w:val="0"/>
          <w:numId w:val="20"/>
        </w:numPr>
      </w:pPr>
      <w:r>
        <w:rPr>
          <w:b/>
          <w:bCs/>
        </w:rPr>
        <w:t>Published clause-by-clause self-assessment against the DfE Generative AI product safety standards.</w:t>
      </w:r>
      <w:r>
        <w:t xml:space="preserve"> No certification scheme exists; being first to publish is the differentiator.</w:t>
      </w:r>
    </w:p>
    <w:p w14:paraId="316C3C69" w14:textId="77777777" w:rsidR="0090768F" w:rsidRDefault="00000000">
      <w:pPr>
        <w:pStyle w:val="Compact"/>
        <w:numPr>
          <w:ilvl w:val="0"/>
          <w:numId w:val="20"/>
        </w:numPr>
      </w:pPr>
      <w:r>
        <w:rPr>
          <w:b/>
          <w:bCs/>
        </w:rPr>
        <w:t>Research on handwriting-transcription bias.</w:t>
      </w:r>
      <w:r>
        <w:t xml:space="preserve"> Nobody has published on it. It is our distinctive risk and would be a credible, defensible contribution.</w:t>
      </w:r>
    </w:p>
    <w:p w14:paraId="20565A1E" w14:textId="77777777" w:rsidR="0090768F" w:rsidRDefault="00000000">
      <w:pPr>
        <w:pStyle w:val="Compact"/>
        <w:numPr>
          <w:ilvl w:val="0"/>
          <w:numId w:val="20"/>
        </w:numPr>
      </w:pPr>
      <w:r>
        <w:rPr>
          <w:b/>
          <w:bCs/>
        </w:rPr>
        <w:t>Voluntary ATRS-format transparency record</w:t>
      </w:r>
      <w:r>
        <w:t xml:space="preserve"> for UK public-sector buyers.</w:t>
      </w:r>
    </w:p>
    <w:p w14:paraId="2BCBFFCD" w14:textId="77777777" w:rsidR="0090768F" w:rsidRDefault="00000000">
      <w:pPr>
        <w:pStyle w:val="Compact"/>
        <w:numPr>
          <w:ilvl w:val="0"/>
          <w:numId w:val="20"/>
        </w:numPr>
      </w:pPr>
      <w:r>
        <w:rPr>
          <w:b/>
          <w:bCs/>
        </w:rPr>
        <w:t>ISO/IEC 42001 quality management system</w:t>
      </w:r>
      <w:r>
        <w:t>, stated internally as evidence rather than as conformity.</w:t>
      </w:r>
    </w:p>
    <w:p w14:paraId="4C211937" w14:textId="77777777" w:rsidR="0090768F" w:rsidRDefault="00000000">
      <w:pPr>
        <w:pStyle w:val="Heading3"/>
      </w:pPr>
      <w:bookmarkStart w:id="89" w:name="commercial-and-contractual"/>
      <w:bookmarkEnd w:id="88"/>
      <w:r>
        <w:t>12.3 Commercial and contractual</w:t>
      </w:r>
    </w:p>
    <w:p w14:paraId="2CD1203C" w14:textId="77777777" w:rsidR="0090768F" w:rsidRDefault="00000000">
      <w:pPr>
        <w:pStyle w:val="Compact"/>
        <w:numPr>
          <w:ilvl w:val="0"/>
          <w:numId w:val="21"/>
        </w:numPr>
      </w:pPr>
      <w:r>
        <w:rPr>
          <w:b/>
          <w:bCs/>
        </w:rPr>
        <w:t>Two product tiers, explicitly separated:</w:t>
      </w:r>
      <w:r>
        <w:t xml:space="preserve"> a </w:t>
      </w:r>
      <w:r>
        <w:rPr>
          <w:i/>
          <w:iCs/>
        </w:rPr>
        <w:t>Vorbereitung</w:t>
      </w:r>
      <w:r>
        <w:t xml:space="preserve"> / preparation tier (teacher-direct, synthetic or de-identified material only, pupil-data upload technically disabled) and a </w:t>
      </w:r>
      <w:r>
        <w:rPr>
          <w:i/>
          <w:iCs/>
        </w:rPr>
        <w:t>Korrekturassistenz</w:t>
      </w:r>
      <w:r>
        <w:t xml:space="preserve"> tier (institutional contract, full compliance stack).</w:t>
      </w:r>
    </w:p>
    <w:p w14:paraId="6DCE5BAF" w14:textId="77777777" w:rsidR="0090768F" w:rsidRDefault="00000000">
      <w:pPr>
        <w:pStyle w:val="Compact"/>
        <w:numPr>
          <w:ilvl w:val="0"/>
          <w:numId w:val="21"/>
        </w:numPr>
      </w:pPr>
      <w:r>
        <w:rPr>
          <w:b/>
          <w:bCs/>
        </w:rPr>
        <w:t>Explicit position: not for marking regulated qualifications</w:t>
      </w:r>
      <w:r>
        <w:t xml:space="preserve"> (UK), with a hard in-product control.</w:t>
      </w:r>
    </w:p>
    <w:p w14:paraId="20A04A21" w14:textId="77777777" w:rsidR="0090768F" w:rsidRDefault="00000000">
      <w:pPr>
        <w:pStyle w:val="Compact"/>
        <w:numPr>
          <w:ilvl w:val="0"/>
          <w:numId w:val="21"/>
        </w:numPr>
      </w:pPr>
      <w:r>
        <w:rPr>
          <w:b/>
          <w:bCs/>
        </w:rPr>
        <w:t>Model-agnostic architecture</w:t>
      </w:r>
      <w:r>
        <w:t>, able to run against a Land’s own LLM — because the KMK has said the Länder intend to supply the model layer themselves.</w:t>
      </w:r>
    </w:p>
    <w:p w14:paraId="404889B6" w14:textId="77777777" w:rsidR="0090768F" w:rsidRDefault="00000000">
      <w:pPr>
        <w:pStyle w:val="Compact"/>
        <w:numPr>
          <w:ilvl w:val="0"/>
          <w:numId w:val="21"/>
        </w:numPr>
      </w:pPr>
      <w:r>
        <w:rPr>
          <w:b/>
          <w:bCs/>
        </w:rPr>
        <w:t>Pre-declared model-update envelope in the Annex IV technical documentation</w:t>
      </w:r>
      <w:r>
        <w:t>, so a model version upgrade is not automatically a substantial modification requiring re-conformity.</w:t>
      </w:r>
    </w:p>
    <w:p w14:paraId="39D7EE06" w14:textId="77777777" w:rsidR="0090768F" w:rsidRDefault="00000000">
      <w:pPr>
        <w:pStyle w:val="Compact"/>
        <w:numPr>
          <w:ilvl w:val="0"/>
          <w:numId w:val="21"/>
        </w:numPr>
      </w:pPr>
      <w:r>
        <w:rPr>
          <w:b/>
          <w:bCs/>
        </w:rPr>
        <w:t>Contract via the SDPC NDPA v2.2 with a carefully scoped Exhibit E</w:t>
      </w:r>
      <w:r>
        <w:t>, with state-variant exhibits for NY, CT, IL, CO, CA, TX, OH and UT. Utah agreements need a no-penalty statutory termination right; Connecticut agreements become public within five business days, so commercially sensitive terms belong in a separate instrument.</w:t>
      </w:r>
    </w:p>
    <w:p w14:paraId="2BD32D07" w14:textId="77777777" w:rsidR="0090768F" w:rsidRDefault="00000000">
      <w:pPr>
        <w:pStyle w:val="Compact"/>
        <w:numPr>
          <w:ilvl w:val="0"/>
          <w:numId w:val="21"/>
        </w:numPr>
      </w:pPr>
      <w:r>
        <w:rPr>
          <w:b/>
          <w:bCs/>
        </w:rPr>
        <w:t>Global incident-response SLA set by the tightest clock we face:</w:t>
      </w:r>
      <w:r>
        <w:t xml:space="preserve"> Ohio’s 72-hour parent notice and New York’s 7-day contractor notice, with the AI Act Art. 73 15-day serious-incident clock in the same runbook.</w:t>
      </w:r>
    </w:p>
    <w:p w14:paraId="5F733F01" w14:textId="77777777" w:rsidR="0090768F" w:rsidRDefault="00000000">
      <w:pPr>
        <w:pStyle w:val="Compact"/>
        <w:numPr>
          <w:ilvl w:val="0"/>
          <w:numId w:val="21"/>
        </w:numPr>
      </w:pPr>
      <w:r>
        <w:rPr>
          <w:b/>
          <w:bCs/>
        </w:rPr>
        <w:lastRenderedPageBreak/>
        <w:t>Technology E&amp;O insurance with an explicit AI endorsement</w:t>
      </w:r>
      <w:r>
        <w:t>, confirmed to respond to claims arising from model output.</w:t>
      </w:r>
    </w:p>
    <w:p w14:paraId="634504EB" w14:textId="77777777" w:rsidR="0090768F" w:rsidRDefault="00000000">
      <w:pPr>
        <w:pStyle w:val="Heading2"/>
      </w:pPr>
      <w:bookmarkStart w:id="90" w:name="recommended-course-of-action"/>
      <w:bookmarkStart w:id="91" w:name="_Toc240060409"/>
      <w:bookmarkEnd w:id="85"/>
      <w:bookmarkEnd w:id="89"/>
      <w:r>
        <w:t>13. Recommended course of action</w:t>
      </w:r>
      <w:bookmarkEnd w:id="91"/>
    </w:p>
    <w:p w14:paraId="69DA995D" w14:textId="77777777" w:rsidR="0090768F" w:rsidRDefault="00000000">
      <w:pPr>
        <w:pStyle w:val="FirstParagraph"/>
      </w:pPr>
      <w:r>
        <w:rPr>
          <w:b/>
          <w:bCs/>
        </w:rPr>
        <w:t>The strategic position in one paragraph.</w:t>
      </w:r>
      <w:r>
        <w:t xml:space="preserve"> German law has already closed the door we do not need and left open the one we do. Fully automated grading is foreclosed permanently and for everyone by § 35a VwVfG and by the </w:t>
      </w:r>
      <w:r>
        <w:rPr>
          <w:i/>
          <w:iCs/>
        </w:rPr>
        <w:t>hoheitlich / Verwaltungsakt</w:t>
      </w:r>
      <w:r>
        <w:t xml:space="preserve"> characterisation — we should say so first, and the objection the product is most often accused of disappears. What remains open is precisely and by name what the Bildungsministerkonferenz endorsed on 10 October 2024: </w:t>
      </w:r>
      <w:r>
        <w:rPr>
          <w:i/>
          <w:iCs/>
        </w:rPr>
        <w:t>Vorkorrektur</w:t>
      </w:r>
      <w:r>
        <w:t xml:space="preserve">, </w:t>
      </w:r>
      <w:r>
        <w:rPr>
          <w:i/>
          <w:iCs/>
        </w:rPr>
        <w:t>Korrekturassistenz</w:t>
      </w:r>
      <w:r>
        <w:t xml:space="preserve">, an </w:t>
      </w:r>
      <w:r>
        <w:rPr>
          <w:i/>
          <w:iCs/>
        </w:rPr>
        <w:t>Entscheidungsunterstützungssystem</w:t>
      </w:r>
      <w:r>
        <w:t xml:space="preserve">, with the final assessment reserved to the examiner. The same architecture satisfies the UK’s Art. 22A and JCQ, the California ADMT safe harbour, Colorado’s meaningful-review duty and Oklahoma’s statute. </w:t>
      </w:r>
      <w:r>
        <w:rPr>
          <w:b/>
          <w:bCs/>
        </w:rPr>
        <w:t>Build once.</w:t>
      </w:r>
      <w:r>
        <w:t xml:space="preserve"> The real compliance product is not the model — it is the </w:t>
      </w:r>
      <w:r>
        <w:rPr>
          <w:b/>
          <w:bCs/>
        </w:rPr>
        <w:t>evidence</w:t>
      </w:r>
      <w:r>
        <w:t>: teacher-authored rubrics, deterministic scoring, a per-script audit trail, and measured divergence rates that demonstrate the decision latitude the DSK demands and rebut the merely formal participation it forbids.</w:t>
      </w:r>
    </w:p>
    <w:p w14:paraId="023A7781" w14:textId="77777777" w:rsidR="0090768F" w:rsidRDefault="00000000">
      <w:pPr>
        <w:pStyle w:val="BodyText"/>
      </w:pPr>
      <w:r>
        <w:rPr>
          <w:b/>
          <w:bCs/>
        </w:rPr>
        <w:t>Six decisions to take now.</w:t>
      </w:r>
    </w:p>
    <w:p w14:paraId="180746DD" w14:textId="77777777" w:rsidR="0090768F" w:rsidRDefault="00000000">
      <w:pPr>
        <w:pStyle w:val="Compact"/>
        <w:numPr>
          <w:ilvl w:val="0"/>
          <w:numId w:val="22"/>
        </w:numPr>
      </w:pPr>
      <w:r>
        <w:rPr>
          <w:b/>
          <w:bCs/>
        </w:rPr>
        <w:t>Rewrite the deck slide</w:t>
      </w:r>
      <w:r>
        <w:t xml:space="preserve"> per §2 before the next investor or ministry meeting. Replace “seek exception” with a positive compliance position, remove “Category 4”/“System 4”, and reframe the pseudonymisation claim. The current wording loses credibility with the first DPO who reads it.</w:t>
      </w:r>
    </w:p>
    <w:p w14:paraId="6A364C33" w14:textId="77777777" w:rsidR="0090768F" w:rsidRDefault="00000000">
      <w:pPr>
        <w:pStyle w:val="Compact"/>
        <w:numPr>
          <w:ilvl w:val="0"/>
          <w:numId w:val="22"/>
        </w:numPr>
      </w:pPr>
      <w:r>
        <w:rPr>
          <w:b/>
          <w:bCs/>
        </w:rPr>
        <w:t>Drop the teacher-direct model with real pupil scripts</w:t>
      </w:r>
      <w:r>
        <w:t xml:space="preserve"> and split the offer into a preparation tier and an institutional tier (§7.5). This is the only structure that lets us ship something lawful in the next twelve months.</w:t>
      </w:r>
    </w:p>
    <w:p w14:paraId="40162F0C" w14:textId="77777777" w:rsidR="0090768F" w:rsidRDefault="00000000">
      <w:pPr>
        <w:pStyle w:val="Compact"/>
        <w:numPr>
          <w:ilvl w:val="0"/>
          <w:numId w:val="22"/>
        </w:numPr>
      </w:pPr>
      <w:r>
        <w:rPr>
          <w:b/>
          <w:bCs/>
        </w:rPr>
        <w:t xml:space="preserve">Resolve the NRW </w:t>
      </w:r>
      <w:r>
        <w:rPr>
          <w:b/>
          <w:bCs/>
          <w:i/>
          <w:iCs/>
        </w:rPr>
        <w:t>Softwarekatalog</w:t>
      </w:r>
      <w:r>
        <w:rPr>
          <w:b/>
          <w:bCs/>
        </w:rPr>
        <w:t xml:space="preserve"> premise by written enquiry to MSB NRW</w:t>
      </w:r>
      <w:r>
        <w:t xml:space="preserve"> (§8.1). An entire go-to-market currently rests on a mechanism we could not confirm exists.</w:t>
      </w:r>
    </w:p>
    <w:p w14:paraId="2E17B621" w14:textId="77777777" w:rsidR="0090768F" w:rsidRDefault="00000000">
      <w:pPr>
        <w:pStyle w:val="Compact"/>
        <w:numPr>
          <w:ilvl w:val="0"/>
          <w:numId w:val="22"/>
        </w:numPr>
      </w:pPr>
      <w:r>
        <w:rPr>
          <w:b/>
          <w:bCs/>
        </w:rPr>
        <w:t>Apply for a KI-Reallabor under § 13 KI-MIG</w:t>
      </w:r>
      <w:r>
        <w:t xml:space="preserve"> with the Bundesnetzagentur and a Land supervisory authority. This is a named, currently-open route to regulatory engagement instead of guesswork, and the evidence it produces is what earns a Land-level mechanism later.</w:t>
      </w:r>
    </w:p>
    <w:p w14:paraId="5EB2D080" w14:textId="77777777" w:rsidR="0090768F" w:rsidRDefault="00000000">
      <w:pPr>
        <w:pStyle w:val="Compact"/>
        <w:numPr>
          <w:ilvl w:val="0"/>
          <w:numId w:val="22"/>
        </w:numPr>
      </w:pPr>
      <w:r>
        <w:rPr>
          <w:b/>
          <w:bCs/>
        </w:rPr>
        <w:t>Commission a counter-opinion to the DKJS memorandum</w:t>
      </w:r>
      <w:r>
        <w:t xml:space="preserve"> (§5.6), engaging it clause by clause and distinguishing </w:t>
      </w:r>
      <w:r>
        <w:rPr>
          <w:i/>
          <w:iCs/>
        </w:rPr>
        <w:t>Korrekturassistenz</w:t>
      </w:r>
      <w:r>
        <w:t xml:space="preserve"> from AI grading. It is the most adverse credible document in the German landscape and we need an answer to it before a ministry quotes it at us.</w:t>
      </w:r>
    </w:p>
    <w:p w14:paraId="0CF5A767" w14:textId="77777777" w:rsidR="0090768F" w:rsidRDefault="00000000">
      <w:pPr>
        <w:pStyle w:val="Compact"/>
        <w:numPr>
          <w:ilvl w:val="0"/>
          <w:numId w:val="22"/>
        </w:numPr>
      </w:pPr>
      <w:r>
        <w:rPr>
          <w:b/>
          <w:bCs/>
        </w:rPr>
        <w:t>Start the Art. 10 data-governance and Art. 15 accuracy-validation work now.</w:t>
      </w:r>
      <w:r>
        <w:t xml:space="preserve"> Fifteen months to 2 December 2027 sounds generous; per-curriculum, per-Land validation of a handwriting-plus-LLM pipeline is nine to twelve months of work if started immediately.</w:t>
      </w:r>
    </w:p>
    <w:p w14:paraId="4723D948" w14:textId="77777777" w:rsidR="0090768F" w:rsidRDefault="00000000">
      <w:pPr>
        <w:pStyle w:val="FirstParagraph"/>
      </w:pPr>
      <w:r>
        <w:rPr>
          <w:b/>
          <w:bCs/>
        </w:rPr>
        <w:t>Market sequencing.</w:t>
      </w:r>
    </w:p>
    <w:tbl>
      <w:tblPr>
        <w:tblStyle w:val="Table"/>
        <w:tblW w:w="5000" w:type="pct"/>
        <w:tblLook w:val="0020" w:firstRow="1" w:lastRow="0" w:firstColumn="0" w:lastColumn="0" w:noHBand="0" w:noVBand="0"/>
      </w:tblPr>
      <w:tblGrid>
        <w:gridCol w:w="1083"/>
        <w:gridCol w:w="8277"/>
      </w:tblGrid>
      <w:tr w:rsidR="0090768F" w14:paraId="17C9C7E5"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45538835" w14:textId="77777777" w:rsidR="0090768F" w:rsidRDefault="00000000">
            <w:pPr>
              <w:pStyle w:val="Compact"/>
            </w:pPr>
            <w:r>
              <w:t>Phase</w:t>
            </w:r>
          </w:p>
        </w:tc>
        <w:tc>
          <w:tcPr>
            <w:tcW w:w="0" w:type="auto"/>
          </w:tcPr>
          <w:p w14:paraId="309D260F" w14:textId="77777777" w:rsidR="0090768F" w:rsidRDefault="00000000">
            <w:pPr>
              <w:pStyle w:val="Compact"/>
            </w:pPr>
            <w:r>
              <w:t>Action</w:t>
            </w:r>
          </w:p>
        </w:tc>
      </w:tr>
      <w:tr w:rsidR="0090768F" w14:paraId="3DE74B16" w14:textId="77777777">
        <w:tc>
          <w:tcPr>
            <w:tcW w:w="0" w:type="auto"/>
          </w:tcPr>
          <w:p w14:paraId="330669BE" w14:textId="77777777" w:rsidR="0090768F" w:rsidRDefault="00000000">
            <w:pPr>
              <w:pStyle w:val="Compact"/>
            </w:pPr>
            <w:r>
              <w:lastRenderedPageBreak/>
              <w:t>Now – Q1 2027</w:t>
            </w:r>
          </w:p>
        </w:tc>
        <w:tc>
          <w:tcPr>
            <w:tcW w:w="0" w:type="auto"/>
          </w:tcPr>
          <w:p w14:paraId="181377CA" w14:textId="77777777" w:rsidR="0090768F" w:rsidRDefault="00000000">
            <w:pPr>
              <w:pStyle w:val="Compact"/>
            </w:pPr>
            <w:r>
              <w:t>Preparation tier ships. German universities as first institutional reference (autonomous controller, no ministry gatekeeper, can sign a processing agreement). UK higher education in parallel — least regulated segment, no Children’s code. KI-Reallabor application. NRW enquiry.</w:t>
            </w:r>
          </w:p>
        </w:tc>
      </w:tr>
      <w:tr w:rsidR="0090768F" w14:paraId="38F23DD5" w14:textId="77777777">
        <w:tc>
          <w:tcPr>
            <w:tcW w:w="0" w:type="auto"/>
          </w:tcPr>
          <w:p w14:paraId="6D386880" w14:textId="77777777" w:rsidR="0090768F" w:rsidRDefault="00000000">
            <w:pPr>
              <w:pStyle w:val="Compact"/>
            </w:pPr>
            <w:r>
              <w:t>2027</w:t>
            </w:r>
          </w:p>
        </w:tc>
        <w:tc>
          <w:tcPr>
            <w:tcW w:w="0" w:type="auto"/>
          </w:tcPr>
          <w:p w14:paraId="280DEAB7" w14:textId="77777777" w:rsidR="0090768F" w:rsidRDefault="00000000">
            <w:pPr>
              <w:pStyle w:val="Compact"/>
            </w:pPr>
            <w:r>
              <w:t>UK: direct-to-trust in England, plus a DfE-approved framework application; Wales/Hwb as the flagship national reference. Germany: pilot use under a ministry administrative instruction, generating divergence evidence. US: join two or three SDPC state alliances, first NDPA with Exhibit E.</w:t>
            </w:r>
          </w:p>
        </w:tc>
      </w:tr>
      <w:tr w:rsidR="0090768F" w14:paraId="6142D8D0" w14:textId="77777777">
        <w:tc>
          <w:tcPr>
            <w:tcW w:w="0" w:type="auto"/>
          </w:tcPr>
          <w:p w14:paraId="403AD591" w14:textId="77777777" w:rsidR="0090768F" w:rsidRDefault="00000000">
            <w:pPr>
              <w:pStyle w:val="Compact"/>
            </w:pPr>
            <w:r>
              <w:t>2027–2028</w:t>
            </w:r>
          </w:p>
        </w:tc>
        <w:tc>
          <w:tcPr>
            <w:tcW w:w="0" w:type="auto"/>
          </w:tcPr>
          <w:p w14:paraId="2C1FF691" w14:textId="77777777" w:rsidR="0090768F" w:rsidRDefault="00000000">
            <w:pPr>
              <w:pStyle w:val="Compact"/>
            </w:pPr>
            <w:r>
              <w:t>Germany: Rahmenvertrag or Verordnung amendment, earned on the evidence. UK: Scotland and NI once the Hwb reference exists. US: cooperative and state master agreements. Full AI Act provider conformity in place before 2 December 2027.</w:t>
            </w:r>
          </w:p>
        </w:tc>
      </w:tr>
    </w:tbl>
    <w:p w14:paraId="5C848FFB" w14:textId="77777777" w:rsidR="0090768F" w:rsidRDefault="00000000">
      <w:pPr>
        <w:pStyle w:val="BodyText"/>
      </w:pPr>
      <w:r>
        <w:rPr>
          <w:b/>
          <w:bCs/>
        </w:rPr>
        <w:t>Two asymmetries to exploit.</w:t>
      </w:r>
      <w:r>
        <w:t xml:space="preserve"> First, AI Act Art. 27 (FRIA) and Art. 26(7) (works-council information) land on the </w:t>
      </w:r>
      <w:r>
        <w:rPr>
          <w:b/>
          <w:bCs/>
        </w:rPr>
        <w:t>school</w:t>
      </w:r>
      <w:r>
        <w:t xml:space="preserve"> on the same day our own obligations land on us. A vendor arriving in 2027 with a completed DPIA/FRIA template, a works-council pack and a training module is selling a solved problem; one arriving with software is selling the customer a project. Second, the conformity route for education is </w:t>
      </w:r>
      <w:r>
        <w:rPr>
          <w:b/>
          <w:bCs/>
        </w:rPr>
        <w:t>Annex VI self-assessment with no notified body</w:t>
      </w:r>
      <w:r>
        <w:t xml:space="preserve"> — materially cheaper than procurement expects. Say it early.</w:t>
      </w:r>
    </w:p>
    <w:p w14:paraId="64948A04" w14:textId="77777777" w:rsidR="0090768F" w:rsidRDefault="00000000">
      <w:pPr>
        <w:pStyle w:val="Heading2"/>
      </w:pPr>
      <w:bookmarkStart w:id="92" w:name="what-could-not-be-verified"/>
      <w:bookmarkStart w:id="93" w:name="_Toc240060410"/>
      <w:bookmarkEnd w:id="90"/>
      <w:r>
        <w:t>14. What could not be verified</w:t>
      </w:r>
      <w:bookmarkEnd w:id="93"/>
    </w:p>
    <w:p w14:paraId="317FA2A1" w14:textId="77777777" w:rsidR="0090768F" w:rsidRDefault="00000000">
      <w:pPr>
        <w:pStyle w:val="FirstParagraph"/>
      </w:pPr>
      <w:r>
        <w:t>These are gaps, not findings. Four of them should go to counsel before anything here is relied on commercially.</w:t>
      </w:r>
    </w:p>
    <w:p w14:paraId="088ED8E7" w14:textId="77777777" w:rsidR="0090768F" w:rsidRDefault="00000000">
      <w:pPr>
        <w:pStyle w:val="BodyText"/>
      </w:pPr>
      <w:r>
        <w:rPr>
          <w:b/>
          <w:bCs/>
        </w:rPr>
        <w:t>Highest priority</w:t>
      </w:r>
    </w:p>
    <w:p w14:paraId="6B23C44C" w14:textId="77777777" w:rsidR="0090768F" w:rsidRDefault="00000000">
      <w:pPr>
        <w:pStyle w:val="Compact"/>
        <w:numPr>
          <w:ilvl w:val="0"/>
          <w:numId w:val="23"/>
        </w:numPr>
      </w:pPr>
      <w:r>
        <w:rPr>
          <w:b/>
          <w:bCs/>
        </w:rPr>
        <w:t>The DKJS memorandum verbatim.</w:t>
      </w:r>
      <w:r>
        <w:t xml:space="preserve"> All references in §5.6 come from a third-party summary; the server blocked retrieval. It is the most adverse document in the German landscape and must be read first-hand.</w:t>
      </w:r>
    </w:p>
    <w:p w14:paraId="562E8228" w14:textId="77777777" w:rsidR="0090768F" w:rsidRDefault="00000000">
      <w:pPr>
        <w:pStyle w:val="Compact"/>
        <w:numPr>
          <w:ilvl w:val="0"/>
          <w:numId w:val="23"/>
        </w:numPr>
      </w:pPr>
      <w:r>
        <w:rPr>
          <w:b/>
          <w:bCs/>
        </w:rPr>
        <w:t xml:space="preserve">The NRW </w:t>
      </w:r>
      <w:r>
        <w:rPr>
          <w:b/>
          <w:bCs/>
          <w:i/>
          <w:iCs/>
        </w:rPr>
        <w:t>Softwarekatalog</w:t>
      </w:r>
      <w:r>
        <w:rPr>
          <w:b/>
          <w:bCs/>
        </w:rPr>
        <w:t xml:space="preserve"> premise.</w:t>
      </w:r>
      <w:r>
        <w:t xml:space="preserve"> The current VO-DV I contains no approved-programs provision and the ministry describes per-school discretion; a pre-2022 text and a 2025 Landtag answer could not be retrieved. Resolve by written enquiry, not further desk research.</w:t>
      </w:r>
    </w:p>
    <w:p w14:paraId="51441DC2" w14:textId="77777777" w:rsidR="0090768F" w:rsidRDefault="00000000">
      <w:pPr>
        <w:pStyle w:val="Compact"/>
        <w:numPr>
          <w:ilvl w:val="0"/>
          <w:numId w:val="23"/>
        </w:numPr>
      </w:pPr>
      <w:r>
        <w:rPr>
          <w:b/>
          <w:bCs/>
        </w:rPr>
        <w:t xml:space="preserve">The Bavarian </w:t>
      </w:r>
      <w:r>
        <w:rPr>
          <w:b/>
          <w:bCs/>
          <w:i/>
          <w:iCs/>
        </w:rPr>
        <w:t>Handlungsleitfaden “Künstliche Intelligenz in der pädagogischen Praxis”</w:t>
      </w:r>
      <w:r>
        <w:rPr>
          <w:b/>
          <w:bCs/>
        </w:rPr>
        <w:t>, Fassung 19.05.2026</w:t>
      </w:r>
      <w:r>
        <w:t xml:space="preserve"> — title and date confirmed, contents unread. Highest-priority remaining German document given market size.</w:t>
      </w:r>
    </w:p>
    <w:p w14:paraId="3D368487" w14:textId="77777777" w:rsidR="0090768F" w:rsidRDefault="00000000">
      <w:pPr>
        <w:pStyle w:val="Compact"/>
        <w:numPr>
          <w:ilvl w:val="0"/>
          <w:numId w:val="23"/>
        </w:numPr>
      </w:pPr>
      <w:r>
        <w:rPr>
          <w:b/>
          <w:bCs/>
        </w:rPr>
        <w:t>The reported transfer of FERPA/PPRA complaint investigation to DOJ (June 2026).</w:t>
      </w:r>
      <w:r>
        <w:t xml:space="preserve"> Single secondary source, no effective date, parties said details were unresolved. It changes the character of US enforcement if true.</w:t>
      </w:r>
    </w:p>
    <w:p w14:paraId="6F86FBD8" w14:textId="77777777" w:rsidR="0090768F" w:rsidRDefault="00000000">
      <w:pPr>
        <w:pStyle w:val="FirstParagraph"/>
      </w:pPr>
      <w:r>
        <w:rPr>
          <w:b/>
          <w:bCs/>
        </w:rPr>
        <w:t>EU layer</w:t>
      </w:r>
    </w:p>
    <w:p w14:paraId="28786E47" w14:textId="77777777" w:rsidR="0090768F" w:rsidRDefault="00000000">
      <w:pPr>
        <w:pStyle w:val="Compact"/>
        <w:numPr>
          <w:ilvl w:val="0"/>
          <w:numId w:val="24"/>
        </w:numPr>
      </w:pPr>
      <w:r>
        <w:lastRenderedPageBreak/>
        <w:t xml:space="preserve">Whether a </w:t>
      </w:r>
      <w:r>
        <w:rPr>
          <w:b/>
          <w:bCs/>
        </w:rPr>
        <w:t>final</w:t>
      </w:r>
      <w:r>
        <w:t xml:space="preserve"> version of the Commission’s high-risk classification guidelines has been adopted (last confirmed state: draft, 19 May 2026; non-binding either way).</w:t>
      </w:r>
    </w:p>
    <w:p w14:paraId="2F2B6758" w14:textId="77777777" w:rsidR="0090768F" w:rsidRDefault="00000000">
      <w:pPr>
        <w:pStyle w:val="Compact"/>
        <w:numPr>
          <w:ilvl w:val="0"/>
          <w:numId w:val="24"/>
        </w:numPr>
      </w:pPr>
      <w:r>
        <w:t xml:space="preserve">Whether </w:t>
      </w:r>
      <w:r>
        <w:rPr>
          <w:b/>
          <w:bCs/>
        </w:rPr>
        <w:t>any harmonised standard</w:t>
      </w:r>
      <w:r>
        <w:t xml:space="preserve"> under the AI Act has had its reference published in the Official Journal. No evidence was found that any has. Re-check immediately before this paper is finalised — it is the fastest-moving item in the file.</w:t>
      </w:r>
    </w:p>
    <w:p w14:paraId="2F2874BC" w14:textId="77777777" w:rsidR="0090768F" w:rsidRDefault="00000000">
      <w:pPr>
        <w:pStyle w:val="Compact"/>
        <w:numPr>
          <w:ilvl w:val="0"/>
          <w:numId w:val="24"/>
        </w:numPr>
      </w:pPr>
      <w:r>
        <w:t xml:space="preserve">The current stage of the </w:t>
      </w:r>
      <w:r>
        <w:rPr>
          <w:b/>
          <w:bCs/>
        </w:rPr>
        <w:t>GDPR limb of the Digital Omnibus</w:t>
      </w:r>
      <w:r>
        <w:t xml:space="preserve">, which proposed amendments to Art. 22. Not adopted as far as could be verified. </w:t>
      </w:r>
      <w:r>
        <w:rPr>
          <w:b/>
          <w:bCs/>
        </w:rPr>
        <w:t>Do not plan on Art. 22 being relaxed.</w:t>
      </w:r>
    </w:p>
    <w:p w14:paraId="3E131B00" w14:textId="77777777" w:rsidR="0090768F" w:rsidRDefault="00000000">
      <w:pPr>
        <w:pStyle w:val="Compact"/>
        <w:numPr>
          <w:ilvl w:val="0"/>
          <w:numId w:val="24"/>
        </w:numPr>
      </w:pPr>
      <w:r>
        <w:t xml:space="preserve">Whether an </w:t>
      </w:r>
      <w:r>
        <w:rPr>
          <w:b/>
          <w:bCs/>
        </w:rPr>
        <w:t xml:space="preserve">appeal has been lodged against T-553/23 </w:t>
      </w:r>
      <w:r>
        <w:rPr>
          <w:b/>
          <w:bCs/>
          <w:i/>
          <w:iCs/>
        </w:rPr>
        <w:t>Latombe</w:t>
      </w:r>
      <w:r>
        <w:t>, and the current political standing of the EU–US Data Privacy Framework. Re-check before advising a customer on US model endpoints.</w:t>
      </w:r>
    </w:p>
    <w:p w14:paraId="7DFFAC82" w14:textId="77777777" w:rsidR="0090768F" w:rsidRDefault="00000000">
      <w:pPr>
        <w:pStyle w:val="Compact"/>
        <w:numPr>
          <w:ilvl w:val="0"/>
          <w:numId w:val="24"/>
        </w:numPr>
      </w:pPr>
      <w:r>
        <w:t xml:space="preserve">Whether the </w:t>
      </w:r>
      <w:r>
        <w:rPr>
          <w:b/>
          <w:bCs/>
        </w:rPr>
        <w:t>AI Office has published the Art. 27(5) FRIA template</w:t>
      </w:r>
      <w:r>
        <w:t>.</w:t>
      </w:r>
    </w:p>
    <w:p w14:paraId="5489EB70" w14:textId="77777777" w:rsidR="0090768F" w:rsidRDefault="00000000">
      <w:pPr>
        <w:pStyle w:val="Compact"/>
        <w:numPr>
          <w:ilvl w:val="0"/>
          <w:numId w:val="24"/>
        </w:numPr>
      </w:pPr>
      <w:r>
        <w:t xml:space="preserve">Whether </w:t>
      </w:r>
      <w:r>
        <w:rPr>
          <w:b/>
          <w:bCs/>
        </w:rPr>
        <w:t>any authority has addressed the Art. 49 / Chapter III Section 5 application gap</w:t>
      </w:r>
      <w:r>
        <w:t xml:space="preserve"> (§4.5). None found.</w:t>
      </w:r>
    </w:p>
    <w:p w14:paraId="4A1A1D66" w14:textId="77777777" w:rsidR="0090768F" w:rsidRDefault="00000000">
      <w:pPr>
        <w:pStyle w:val="Compact"/>
        <w:numPr>
          <w:ilvl w:val="0"/>
          <w:numId w:val="24"/>
        </w:numPr>
      </w:pPr>
      <w:r>
        <w:t xml:space="preserve">Whether </w:t>
      </w:r>
      <w:r>
        <w:rPr>
          <w:b/>
          <w:bCs/>
        </w:rPr>
        <w:t>EDPB Guidelines 01/2025 on pseudonymisation</w:t>
      </w:r>
      <w:r>
        <w:t xml:space="preserve"> have been finalised post-consultation.</w:t>
      </w:r>
    </w:p>
    <w:p w14:paraId="66E6B99B" w14:textId="77777777" w:rsidR="0090768F" w:rsidRDefault="00000000">
      <w:pPr>
        <w:pStyle w:val="FirstParagraph"/>
      </w:pPr>
      <w:r>
        <w:rPr>
          <w:b/>
          <w:bCs/>
        </w:rPr>
        <w:t>Germany</w:t>
      </w:r>
    </w:p>
    <w:p w14:paraId="3C6B4A32" w14:textId="77777777" w:rsidR="0090768F" w:rsidRDefault="00000000">
      <w:pPr>
        <w:pStyle w:val="Compact"/>
        <w:numPr>
          <w:ilvl w:val="0"/>
          <w:numId w:val="25"/>
        </w:numPr>
      </w:pPr>
      <w:r>
        <w:t xml:space="preserve">School data-protection provisions and ordinance names for </w:t>
      </w:r>
      <w:r>
        <w:rPr>
          <w:b/>
          <w:bCs/>
        </w:rPr>
        <w:t>Berlin, Rheinland-Pfalz, Sachsen, Saarland, Schleswig-Holstein, Hamburg, Bremen, Brandenburg, Mecklenburg-Vorpommern, Sachsen-Anhalt and Thüringen</w:t>
      </w:r>
      <w:r>
        <w:t>. Do not cite section numbers for these Länder from this paper.</w:t>
      </w:r>
    </w:p>
    <w:p w14:paraId="7B0A46AA" w14:textId="77777777" w:rsidR="0090768F" w:rsidRDefault="00000000">
      <w:pPr>
        <w:pStyle w:val="Compact"/>
        <w:numPr>
          <w:ilvl w:val="0"/>
          <w:numId w:val="25"/>
        </w:numPr>
      </w:pPr>
      <w:r>
        <w:rPr>
          <w:b/>
          <w:bCs/>
        </w:rPr>
        <w:t>Baden-Württemberg § 115b SchG and the DUVO text</w:t>
      </w:r>
      <w:r>
        <w:t xml:space="preserve"> (ministry citation, texts not read); the </w:t>
      </w:r>
      <w:r>
        <w:rPr>
          <w:b/>
          <w:bCs/>
        </w:rPr>
        <w:t>Hessen SchulDSVO</w:t>
      </w:r>
      <w:r>
        <w:t xml:space="preserve"> consolidated text.</w:t>
      </w:r>
    </w:p>
    <w:p w14:paraId="5445D42E" w14:textId="77777777" w:rsidR="0090768F" w:rsidRDefault="00000000">
      <w:pPr>
        <w:pStyle w:val="Compact"/>
        <w:numPr>
          <w:ilvl w:val="0"/>
          <w:numId w:val="25"/>
        </w:numPr>
      </w:pPr>
      <w:r>
        <w:rPr>
          <w:b/>
          <w:bCs/>
        </w:rPr>
        <w:t>Länder co-determination provisions</w:t>
      </w:r>
      <w:r>
        <w:t xml:space="preserve"> (only the federal BPersVG was verified) and the </w:t>
      </w:r>
      <w:r>
        <w:rPr>
          <w:b/>
          <w:bCs/>
        </w:rPr>
        <w:t>Länder equivalents of § 35a VwVfG</w:t>
      </w:r>
      <w:r>
        <w:t>.</w:t>
      </w:r>
    </w:p>
    <w:p w14:paraId="15E9BC42" w14:textId="77777777" w:rsidR="0090768F" w:rsidRDefault="00000000">
      <w:pPr>
        <w:pStyle w:val="Compact"/>
        <w:numPr>
          <w:ilvl w:val="0"/>
          <w:numId w:val="25"/>
        </w:numPr>
      </w:pPr>
      <w:r>
        <w:rPr>
          <w:b/>
          <w:bCs/>
        </w:rPr>
        <w:t>HRK positions</w:t>
      </w:r>
      <w:r>
        <w:t xml:space="preserve"> on AI in university examinations — the KI-LOTSE project and the November 2024 paper could not be opened.</w:t>
      </w:r>
    </w:p>
    <w:p w14:paraId="42E7F7C2" w14:textId="77777777" w:rsidR="0090768F" w:rsidRDefault="00000000">
      <w:pPr>
        <w:pStyle w:val="Compact"/>
        <w:numPr>
          <w:ilvl w:val="0"/>
          <w:numId w:val="25"/>
        </w:numPr>
      </w:pPr>
      <w:r>
        <w:rPr>
          <w:b/>
          <w:bCs/>
        </w:rPr>
        <w:t>LOGINEO NRW, mebis, itslearning and Microsoft 365 authorisation timelines.</w:t>
      </w:r>
      <w:r>
        <w:t xml:space="preserve"> The timeline estimates in §8.1 are structural inferences, not precedents. Verify before putting numbers in front of a board or an investor.</w:t>
      </w:r>
    </w:p>
    <w:p w14:paraId="5818A7C4" w14:textId="77777777" w:rsidR="0090768F" w:rsidRDefault="00000000">
      <w:pPr>
        <w:pStyle w:val="Compact"/>
        <w:numPr>
          <w:ilvl w:val="0"/>
          <w:numId w:val="25"/>
        </w:numPr>
      </w:pPr>
      <w:r>
        <w:t xml:space="preserve">No specific published position on AI-assisted grading was found from </w:t>
      </w:r>
      <w:r>
        <w:rPr>
          <w:b/>
          <w:bCs/>
        </w:rPr>
        <w:t>BayLDA, LDI NRW, BlnBDI or HBDI</w:t>
      </w:r>
      <w:r>
        <w:t xml:space="preserve"> — absence of evidence from a truncated search, not evidence of absence.</w:t>
      </w:r>
    </w:p>
    <w:p w14:paraId="44E8DF52" w14:textId="77777777" w:rsidR="0090768F" w:rsidRDefault="00000000">
      <w:pPr>
        <w:pStyle w:val="FirstParagraph"/>
      </w:pPr>
      <w:r>
        <w:rPr>
          <w:b/>
          <w:bCs/>
        </w:rPr>
        <w:t>United Kingdom</w:t>
      </w:r>
    </w:p>
    <w:p w14:paraId="34CC33D1" w14:textId="77777777" w:rsidR="0090768F" w:rsidRDefault="00000000">
      <w:pPr>
        <w:pStyle w:val="Compact"/>
        <w:numPr>
          <w:ilvl w:val="0"/>
          <w:numId w:val="26"/>
        </w:numPr>
      </w:pPr>
      <w:r>
        <w:rPr>
          <w:b/>
          <w:bCs/>
        </w:rPr>
        <w:t>Final ICO ADM guidance</w:t>
      </w:r>
      <w:r>
        <w:t xml:space="preserve"> (consultation closed 29 May 2026; not published). All “meaningful human involvement” detail is from the draft.</w:t>
      </w:r>
    </w:p>
    <w:p w14:paraId="18ECA967" w14:textId="77777777" w:rsidR="0090768F" w:rsidRDefault="00000000">
      <w:pPr>
        <w:pStyle w:val="Compact"/>
        <w:numPr>
          <w:ilvl w:val="0"/>
          <w:numId w:val="26"/>
        </w:numPr>
      </w:pPr>
      <w:r>
        <w:rPr>
          <w:b/>
          <w:bCs/>
        </w:rPr>
        <w:t>The statutory ICO AI/ADM code under SI 2026/425</w:t>
      </w:r>
      <w:r>
        <w:t xml:space="preserve"> — the duty is in force but no draft, consultation or timetable was found. Its children’s-data chapter will be the definitive UK conformance document.</w:t>
      </w:r>
    </w:p>
    <w:p w14:paraId="4A2B8B0A" w14:textId="77777777" w:rsidR="0090768F" w:rsidRDefault="00000000">
      <w:pPr>
        <w:pStyle w:val="Compact"/>
        <w:numPr>
          <w:ilvl w:val="0"/>
          <w:numId w:val="26"/>
        </w:numPr>
      </w:pPr>
      <w:r>
        <w:rPr>
          <w:b/>
          <w:bCs/>
        </w:rPr>
        <w:t>JCQ section numbering</w:t>
      </w:r>
      <w:r>
        <w:t xml:space="preserve"> — quotes come from the website rendering; the PDFs returned errors.</w:t>
      </w:r>
    </w:p>
    <w:p w14:paraId="0381E870" w14:textId="77777777" w:rsidR="0090768F" w:rsidRDefault="00000000">
      <w:pPr>
        <w:pStyle w:val="Compact"/>
        <w:numPr>
          <w:ilvl w:val="0"/>
          <w:numId w:val="26"/>
        </w:numPr>
      </w:pPr>
      <w:r>
        <w:rPr>
          <w:b/>
          <w:bCs/>
        </w:rPr>
        <w:lastRenderedPageBreak/>
        <w:t>Any OfS AI-specific condition or guidance</w:t>
      </w:r>
      <w:r>
        <w:t>, and any 2025–26 QAA output on AI marking. None found.</w:t>
      </w:r>
    </w:p>
    <w:p w14:paraId="29BEB016" w14:textId="77777777" w:rsidR="0090768F" w:rsidRDefault="00000000">
      <w:pPr>
        <w:pStyle w:val="Compact"/>
        <w:numPr>
          <w:ilvl w:val="0"/>
          <w:numId w:val="26"/>
        </w:numPr>
      </w:pPr>
      <w:r>
        <w:rPr>
          <w:b/>
          <w:bCs/>
        </w:rPr>
        <w:t>The formal route for adding a third-party service to Glow</w:t>
      </w:r>
      <w:r>
        <w:t xml:space="preserve"> (Scotland) and a formal published supplier-assurance regime for </w:t>
      </w:r>
      <w:r>
        <w:rPr>
          <w:b/>
          <w:bCs/>
        </w:rPr>
        <w:t>Hwb</w:t>
      </w:r>
      <w:r>
        <w:t xml:space="preserve"> (Wales). Both routes in §8.2 are moderate-confidence inferences.</w:t>
      </w:r>
    </w:p>
    <w:p w14:paraId="1375F398" w14:textId="77777777" w:rsidR="0090768F" w:rsidRDefault="00000000">
      <w:pPr>
        <w:pStyle w:val="FirstParagraph"/>
      </w:pPr>
      <w:r>
        <w:rPr>
          <w:b/>
          <w:bCs/>
        </w:rPr>
        <w:t>United States</w:t>
      </w:r>
    </w:p>
    <w:p w14:paraId="2F0EB927" w14:textId="77777777" w:rsidR="0090768F" w:rsidRDefault="00000000">
      <w:pPr>
        <w:pStyle w:val="Compact"/>
        <w:numPr>
          <w:ilvl w:val="0"/>
          <w:numId w:val="27"/>
        </w:numPr>
      </w:pPr>
      <w:r>
        <w:rPr>
          <w:b/>
          <w:bCs/>
        </w:rPr>
        <w:t>Oklahoma SB 1734 enrolled text.</w:t>
      </w:r>
      <w:r>
        <w:t xml:space="preserve"> Provisions consistently reported across four secondary sources; exact statutory wording unverified.</w:t>
      </w:r>
    </w:p>
    <w:p w14:paraId="62E1EA14" w14:textId="77777777" w:rsidR="0090768F" w:rsidRDefault="00000000">
      <w:pPr>
        <w:pStyle w:val="Compact"/>
        <w:numPr>
          <w:ilvl w:val="0"/>
          <w:numId w:val="27"/>
        </w:numPr>
      </w:pPr>
      <w:r>
        <w:rPr>
          <w:b/>
          <w:bCs/>
        </w:rPr>
        <w:t>NDPA v2.2 Exhibit E verbatim text</w:t>
      </w:r>
      <w:r>
        <w:t xml:space="preserve"> — the single most consequential contract we would execute in the US.</w:t>
      </w:r>
    </w:p>
    <w:p w14:paraId="0FDDE419" w14:textId="77777777" w:rsidR="0090768F" w:rsidRDefault="00000000">
      <w:pPr>
        <w:pStyle w:val="Compact"/>
        <w:numPr>
          <w:ilvl w:val="0"/>
          <w:numId w:val="27"/>
        </w:numPr>
      </w:pPr>
      <w:r>
        <w:t xml:space="preserve">The date and instrument of </w:t>
      </w:r>
      <w:r>
        <w:rPr>
          <w:b/>
          <w:bCs/>
        </w:rPr>
        <w:t>rescission of ED OCR’s AI guidance</w:t>
      </w:r>
      <w:r>
        <w:t xml:space="preserve">; whether </w:t>
      </w:r>
      <w:r>
        <w:rPr>
          <w:b/>
          <w:bCs/>
        </w:rPr>
        <w:t>APA challenges to the Title VI disparate-impact rescission</w:t>
      </w:r>
      <w:r>
        <w:t xml:space="preserve"> are pending.</w:t>
      </w:r>
    </w:p>
    <w:p w14:paraId="4E845CF6" w14:textId="77777777" w:rsidR="0090768F" w:rsidRDefault="00000000">
      <w:pPr>
        <w:pStyle w:val="Compact"/>
        <w:numPr>
          <w:ilvl w:val="0"/>
          <w:numId w:val="27"/>
        </w:numPr>
      </w:pPr>
      <w:r>
        <w:rPr>
          <w:b/>
          <w:bCs/>
        </w:rPr>
        <w:t>The Edmodo stipulated order text</w:t>
      </w:r>
      <w:r>
        <w:t>, including the algorithmic-deletion provision.</w:t>
      </w:r>
    </w:p>
    <w:p w14:paraId="46EF26F4" w14:textId="77777777" w:rsidR="0090768F" w:rsidRDefault="00000000">
      <w:pPr>
        <w:pStyle w:val="Compact"/>
        <w:numPr>
          <w:ilvl w:val="0"/>
          <w:numId w:val="27"/>
        </w:numPr>
      </w:pPr>
      <w:r>
        <w:rPr>
          <w:b/>
          <w:bCs/>
        </w:rPr>
        <w:t>MSCHE (July 2025) and C-RAC (October 2025) AI statements</w:t>
      </w:r>
      <w:r>
        <w:t xml:space="preserve"> — both failed to fetch; obtain before finalising the US higher-education position.</w:t>
      </w:r>
    </w:p>
    <w:p w14:paraId="5FB63375" w14:textId="77777777" w:rsidR="0090768F" w:rsidRDefault="00000000">
      <w:pPr>
        <w:pStyle w:val="Compact"/>
        <w:numPr>
          <w:ilvl w:val="0"/>
          <w:numId w:val="27"/>
        </w:numPr>
      </w:pPr>
      <w:r>
        <w:rPr>
          <w:b/>
          <w:bCs/>
        </w:rPr>
        <w:t>Whether any FERPA NPRM has been published</w:t>
      </w:r>
      <w:r>
        <w:t xml:space="preserve"> under the agenda item the FTC deferred to. The entire COPPA edtech stalemate rests on it.</w:t>
      </w:r>
    </w:p>
    <w:p w14:paraId="6BE10105" w14:textId="77777777" w:rsidR="0090768F" w:rsidRDefault="00000000">
      <w:pPr>
        <w:pStyle w:val="Compact"/>
        <w:numPr>
          <w:ilvl w:val="0"/>
          <w:numId w:val="27"/>
        </w:numPr>
      </w:pPr>
      <w:r>
        <w:rPr>
          <w:b/>
          <w:bCs/>
        </w:rPr>
        <w:t>The outcome of the Florida State Board of Education AI rule vote, 16 September 2026.</w:t>
      </w:r>
    </w:p>
    <w:p w14:paraId="31F0FDC6" w14:textId="77777777" w:rsidR="0090768F" w:rsidRDefault="00000000">
      <w:pPr>
        <w:pStyle w:val="Compact"/>
        <w:numPr>
          <w:ilvl w:val="0"/>
          <w:numId w:val="27"/>
        </w:numPr>
      </w:pPr>
      <w:r>
        <w:t xml:space="preserve">Status of </w:t>
      </w:r>
      <w:r>
        <w:rPr>
          <w:b/>
          <w:bCs/>
        </w:rPr>
        <w:t>California AB 1064</w:t>
      </w:r>
      <w:r>
        <w:t xml:space="preserve">; scope of </w:t>
      </w:r>
      <w:r>
        <w:rPr>
          <w:b/>
          <w:bCs/>
        </w:rPr>
        <w:t>Alabama HB 329</w:t>
      </w:r>
      <w:r>
        <w:t xml:space="preserve">, </w:t>
      </w:r>
      <w:r>
        <w:rPr>
          <w:b/>
          <w:bCs/>
        </w:rPr>
        <w:t>Hawaii SB 2212</w:t>
      </w:r>
      <w:r>
        <w:t xml:space="preserve"> and </w:t>
      </w:r>
      <w:r>
        <w:rPr>
          <w:b/>
          <w:bCs/>
        </w:rPr>
        <w:t>West Virginia HB 5205</w:t>
      </w:r>
      <w:r>
        <w:t xml:space="preserve">; the </w:t>
      </w:r>
      <w:r>
        <w:rPr>
          <w:b/>
          <w:bCs/>
        </w:rPr>
        <w:t>Tennessee LEA AI-policy section number</w:t>
      </w:r>
      <w:r>
        <w:t xml:space="preserve">; whether a </w:t>
      </w:r>
      <w:r>
        <w:rPr>
          <w:b/>
          <w:bCs/>
        </w:rPr>
        <w:t>revised NIST AI RMF</w:t>
      </w:r>
      <w:r>
        <w:t xml:space="preserve"> has been published.</w:t>
      </w:r>
    </w:p>
    <w:p w14:paraId="05447092" w14:textId="77777777" w:rsidR="0090768F" w:rsidRDefault="00000000">
      <w:pPr>
        <w:pStyle w:val="Compact"/>
        <w:numPr>
          <w:ilvl w:val="0"/>
          <w:numId w:val="27"/>
        </w:numPr>
      </w:pPr>
      <w:r>
        <w:rPr>
          <w:b/>
          <w:bCs/>
        </w:rPr>
        <w:t>All AI product-liability case citations</w:t>
      </w:r>
      <w:r>
        <w:t xml:space="preserve"> referenced in secondary analysis, and the </w:t>
      </w:r>
      <w:r>
        <w:rPr>
          <w:b/>
          <w:bCs/>
        </w:rPr>
        <w:t>AI E&amp;O insurance market</w:t>
      </w:r>
      <w:r>
        <w:t>, which was not researched.</w:t>
      </w:r>
    </w:p>
    <w:p w14:paraId="2D9F4A23" w14:textId="77777777" w:rsidR="0090768F" w:rsidRDefault="00000000">
      <w:pPr>
        <w:pStyle w:val="FirstParagraph"/>
      </w:pPr>
      <w:r>
        <w:rPr>
          <w:b/>
          <w:bCs/>
        </w:rPr>
        <w:t>One connectivity note.</w:t>
      </w:r>
      <w:r>
        <w:t xml:space="preserve"> Three MCP connectors (Brightdata, Anthropic Partner Network, Apollo) required re-authorisation during this research and could not be used. Closing the German Länder gaps at item 12 would be materially faster with a working scraper for the DKJS, hessenrecht, landesrecht-bw and Medienberatung NRW hosts, which refused access.</w:t>
      </w:r>
    </w:p>
    <w:p w14:paraId="52EBE3ED" w14:textId="77777777" w:rsidR="0090768F" w:rsidRDefault="00000000">
      <w:pPr>
        <w:pStyle w:val="Heading2"/>
      </w:pPr>
      <w:bookmarkStart w:id="94" w:name="sources"/>
      <w:bookmarkStart w:id="95" w:name="_Toc240060411"/>
      <w:bookmarkEnd w:id="92"/>
      <w:r>
        <w:t>15. Sources</w:t>
      </w:r>
      <w:bookmarkEnd w:id="95"/>
    </w:p>
    <w:p w14:paraId="3E93D251" w14:textId="77777777" w:rsidR="0090768F" w:rsidRDefault="00000000">
      <w:pPr>
        <w:pStyle w:val="Heading3"/>
      </w:pPr>
      <w:bookmarkStart w:id="96" w:name="european-union-legislation"/>
      <w:r>
        <w:t>15.1 European Union — legislation</w:t>
      </w:r>
    </w:p>
    <w:p w14:paraId="47F83163" w14:textId="77777777" w:rsidR="0090768F" w:rsidRDefault="00000000">
      <w:pPr>
        <w:pStyle w:val="FirstParagraph"/>
      </w:pPr>
      <w:r>
        <w:t xml:space="preserve">Regulation (EU) 2024/1689 (AI Act) — https://eur-lex.europa.eu/eli/reg/2024/1689/oj · Regulation (EU) 2026/1744 (Digital Omnibus on AI) — https://eur-lex.europa.eu/eli/reg/2026/1744/oj/eng · Regulation (EU) 2016/679 (GDPR) — https://eur-lex.europa.eu/eli/reg/2016/679/oj · Directive (EU) 2024/2853 (revised Product Liability Directive) — https://eur-lex.europa.eu/eli/dir/2024/2853/oj · Regulation (EU) 2023/2854 (Data Act) — https://eur-lex.europa.eu/eli/reg/2023/2854/oj · Regulation (EU) 2022/868 (Data Governance Act) — https://eur-lex.europa.eu/eli/reg/2022/868/oj · Directive (EU) 2022/2555 (NIS2) — https://eur-lex.europa.eu/eli/dir/2022/2555/oj · Directive (EU) 2019/882 (European Accessibility Act) — https://eur-lex.europa.eu/eli/dir/2019/882/oj · Directive (EU) </w:t>
      </w:r>
      <w:r>
        <w:lastRenderedPageBreak/>
        <w:t>2016/2102 (Web Accessibility Directive) — https://eur-lex.europa.eu/eli/dir/2016/2102/oj · Regulation (EU) 2024/1183 (eIDAS 2) — https://eur-lex.europa.eu/eli/reg/2024/1183/oj · AI Liability Directive, withdrawn: EP Legislative Train — https://www.europarl.europa.eu/legislative-train/theme-a-europe-fit-for-the-digital-age/file-ai-liability-directive ; EP Legislative Observatory 2022/0303(COD) — https://oeil.secure.europarl.europa.eu/oeil/en/procedure-file?reference=2022/0303(COD)</w:t>
      </w:r>
    </w:p>
    <w:p w14:paraId="178B7324" w14:textId="77777777" w:rsidR="0090768F" w:rsidRDefault="00000000">
      <w:pPr>
        <w:pStyle w:val="Heading3"/>
      </w:pPr>
      <w:bookmarkStart w:id="97" w:name="european-union-case-law"/>
      <w:bookmarkEnd w:id="96"/>
      <w:r>
        <w:t>15.2 European Union — case law</w:t>
      </w:r>
    </w:p>
    <w:p w14:paraId="5BCCED30" w14:textId="77777777" w:rsidR="0090768F" w:rsidRDefault="00000000">
      <w:pPr>
        <w:pStyle w:val="FirstParagraph"/>
      </w:pPr>
      <w:r>
        <w:t xml:space="preserve">C-434/16 </w:t>
      </w:r>
      <w:r>
        <w:rPr>
          <w:i/>
          <w:iCs/>
        </w:rPr>
        <w:t>Nowak</w:t>
      </w:r>
      <w:r>
        <w:t xml:space="preserve"> (20 Dec 2017) — https://eur-lex.europa.eu/legal-content/EN/TXT/HTML/?uri=CELEX:62016CJ0434 · C-634/21 </w:t>
      </w:r>
      <w:r>
        <w:rPr>
          <w:i/>
          <w:iCs/>
        </w:rPr>
        <w:t>SCHUFA Holding</w:t>
      </w:r>
      <w:r>
        <w:t xml:space="preserve"> (7 Dec 2023) — https://www.dpcuria.eu/details?reference=C-634%2F21 · C-203/22 </w:t>
      </w:r>
      <w:r>
        <w:rPr>
          <w:i/>
          <w:iCs/>
        </w:rPr>
        <w:t>Dun &amp; Bradstreet Austria</w:t>
      </w:r>
      <w:r>
        <w:t xml:space="preserve"> (27 Feb 2025) — https://eur-lex.europa.eu/legal-content/EN/TXT/HTML/?uri=CELEX:62022CJ0203 · C-413/23 P </w:t>
      </w:r>
      <w:r>
        <w:rPr>
          <w:i/>
          <w:iCs/>
        </w:rPr>
        <w:t>EDPS v SRB</w:t>
      </w:r>
      <w:r>
        <w:t xml:space="preserve"> (4 Sep 2025), CURIA press release CP 107/25 — https://curia.europa.eu/site/upload/docs/application/pdf/2025-09/cp250107en.pdf · T-553/23 </w:t>
      </w:r>
      <w:r>
        <w:rPr>
          <w:i/>
          <w:iCs/>
        </w:rPr>
        <w:t>Latombe v Commission</w:t>
      </w:r>
      <w:r>
        <w:t xml:space="preserve"> (3 Sep 2025) — https://eur-lex.europa.eu/legal-content/EN/TXT/HTML/?uri=CELEX:62023TJ0553</w:t>
      </w:r>
    </w:p>
    <w:p w14:paraId="5FB444B8" w14:textId="77777777" w:rsidR="0090768F" w:rsidRDefault="00000000">
      <w:pPr>
        <w:pStyle w:val="Heading3"/>
      </w:pPr>
      <w:bookmarkStart w:id="98" w:name="european-union-regulatory-guidance"/>
      <w:bookmarkEnd w:id="97"/>
      <w:r>
        <w:t>15.3 European Union — regulatory guidance</w:t>
      </w:r>
    </w:p>
    <w:p w14:paraId="21BD3178" w14:textId="77777777" w:rsidR="0090768F" w:rsidRDefault="00000000">
      <w:pPr>
        <w:pStyle w:val="FirstParagraph"/>
      </w:pPr>
      <w:r>
        <w:t>WP251rev.01, Guidelines on Automated individual decision-making and Profiling — https://ec.europa.eu/newsroom/article29/items/612053/en · WP248rev.01, DPIA Guidelines — https://ec.europa.eu/newsroom/article29/redirection/document/44137 · EDPB Opinion 28/2024 on AI models — https://www.edpb.europa.eu/system/files/2024-12/edpb_opinion_202428_ai-models_en.pdf · EDPB Guidelines 01/2025 on Pseudonymisation — https://www.edpb.europa.eu/system/files/2025-01/edpb_guidelines_202501_pseudonymisation_en.pdf · EDPB Guidelines 02/2026 on Anonymisation — https://www.edpb.europa.eu/system/files/2026-07/edpb_guidelines_202602_anonymisation_v1_en_0.pdf · Draft Commission guidelines on classification of high-risk AI systems (19 May 2026) — https://digital-strategy.ec.europa.eu/en/library/draft-commission-guidelines-classification-high-risk-ai-systems · Commission AI Act Service Desk, Recital 56 — https://ai-act-service-desk.ec.europa.eu/en/ai-act/recital-56 · CEN-CENELEC JTC 21 — https://www.cencenelec.eu/areas-of-work/cen-cenelec-topics/artificial-intelligence/</w:t>
      </w:r>
    </w:p>
    <w:p w14:paraId="721F8E46" w14:textId="77777777" w:rsidR="0090768F" w:rsidRDefault="00000000">
      <w:pPr>
        <w:pStyle w:val="Heading3"/>
      </w:pPr>
      <w:bookmarkStart w:id="99" w:name="germany-2"/>
      <w:bookmarkEnd w:id="98"/>
      <w:r>
        <w:t>15.4 Germany</w:t>
      </w:r>
    </w:p>
    <w:p w14:paraId="3FA210C9" w14:textId="77777777" w:rsidR="0090768F" w:rsidRDefault="00000000">
      <w:pPr>
        <w:pStyle w:val="FirstParagraph"/>
      </w:pPr>
      <w:r>
        <w:rPr>
          <w:b/>
          <w:bCs/>
        </w:rPr>
        <w:t>Legislation.</w:t>
      </w:r>
      <w:r>
        <w:t xml:space="preserve"> KI-MIG — https://www.gesetze-im-internet.de/ki-mig/BJNR0DF0B0026.html · § 35a VwVfG — https://www.gesetze-im-internet.de/vwvfg/__35a.html · § 54 BDSG — https://www.gesetze-im-internet.de/bdsg_2018/__54.html · § 80 BPersVG — https://www.gesetze-im-internet.de/bpersvg_2021/__80.html · SchulG NRW — https://bass.schule.nrw/pdf/6043.pdf · VO-DV I — https://bass.schule.nrw/pdf/101.pdf · VO-DV II — https://bass.schule.nrw/1393.htm · Art. 85 BayEUG — https://www.gesetze-bayern.de/Content/Document/BayEUG-85 · Art. 85a BayEUG — https://www.gesetze-bayern.de/Content/Document/BayEUG-85a · VollzBek DS-Schulen (BayMBl. 2022 Nr. 435) </w:t>
      </w:r>
      <w:r>
        <w:lastRenderedPageBreak/>
        <w:t>— https://www.verkuendung-bayern.de/files/baymbl/2022/435/baymbl-2022-435.pdf · § 31 NSchG — https://voris.wolterskluwer-online.de/browse/document/5dc11ebf-5e37-3908-9d1d-8e24890d49ef · Zulassung von Lernmitteln NRW — https://bass.schule.nrw/5393.htm</w:t>
      </w:r>
    </w:p>
    <w:p w14:paraId="476AC483" w14:textId="77777777" w:rsidR="0090768F" w:rsidRDefault="00000000">
      <w:pPr>
        <w:pStyle w:val="BodyText"/>
      </w:pPr>
      <w:r>
        <w:rPr>
          <w:b/>
          <w:bCs/>
        </w:rPr>
        <w:t>Case law.</w:t>
      </w:r>
      <w:r>
        <w:t xml:space="preserve"> Kraft, </w:t>
      </w:r>
      <w:r>
        <w:rPr>
          <w:i/>
          <w:iCs/>
        </w:rPr>
        <w:t>Neuere Rechtsprechung des BVerwG zum Prüfungsrecht</w:t>
      </w:r>
      <w:r>
        <w:t xml:space="preserve"> (May 2022) — http://www.ingokraft.de/Docs/PruefungsR.pdf · BVerwG 6 C 19.18 — https://www.bverwg.de/100419u6c19.18.0</w:t>
      </w:r>
    </w:p>
    <w:p w14:paraId="6601B918" w14:textId="77777777" w:rsidR="0090768F" w:rsidRDefault="00000000">
      <w:pPr>
        <w:pStyle w:val="BodyText"/>
      </w:pPr>
      <w:r>
        <w:rPr>
          <w:b/>
          <w:bCs/>
        </w:rPr>
        <w:t>KMK / Bildungs-MK.</w:t>
      </w:r>
      <w:r>
        <w:t xml:space="preserve"> Handlungsempfehlung KI (10.10.2024) — https://www.kmk.org/fileadmin/Dateien/veroeffentlichungen_beschluesse/2024/2024_10_10-Handlungsempfehlung-KI.pdf · Neue Struktur der KMK — https://www.kmk.org/aktuelles/artikelansicht/neue-struktur-der-kultusministerkonferenz-strategische-neuausrichtung-fuer-die-bereiche-bildung-wissenschaft-und-kultur.html · Die Kultusministerkonferenz — https://www.kmk.org/kultusministerkonferenz.html</w:t>
      </w:r>
    </w:p>
    <w:p w14:paraId="6B26AFF3" w14:textId="77777777" w:rsidR="0090768F" w:rsidRDefault="00000000">
      <w:pPr>
        <w:pStyle w:val="BodyText"/>
      </w:pPr>
      <w:r>
        <w:rPr>
          <w:b/>
          <w:bCs/>
        </w:rPr>
        <w:t>Data protection.</w:t>
      </w:r>
      <w:r>
        <w:t xml:space="preserve"> DSK, Orientierungshilfe KI und Datenschutz V1.0 (06.05.2024) — https://www.datenschutzkonferenz-online.de/media/oh/20240506_DSK_Orientierungshilfe_KI_und_Datenschutz.pdf · DSK, Orientierungshilfe Online-Lernplattformen (26.04.2018) — https://www.datenschutzkonferenz-online.de/media/oh/20180426_oh_online_lernplattformen.pdf · DSK, TOM bei KI-Systemen (06/2025) — https://www.datenschutzkonferenz-online.de/media/oh/DSK-OH_KI-Systeme.pdf · DSK, RAG (10/2025) — https://www.datenschutzkonferenz-online.de/media/oh/DSK_OH_RAG.pdf · DSK, Muss-Liste DSFA v1.1 (17.10.2018) — https://www.datenschutzkonferenz-online.de/media/ah/20181017_ah_DSK_DSFA_Muss-Liste_Version_1.1_Deutsch.pdf · LfDI BW, Diskussionspapier V2.0 — https://www.baden-wuerttemberg.datenschutz.de/version-2-0-diskussionspapier-rechtsgrundlagen-im-datenschutz-beim-einsatz-von-kuenstlicher-intelligenz/ · HmbBfDI, LLM-Diskussionspapier (15.07.2024) — https://datenschutz-hamburg.de/fileadmin/user_upload/HmbBfDI/Datenschutz/Informationen/240715_Diskussionspapier_HmbBfDI_KI_Modelle.pdf · BayLfD, FAQ Schulen — https://www.datenschutz-bayern.de/datenschutzreform2018/FAQ_Schulen.pdf · BfDI, Handreichung KI (22.12.2025) — https://www.bfdi.bund.de/SharedDocs/Downloads/DE/DokumenteBfDI/Dokumente-allg/2025/Handreichung-KI.pdf</w:t>
      </w:r>
    </w:p>
    <w:p w14:paraId="4638DC23" w14:textId="77777777" w:rsidR="0090768F" w:rsidRDefault="00000000">
      <w:pPr>
        <w:pStyle w:val="BodyText"/>
      </w:pPr>
      <w:r>
        <w:rPr>
          <w:b/>
          <w:bCs/>
        </w:rPr>
        <w:t>Länder guidance.</w:t>
      </w:r>
      <w:r>
        <w:t xml:space="preserve"> BW Kultusministerium, KI im Unterricht — https://km.baden-wuerttemberg.de/de/schule/digitalisierung/kuenstliche-intelligenz-im-unterricht · Bayern KM, KI — https://www.km.bayern.de/gestalten/digitalisierung/kuenstliche-intelligenz · Hessen, Handreichung KI (07/2023) — https://digitale-schule.hessen.de/sites/digitale-schule.hessen.de/files/2023-07/ki_handreichung.pdf · NRW, Handlungsleitfaden (02/2023) — https://www.schulministerium.nrw/system/files/media/document/file/handlungsleitfaden_ki_msb_nrw_230223.pdf · NRW Datenschutz-FAQ — https://www.schulministerium.nrw/fragen-und-antworten-zum-datenschutz</w:t>
      </w:r>
    </w:p>
    <w:p w14:paraId="0E62030F" w14:textId="77777777" w:rsidR="0090768F" w:rsidRDefault="00000000">
      <w:pPr>
        <w:pStyle w:val="BodyText"/>
      </w:pPr>
      <w:r>
        <w:rPr>
          <w:b/>
          <w:bCs/>
        </w:rPr>
        <w:lastRenderedPageBreak/>
        <w:t>Other.</w:t>
      </w:r>
      <w:r>
        <w:t xml:space="preserve"> Bundestag WD 8 – 3000 – 004/25 — https://www.bundestag.de/resource/blob/1058904/7362e1bfab54b947f6ee3e661bec1706/WD-8-004-25-pdf.pdf · DKJS Memorandum (not retrievable) — https://www.dkjs.de/wp-content/uploads/2025/05/memorandum_ki_leistungsbewertung.pdf ; report — https://news.datenschutz-schule.info/2025/08/08/dkjs-memorandum-zu-ki-in-der-leistungbewertung/ · HRK KI-LOTSE (not read) — https://www.hrk.de/themen/hochschulsystem/ki-lotse/</w:t>
      </w:r>
    </w:p>
    <w:p w14:paraId="611C0FD8" w14:textId="77777777" w:rsidR="0090768F" w:rsidRDefault="00000000">
      <w:pPr>
        <w:pStyle w:val="Heading3"/>
      </w:pPr>
      <w:bookmarkStart w:id="100" w:name="united-kingdom-2"/>
      <w:bookmarkEnd w:id="99"/>
      <w:r>
        <w:t>15.5 United Kingdom</w:t>
      </w:r>
    </w:p>
    <w:p w14:paraId="0C98B08E" w14:textId="77777777" w:rsidR="0090768F" w:rsidRDefault="00000000">
      <w:pPr>
        <w:pStyle w:val="FirstParagraph"/>
      </w:pPr>
      <w:r>
        <w:rPr>
          <w:b/>
          <w:bCs/>
        </w:rPr>
        <w:t>Legislation.</w:t>
      </w:r>
      <w:r>
        <w:t xml:space="preserve"> Data (Use and Access) Act 2025 — https://www.legislation.gov.uk/ukpga/2025/18/contents ; s.80 (ADM) — https://www.legislation.gov.uk/ukpga/2025/18/section/80/enacted ; Sch.6 — https://www.legislation.gov.uk/ukpga/2025/18/schedule/6 ; s.103 — https://www.legislation.gov.uk/ukpga/2025/18/section/103 · SI 2026/82 (Commencement No.6) — https://www.legislation.gov.uk/uksi/2026/82/regulation/2/made · SI 2026/425 (AI/ADM Code Regulations) — https://www.legislation.gov.uk/uksi/2026/425/made · DPA 2018 Sch.2 Pt.4 (exam scripts) — https://www.legislation.gov.uk/ukpga/2018/12/schedule/2/part/4 · Children’s Wellbeing and Schools Act 2026 — https://www.legislation.gov.uk/ukpga/2026/21/contents · Education (Scotland) Act 2025 — https://www.legislation.gov.uk/asp/2025/11/contents</w:t>
      </w:r>
    </w:p>
    <w:p w14:paraId="58B9FE51" w14:textId="77777777" w:rsidR="0090768F" w:rsidRDefault="00000000">
      <w:pPr>
        <w:pStyle w:val="BodyText"/>
      </w:pPr>
      <w:r>
        <w:rPr>
          <w:b/>
          <w:bCs/>
        </w:rPr>
        <w:t>ICO.</w:t>
      </w:r>
      <w:r>
        <w:t xml:space="preserve"> Edtech examined (24 Jun 2026) — https://ico.org.uk/media2/13yfm55z/edtech-examined-key-findings-from-our-audits.pdf ; statement — https://ico.org.uk/about-the-ico/media-centre/news-and-blogs/2026/06/ico-statement-on-edtech-examined-report/ · ADM guidance consultation — https://ico.org.uk/about-the-ico/ico-and-stakeholder-consultations/2026/03/ico-consultation-on-the-draft-guidance-about-automated-decision-making-including-profiling/ · AI and biometrics strategy update (Mar 2026) — https://ico.org.uk/about-the-ico/our-information/our-strategies-and-plans/artificial-intelligence-and-biometrics-strategy/ai-and-biometrics-strategy-update-march-2026/ · Children’s code and edtech — https://ico.org.uk/for-organisations/uk-gdpr-guidance-and-resources/childrens-information/childrens-code-guidance-and-resources/the-children-s-code-and-education-technologies-edtech/ · When a DPIA is needed — https://ico.org.uk/for-organisations/uk-gdpr-guidance-and-resources/accountability-and-governance/data-protection-impact-assessments-dpias/when-do-we-need-to-do-a-dpia/</w:t>
      </w:r>
    </w:p>
    <w:p w14:paraId="725E553F" w14:textId="77777777" w:rsidR="0090768F" w:rsidRDefault="00000000">
      <w:pPr>
        <w:pStyle w:val="BodyText"/>
      </w:pPr>
      <w:r>
        <w:rPr>
          <w:b/>
          <w:bCs/>
        </w:rPr>
        <w:t>DfE and regulators.</w:t>
      </w:r>
      <w:r>
        <w:t xml:space="preserve"> Generative AI in education (policy paper) — https://www.gov.uk/government/publications/generative-artificial-intelligence-in-education/generative-artificial-intelligence-ai-in-education · Generative AI: product safety standards — https://www.gov.uk/government/publications/generative-ai-product-safety-standards/generative-ai-product-safety-standards · Data protection in schools — https://www.gov.uk/guidance/data-protection-in-schools ; responsibilities — https://www.gov.uk/guidance/data-protection-in-schools/responsibilities ; procuring edtech — https://www.gov.uk/guidance/data-protection-in-schools/procuring-</w:t>
      </w:r>
      <w:r>
        <w:lastRenderedPageBreak/>
        <w:t>educational-technology-edtech · Keeping children safe in education 2026 — https://www.gov.uk/government/publications/keeping-children-safe-in-education–2 · Buying for schools — https://www.gov.uk/guidance/buying-for-schools–2 ; DfE-approved frameworks — https://www.gov.uk/guidance/find-a-dfe-approved-framework-for-your-school · EdTech Impact Testbed Programme notice — https://www.contractsfinder.service.gov.uk/Notice/b40ba505-9e3d-4f9b-a479-6f1f678fb3d9 · Ofqual, approach to regulating AI — https://www.gov.uk/government/publications/ofquals-approach-to-regulating-the-use-of-artificial-intelligence-in-the-qualifications-sector/ofquals-approach-to-regulating-the-use-of-artificial-intelligence-in-the-qualifications-sector–2 · Ofqual, Principles of AI use in marking (14 Jan 2026) — https://www.gov.uk/government/publications/principles-of-ai-use-in-marking/principles-of-ai-use-in-marking · JCQ, AI Use in Assessments — https://www.jcq.org.uk/exams-office/malpractice/artificial-intelligence/ · ATRS mandatory scope and exemptions policy — https://www.gov.uk/government/publications/algorithmic-transparency-recording-standard-mandatory-scope-and-exemptions-policy/algorithmic-transparency-recording-standard-atrs-mandatory-scope-and-exemptions-policy · Commons Library CBP-10003, AI regulation in the UK (10 Jun 2026) — https://researchbriefings.files.parliament.uk/documents/CBP-10003/CBP-10003.pdf</w:t>
      </w:r>
    </w:p>
    <w:p w14:paraId="27F93A57" w14:textId="77777777" w:rsidR="0090768F" w:rsidRDefault="00000000">
      <w:pPr>
        <w:pStyle w:val="BodyText"/>
      </w:pPr>
      <w:r>
        <w:rPr>
          <w:b/>
          <w:bCs/>
        </w:rPr>
        <w:t>Devolved.</w:t>
      </w:r>
      <w:r>
        <w:t xml:space="preserve"> Scotland, AI in schools: guidelines and guardrails (25 Mar 2026) — https://www.gov.scot/publications/scottish-guidelines-guardrails-use-artificial-intelligence-ai-schools/ · Glow Connect — https://glowconnect.org.uk/about-glow/ · Qualifications Wales, AI position statement (14 Aug 2026) — https://qualifications.wales/news-views/our-updated-position-statement-on-artificial-intelligence/ · Hwb, generative AI in education — https://hwb.gov.wales/school-improvement-and-leadership/education-digital-standards/generative-artificial-intelligence-in-education · Education Wales, national approach (27 Feb 2026) — https://educationwales.blog.gov.wales/2026/02/27/generative-ai-in-education-wales-national-approach/ · DE Circular 2026/02 (NI) — https://www.into.ie/app/uploads/2026/05/DE-Circular-2026-02-Guidance-for-education-professionals-on-Generative-AI.pdf</w:t>
      </w:r>
    </w:p>
    <w:p w14:paraId="1F3FD72D" w14:textId="77777777" w:rsidR="0090768F" w:rsidRDefault="00000000">
      <w:pPr>
        <w:pStyle w:val="Heading3"/>
      </w:pPr>
      <w:bookmarkStart w:id="101" w:name="united-states-federal-1"/>
      <w:bookmarkEnd w:id="100"/>
      <w:r>
        <w:t>15.6 United States — federal</w:t>
      </w:r>
    </w:p>
    <w:p w14:paraId="6F2E9C55" w14:textId="77777777" w:rsidR="0090768F" w:rsidRDefault="00000000">
      <w:pPr>
        <w:pStyle w:val="FirstParagraph"/>
      </w:pPr>
      <w:r>
        <w:t xml:space="preserve">34 CFR Part 99 (FERPA) — https://www.ecfr.gov/current/title-34/subtitle-A/part-99 · 34 CFR § 99.31 — https://www.ecfr.gov/current/title-34/subtitle-A/part-99/subpart-D/section-99.31 · 20 U.S.C. § 1232h (PPRA) — https://www.law.cornell.edu/uscode/text/20/1232h · 34 CFR Part 300 Subpart F (IDEA confidentiality) — https://www.ecfr.gov/current/title-34/subtitle-B/chapter-III/part-300/subpart-F · 34 CFR § 600.2 (regular and substantive interaction) — https://www.ecfr.gov/current/title-34/subtitle-B/chapter-VI/part-600/subpart-A/section-600.2 · </w:t>
      </w:r>
      <w:r>
        <w:rPr>
          <w:i/>
          <w:iCs/>
        </w:rPr>
        <w:t>Gonzaga University v. Doe</w:t>
      </w:r>
      <w:r>
        <w:t>, 536 U.S. 273 (2002) — https://tile.loc.gov/storage-services/service/ll/usrep/usrep536/usrep536273/usrep536273.pdf · PTAC, Protecting Student Privacy While Using Online Educational Services (Feb 2014) — https://studentprivacy.ed.gov/sites/default/files/resource_document/file/Student%20Pri</w:t>
      </w:r>
      <w:r>
        <w:lastRenderedPageBreak/>
        <w:t>vacy%20and%20Online%20Educational%20Services%20%28February%202014%29_0.pdf · PTAC, Responsibilities of Third-Party Service Providers (Aug 2015) — https://studentprivacy.ed.gov/sites/default/files/resource_document/file/Vendor%20FAQ.pdf · COPPA Rule final amendments, 90 FR 16916 (22 Apr 2025) — https://www.federalregister.gov/documents/2025/04/22/2025-05904/childrens-online-privacy-protection-rule · FTC Policy Statement on Education Technology and COPPA (19 May 2022) — https://www.ftc.gov/system/files/ftc_gov/pdf/Policy%20Statement%20of%20the%20Federal%20Trade%20Commission%20on%20Education%20Technology.pdf · FTC v. Edmodo press release — https://www.ftc.gov/news-events/news/press-releases/2023/05/ftc-says-ed-tech-provider-edmodo-unlawfully-used-childrens-personal-information-advertising · ED OCR, Avoiding the Discriminatory Use of AI (Nov 2024, rescinded) — https://www.ed.gov/media/document/avoiding-discriminatory-use-of-artificial-intelligence-112274.pdf · EO 14281, 90 FR 17537 — https://www.federalregister.gov/documents/2025/04/28/2025-07378/restoring-equality-of-opportunity-and-meritocracy · ED Title VI disparate-impact rescission (24 Jul 2026) — https://www.federalregister.gov/documents/2026/07/24/2026-15019/rescinding-portions-of-the-department-of-education-title-vi-regulations-to-align-with-the-statutory · EO 14277 — https://www.presidency.ucsb.edu/documents/executive-order-14277-advancing-artificial-intelligence-education-for-american-youth · ED Dear Colleague Letter on AI grant funds (22 Jul 2025) — https://www.ed.gov/media/document/opepd-ai-dear-colleague-letter-7222025-110427.pdf · Final AI supplemental priority (13 Apr 2026) — https://www.federalregister.gov/documents/2026/04/13/2026-07087/final-priority-and-definitions-secretarys-supplemental-priority-and-definitions-on-advancing · EO 14179, 90 FR 8741 — https://www.federalregister.gov/documents/2025/01/31/2025-02172/removing-barriers-to-american-leadership-in-artificial-intelligence · EO 14365 (11 Dec 2025) — https://www.federalregister.gov/documents/2025/12/16/2025-23092/ensuring-a-national-policy-framework-for-artificial-intelligence · NIST AI RMF — https://www.nist.gov/itl/ai-risk-management-framework · NIST AI 600-1 — https://nvlpubs.nist.gov/nistpubs/ai/NIST.AI.600-1.pdf · ADA Title II web rule, 28 CFR § 35.200 — https://www.ecfr.gov/current/title-28/chapter-I/part-35/subpart-H/section-35.200 · DOJ interim final rule extending compliance dates, 91 FR 20902 (20 Apr 2026) — https://www.govinfo.gov/content/pkg/FR-2026-04-20/html/2026-07663.htm · ED OET, Designing for Education with AI: An Essential Guide for Developers (Jul 2024) — https://files.eric.ed.gov/fulltext/ED661949.pdf</w:t>
      </w:r>
    </w:p>
    <w:p w14:paraId="6A30518D" w14:textId="77777777" w:rsidR="0090768F" w:rsidRDefault="00000000">
      <w:pPr>
        <w:pStyle w:val="BodyText"/>
      </w:pPr>
      <w:r>
        <w:rPr>
          <w:b/>
          <w:bCs/>
        </w:rPr>
        <w:t>Research.</w:t>
      </w:r>
      <w:r>
        <w:t xml:space="preserve"> Li, Qunhan &amp; Mao (2026), </w:t>
      </w:r>
      <w:r>
        <w:rPr>
          <w:i/>
          <w:iCs/>
        </w:rPr>
        <w:t>Scientific Reports</w:t>
      </w:r>
      <w:r>
        <w:t xml:space="preserve"> 16:17412 — https://www.nature.com/articles/s41598-026-48053-w · Guo et al. (2025), arXiv:2505.10643 — https://arxiv.org/html/2505.10643v1</w:t>
      </w:r>
    </w:p>
    <w:p w14:paraId="5AB584FC" w14:textId="77777777" w:rsidR="0090768F" w:rsidRDefault="00000000">
      <w:pPr>
        <w:pStyle w:val="Heading3"/>
      </w:pPr>
      <w:bookmarkStart w:id="102" w:name="united-states-states"/>
      <w:bookmarkEnd w:id="101"/>
      <w:r>
        <w:t>15.7 United States — states</w:t>
      </w:r>
    </w:p>
    <w:p w14:paraId="00BB8D92" w14:textId="77777777" w:rsidR="0090768F" w:rsidRDefault="00000000">
      <w:pPr>
        <w:pStyle w:val="FirstParagraph"/>
      </w:pPr>
      <w:r>
        <w:t xml:space="preserve">New York Education Law § 2-d — https://www.nysenate.gov/legislation/laws/EDN/2-D ; 8 NYCRR Part 121 — https://www.counsel.nysed.gov/rules/indices-fulltext/2020/010 · Connecticut Gen. Stat. § 10-234bb — https://law.justia.com/codes/connecticut/title-10/chapter-170/section-10-234bb/ · Illinois SOPPA, 105 ILCS 85/15 — </w:t>
      </w:r>
      <w:r>
        <w:lastRenderedPageBreak/>
        <w:t xml:space="preserve">https://codes.findlaw.com/il/chapter-105-schools/il-st-sect-105-85-15/ · Illinois BIPA, 740 ILCS 14 — https://law.justia.com/codes/illinois/chapter-740/act-740-ilcs-14/ · Colorado Student Data Transparency and Security Act — https://law.justia.com/codes/colorado/title-22/general-and-administrative/article-16/ ; CDE provider obligations — https://ed.cde.state.co.us/dataprivacyandsecurity/school-service-provider-obligations · California SOPIPA guide (FPF) — https://fpf.org/wp-content/uploads/2016/11/SOPIPA-Guide_Nov-4-2016.pdf · Texas Educ. Code ch. 32 — https://statutes.capitol.texas.gov/Docs/ED/htm/ED.32.htm · Texas Bus. &amp; Com. Code ch. 503 (CUBI) — https://statutes.capitol.texas.gov/Docs/BC/htm/BC.503.htm · Washington RCW ch. 28A.604 — https://app.leg.wa.gov/RCW/default.aspx?cite=28A.604&amp;full=true ; RCW 19.375.010 — https://app.leg.wa.gov/RCW/default.aspx?cite=19.375.010 · Utah HB 55 (2026) enrolled — https://le.utah.gov/Session/2026/bills/enrolled/HB0055.pdf · CPPA ADMT approved regulation text — https://cppa.ca.gov/regulations/pdf/ccpa_updates_cyber_risk_admt_appr_text.pdf ; CPPA announcement (23 Sep 2025) — https://www.cppa.ca.gov/announcements/2025/20250923.html · Colorado SB 25B-004 — https://leg.colorado.gov/bills/sb25b-004 · </w:t>
      </w:r>
      <w:r>
        <w:rPr>
          <w:i/>
          <w:iCs/>
        </w:rPr>
        <w:t>xAI v. Weiser</w:t>
      </w:r>
      <w:r>
        <w:t xml:space="preserve"> docket summary — https://clearinghouse.net/case/48129/ · Texas HB 149 (TRAIGA) bill analysis — https://capitol.texas.gov/tlodocs/89R/analysis/html/HB00149S.htm · South Carolina H.5253 status — https://www.scstatehouse.gov/sess126_2025-2026/bills/5253.htm · Illinois SB 3735 status — https://legiscan.com/IL/bill/SB3735/2025 · Georgia DOE, Leveraging AI in the K-12 Setting — https://static1.squarespace.com/static/64398599b0c21f1705fb8fb3/t/6793b5c37d319a08aa630598/1737733571926/GA+Leveraging+AI+in+the+K-12+Setting.pdf · Ohio DEW model AI policy — https://education.ohio.gov/Topics/AI-in-Ohio-s-Education/Model-Policy · SDPC National Data Privacy Agreement — https://privacy.a4l.org/national-dpa/ ; SDPC Resource Registry — https://sdpc.a4l.org/ · FPF student privacy state laws chart — https://fpf.org/student-privacy-state-laws/ · IAPP US State Privacy Legislation Tracker — https://assets.contentstack.io/v3/assets/bltd4dd5b2d705252bc/blt76d030a1054f612a/us_state_privacy_legislation_tracker.pdf · AI for Education state guidance tracker — https://www.aiforeducation.io/ai-resources/state-ai-guidance · FutureEd 2026 state AI-in-education bill tracker — https://www.future-ed.org/legislative-tracker-2026-state-ai-in-education-bills/</w:t>
      </w:r>
    </w:p>
    <w:p w14:paraId="3632BB3C" w14:textId="77777777" w:rsidR="0090768F" w:rsidRDefault="00000000">
      <w:pPr>
        <w:pStyle w:val="BodyText"/>
      </w:pPr>
      <w:r>
        <w:rPr>
          <w:i/>
          <w:iCs/>
        </w:rPr>
        <w:t>Secondary legal analysis was relied on and flagged in the text where a primary source could not be retrieved; the firms concerned are named at the point of use in the underlying research file.</w:t>
      </w:r>
    </w:p>
    <w:p w14:paraId="5345B22E" w14:textId="77777777" w:rsidR="0090768F" w:rsidRDefault="00000000">
      <w:pPr>
        <w:pStyle w:val="BodyText"/>
      </w:pPr>
      <w:r>
        <w:rPr>
          <w:i/>
          <w:iCs/>
        </w:rPr>
        <w:t>End of Part I.</w:t>
      </w:r>
    </w:p>
    <w:p w14:paraId="33D17BA8" w14:textId="77777777" w:rsidR="0090768F" w:rsidRDefault="00000000">
      <w:pPr>
        <w:pStyle w:val="Heading1"/>
      </w:pPr>
      <w:bookmarkStart w:id="103" w:name="teil-ii-deutsch"/>
      <w:bookmarkStart w:id="104" w:name="_Toc240060412"/>
      <w:bookmarkEnd w:id="0"/>
      <w:bookmarkEnd w:id="94"/>
      <w:bookmarkEnd w:id="102"/>
      <w:r>
        <w:lastRenderedPageBreak/>
        <w:t>TEIL II — DEUTSCH</w:t>
      </w:r>
      <w:bookmarkEnd w:id="104"/>
    </w:p>
    <w:p w14:paraId="0681B9EC" w14:textId="77777777" w:rsidR="0090768F" w:rsidRDefault="00000000">
      <w:pPr>
        <w:pStyle w:val="Heading2"/>
      </w:pPr>
      <w:bookmarkStart w:id="105" w:name="hinweise-zur-lektüre"/>
      <w:bookmarkStart w:id="106" w:name="_Toc240060413"/>
      <w:r>
        <w:t>0. Hinweise zur Lektüre</w:t>
      </w:r>
      <w:bookmarkEnd w:id="106"/>
    </w:p>
    <w:p w14:paraId="39C636B3" w14:textId="77777777" w:rsidR="0090768F" w:rsidRDefault="00000000">
      <w:pPr>
        <w:pStyle w:val="FirstParagraph"/>
      </w:pPr>
      <w:r>
        <w:rPr>
          <w:b/>
          <w:bCs/>
        </w:rPr>
        <w:t>Zweck.</w:t>
      </w:r>
      <w:r>
        <w:t xml:space="preserve"> Dieses Papier stellt fest, was das Recht von einem KI-gestützten Korrekturprodukt in unseren drei Pilotmärkten — Deutschland, Vereinigtes Königreich, Vereinigte Staaten — tatsächlich verlangt, und beantwortet sechs vom CEO gestellte Fragen. Es ist ein internes Entscheidungspapier, kein Rechtsgutachten. Es ist so geschrieben, dass man ihm widersprechen kann.</w:t>
      </w:r>
    </w:p>
    <w:p w14:paraId="042D5210" w14:textId="77777777" w:rsidR="0090768F" w:rsidRDefault="00000000">
      <w:pPr>
        <w:pStyle w:val="BodyText"/>
      </w:pPr>
      <w:r>
        <w:rPr>
          <w:b/>
          <w:bCs/>
        </w:rPr>
        <w:t>Angenommener Produktzuschnitt.</w:t>
      </w:r>
      <w:r>
        <w:t xml:space="preserve"> Eingescannte handschriftliche (oder getippte) Klausuren aus Schule und Hochschule werden eingelesen; OCR/Handschriftenerkennung transkribiert; ein Sprachmodell wendet ein Bewertungsraster an und erzeugt einen Bewertungsvorschlag nebst Feedback; eine Lehrkraft bzw. ein Prüfer prüft und entscheidet über die endgültige Note. Wo eine Schlussfolgerung von einer abweichenden Konfiguration abhängt — schülerseitige Funktionen, Aufsicht/Proctoring, Modelltraining auf Kundendaten — wird dies benannt.</w:t>
      </w:r>
    </w:p>
    <w:p w14:paraId="59B1EBE7" w14:textId="77777777" w:rsidR="0090768F" w:rsidRDefault="00000000">
      <w:pPr>
        <w:pStyle w:val="BodyText"/>
      </w:pPr>
      <w:r>
        <w:rPr>
          <w:b/>
          <w:bCs/>
        </w:rPr>
        <w:t>Rechtsstand.</w:t>
      </w:r>
      <w:r>
        <w:t xml:space="preserve"> Alle Aussagen beziehen sich auf den </w:t>
      </w:r>
      <w:r>
        <w:rPr>
          <w:b/>
          <w:bCs/>
        </w:rPr>
        <w:t>11. September 2026</w:t>
      </w:r>
      <w:r>
        <w:t>. Drei Bereiche haben sich in den letzten zwölf Monaten wesentlich verändert; jedes vor Mitte 2026 verfasste Papier ist insoweit überholt: der Zeitplan der KI-VO (Verordnung (EU) 2026/1744), das britische Regime für automatisierte Entscheidungen (Data (Use and Access) Act 2025, in Kraft seit 5. Februar 2026) und der Colorado AI Act (im Mai 2026 aufgehoben und ersetzt).</w:t>
      </w:r>
    </w:p>
    <w:p w14:paraId="19B3F0AF" w14:textId="77777777" w:rsidR="0090768F" w:rsidRDefault="00000000">
      <w:pPr>
        <w:pStyle w:val="BodyText"/>
      </w:pPr>
      <w:r>
        <w:rPr>
          <w:b/>
          <w:bCs/>
        </w:rPr>
        <w:t>Verifikationskonvention.</w:t>
      </w:r>
      <w:r>
        <w:t xml:space="preserve"> Jede tragende Aussage ist auf eine in §15 genannte Primärquelle zurückführbar. Wo eine Quelle nicht verifiziert werden konnte, steht dies im Satz selbst und nicht in einer Fußnote. §14 listet sämtliche offenen Punkte. Diese Konvention ist Absicht: Ein Compliance-Papier, das Geprüftes nicht von Angenommenem trennt, ist schlechter als gar keines, weil es uns von einem Ministeriumsjuristen vorgehalten werden wird.</w:t>
      </w:r>
    </w:p>
    <w:p w14:paraId="27253567" w14:textId="77777777" w:rsidR="0090768F" w:rsidRDefault="00000000">
      <w:pPr>
        <w:pStyle w:val="BodyText"/>
      </w:pPr>
      <w:r>
        <w:rPr>
          <w:b/>
          <w:bCs/>
        </w:rPr>
        <w:t>Keine Rechtsberatung.</w:t>
      </w:r>
      <w:r>
        <w:t xml:space="preserve"> Kein Anwalt hat dies geprüft. Es ist eine strukturierte Auswertung von Primärquellen durch ein nichtjuristisches Team. Vier Punkte aus §14 sollten anwaltlich geklärt werden, bevor irgendetwas hieraus kommerziell verwendet wird.</w:t>
      </w:r>
    </w:p>
    <w:p w14:paraId="597E835D" w14:textId="77777777" w:rsidR="0090768F" w:rsidRDefault="00000000">
      <w:pPr>
        <w:pStyle w:val="Heading2"/>
      </w:pPr>
      <w:bookmarkStart w:id="107" w:name="Xc098a8570acc0307d30b5e475006171f0c548a5"/>
      <w:bookmarkStart w:id="108" w:name="_Toc240060414"/>
      <w:bookmarkEnd w:id="105"/>
      <w:r>
        <w:t>1. Zusammenfassung — die zwölf entscheidenden Befunde</w:t>
      </w:r>
      <w:bookmarkEnd w:id="108"/>
    </w:p>
    <w:p w14:paraId="6582638B" w14:textId="77777777" w:rsidR="0090768F" w:rsidRDefault="00000000">
      <w:pPr>
        <w:pStyle w:val="FirstParagraph"/>
      </w:pPr>
      <w:r>
        <w:rPr>
          <w:b/>
          <w:bCs/>
        </w:rPr>
        <w:t>1. Klausuren sind personenbezogene Daten; das ist geklärt und nicht streitig.</w:t>
      </w:r>
      <w:r>
        <w:t xml:space="preserve"> EuGH C-434/16 </w:t>
      </w:r>
      <w:r>
        <w:rPr>
          <w:i/>
          <w:iCs/>
        </w:rPr>
        <w:t>Nowak</w:t>
      </w:r>
      <w:r>
        <w:t xml:space="preserve">: Die schriftlichen Antworten eines Prüflings </w:t>
      </w:r>
      <w:r>
        <w:rPr>
          <w:b/>
          <w:bCs/>
        </w:rPr>
        <w:t>und</w:t>
      </w:r>
      <w:r>
        <w:t xml:space="preserve"> die Anmerkungen des Prüfers dazu sind personenbezogene Daten des Prüflings. Alles, was das System erzeugt und einer Arbeit zuordnet — Teilbewertungen, Konfidenzwerte, Feedbacktexte, Markierungen — ist ebenfalls personenbezogenes Datum dieses Schülers und auskunftspflichtig.</w:t>
      </w:r>
    </w:p>
    <w:p w14:paraId="5631C6C1" w14:textId="77777777" w:rsidR="0090768F" w:rsidRDefault="00000000">
      <w:pPr>
        <w:pStyle w:val="BodyText"/>
      </w:pPr>
      <w:r>
        <w:rPr>
          <w:b/>
          <w:bCs/>
        </w:rPr>
        <w:t>2. Die Aussage „wir pseudonymisieren, also gelten für uns geringere Anforderungen” ist in der vorliegenden Fassung falsch und muss umformuliert werden.</w:t>
      </w:r>
      <w:r>
        <w:t xml:space="preserve"> Pseudonyme Daten sind personenbezogene Daten (ErwGr. 26 DSGVO; EDSA-Leitlinien 01/2025). Das </w:t>
      </w:r>
      <w:r>
        <w:lastRenderedPageBreak/>
        <w:t>Weglassen des Namens bewirkt hier fast nichts: Handschrift ist innerhalb einer Klasse von 25–30 nahezu eindeutig, und die Lehrkraft, die das Ergebnis erhält, kennt jede Handschrift im Raum — die Identifizierung ist nicht bloß wahrscheinlich, sie ist der Zweck. Pseudonymisierung bleibt als Maßnahme nach Art. 25 und Art. 32 DSGVO und in Abwägungsentscheidungen echt wertvoll. Sie befreit von keiner einzigen Pflicht.</w:t>
      </w:r>
    </w:p>
    <w:p w14:paraId="4EA2AC3C" w14:textId="77777777" w:rsidR="0090768F" w:rsidRDefault="00000000">
      <w:pPr>
        <w:pStyle w:val="BodyText"/>
      </w:pPr>
      <w:r>
        <w:rPr>
          <w:b/>
          <w:bCs/>
        </w:rPr>
        <w:t>3. KI-gestützte Klausurkorrektur ist ein Hochrisiko-KI-System nach Anhang III Nr. 3 Buchst. b KI-VO — „KI-Systeme, die bestimmungsgemäß zur Bewertung von Lernergebnissen verwendet werden sollen”. Auch das ist nicht streitig.</w:t>
      </w:r>
    </w:p>
    <w:p w14:paraId="51B656A2" w14:textId="77777777" w:rsidR="0090768F" w:rsidRDefault="00000000">
      <w:pPr>
        <w:pStyle w:val="BodyText"/>
      </w:pPr>
      <w:r>
        <w:rPr>
          <w:b/>
          <w:bCs/>
        </w:rPr>
        <w:t>4. Die im Deck vorgesehene Strategie „Ausnahme anstreben” ist nach unserer Einschätzung nicht realistisch und sollte als Hauptplan aufgegeben werden.</w:t>
      </w:r>
      <w:r>
        <w:t xml:space="preserve"> Art. 6 Abs. 3 KI-VO ist aus drei voneinander unabhängigen Gründen verschlossen: Der letzte Unterabsatz stuft jedes System, das ein </w:t>
      </w:r>
      <w:r>
        <w:rPr>
          <w:b/>
          <w:bCs/>
        </w:rPr>
        <w:t>Profiling</w:t>
      </w:r>
      <w:r>
        <w:t xml:space="preserve"> natürlicher Personen vornimmt, stets als hochriskant ein — und die Bewertung schulischer Leistung ist Profiling im Sinne der von der KI-VO übernommenen Definition des Art. 4 Nr. 4 DSGVO; der Einleitungssatz verlangt, dass das System das Entscheidungsergebnis nicht wesentlich beeinflusst, was das Gegenteil unseres Verkaufsversprechens ist; und die Entwürfe der Kommissionsleitlinien zur Einstufung vom 19. Mai 2026 nehmen Systeme aus, die „ranken, bewerten oder etikettieren”, und behandeln summative Bewertung als hochriskant. Selbst bei Erfolg verlangen Art. 6 Abs. 4 und Art. 49 Abs. 2 eine dokumentierte Bewertung und die </w:t>
      </w:r>
      <w:r>
        <w:rPr>
          <w:b/>
          <w:bCs/>
        </w:rPr>
        <w:t>öffentliche</w:t>
      </w:r>
      <w:r>
        <w:t xml:space="preserve"> Registrierung der Behauptung „nicht hochriskant” in der EU-Datenbank — für ein Korrektursystem ein Magnet für Aufsichtsmaßnahmen. Ferner: Der Begriff „System 4” ist keine Terminologie der KI-VO und ist durch „Anhang III Nr. 3 Buchst. b” zu ersetzen.</w:t>
      </w:r>
    </w:p>
    <w:p w14:paraId="5B2660B6" w14:textId="77777777" w:rsidR="0090768F" w:rsidRDefault="00000000">
      <w:pPr>
        <w:pStyle w:val="BodyText"/>
      </w:pPr>
      <w:r>
        <w:rPr>
          <w:b/>
          <w:bCs/>
        </w:rPr>
        <w:t>5. Der Zeitplan hat sich verschoben — die kommerziell wichtigste Einzeltatsache dieses Papiers.</w:t>
      </w:r>
      <w:r>
        <w:t xml:space="preserve"> Die Verordnung (EU) 2026/1744 (Digital-Omnibus KI), in Kraft seit 27. Juli 2026, hat die Hochrisikopflichten des Anhangs III vom 2. August 2026 auf den </w:t>
      </w:r>
      <w:r>
        <w:rPr>
          <w:b/>
          <w:bCs/>
        </w:rPr>
        <w:t>2. Dezember 2027</w:t>
      </w:r>
      <w:r>
        <w:t xml:space="preserve"> verschoben. Uns bleiben rund fünfzehn Monate, bevor die Art. 8–15 und 16–27 greifen — für uns als Anbieter und für die Schulen als Betreiber. Zu beachten ist eine tatsächlich offene Lücke: Die Verschiebung erfasst nur Kapitel III Abschnitte 1–3. Abschnitt 5 (Art. 40–49: Konformitätsbewertung, Konformitätserklärung, CE-Kennzeichnung, Registrierung) wurde </w:t>
      </w:r>
      <w:r>
        <w:rPr>
          <w:b/>
          <w:bCs/>
        </w:rPr>
        <w:t>nicht</w:t>
      </w:r>
      <w:r>
        <w:t xml:space="preserve"> verschoben und gilt seit dem 2. August 2026, während Art. 6 — die Norm, die ein System überhaupt als hochriskant einstuft — noch nicht gilt. Keine Behörde hat das aufgelöst. Schreiben Sie keinem Kunden, eine Registrierung sei nicht erforderlich.</w:t>
      </w:r>
    </w:p>
    <w:p w14:paraId="6A591A7B" w14:textId="77777777" w:rsidR="0090768F" w:rsidRDefault="00000000">
      <w:pPr>
        <w:pStyle w:val="BodyText"/>
      </w:pPr>
      <w:r>
        <w:rPr>
          <w:b/>
          <w:bCs/>
        </w:rPr>
        <w:t>6. Der Konformitätsweg ist günstiger, als Einkäufer annehmen.</w:t>
      </w:r>
      <w:r>
        <w:t xml:space="preserve"> Für Anhang III Nr. 2–8, also auch Bildung, schreibt Art. 43 das </w:t>
      </w:r>
      <w:r>
        <w:rPr>
          <w:b/>
          <w:bCs/>
        </w:rPr>
        <w:t>interne Kontrollverfahren nach Anhang VI</w:t>
      </w:r>
      <w:r>
        <w:t xml:space="preserve"> vor: Selbstbewertung, EU-Konformitätserklärung, CE-Kennzeichnung, Registrierung in der EU-Datenbank. </w:t>
      </w:r>
      <w:r>
        <w:rPr>
          <w:b/>
          <w:bCs/>
        </w:rPr>
        <w:t>Keine benannte Stelle.</w:t>
      </w:r>
      <w:r>
        <w:t xml:space="preserve"> Das gehört früh in jeden Vertriebszyklus, in dem der Einkauf „CE-Kennzeichnung” gehört und ein externes Audit eingepreist hat.</w:t>
      </w:r>
    </w:p>
    <w:p w14:paraId="7759BDE4" w14:textId="77777777" w:rsidR="0090768F" w:rsidRDefault="00000000">
      <w:pPr>
        <w:pStyle w:val="BodyText"/>
      </w:pPr>
      <w:r>
        <w:rPr>
          <w:b/>
          <w:bCs/>
        </w:rPr>
        <w:t>7. Deutschland hat die für uns wichtigste Frage bereits entschieden — und zwar günstig.</w:t>
      </w:r>
      <w:r>
        <w:t xml:space="preserve"> Beschluss der Bildungsministerkonferenz vom 10. Oktober 2024: </w:t>
      </w:r>
      <w:r>
        <w:rPr>
          <w:i/>
          <w:iCs/>
        </w:rPr>
        <w:t>„Leistungsbewertung ist und bleibt eine pädagogische und hoheitliche Aufgabe, die als Verwaltungsakt im schulischen Kontext ausschließlich von Lehrkräften erfüllt werden kann”</w:t>
      </w:r>
      <w:r>
        <w:t xml:space="preserve"> </w:t>
      </w:r>
      <w:r>
        <w:lastRenderedPageBreak/>
        <w:t xml:space="preserve">— und in derselben Passage werden KI-Anwendungen als </w:t>
      </w:r>
      <w:r>
        <w:rPr>
          <w:i/>
          <w:iCs/>
        </w:rPr>
        <w:t>Vorkorrektur</w:t>
      </w:r>
      <w:r>
        <w:t xml:space="preserve"> und </w:t>
      </w:r>
      <w:r>
        <w:rPr>
          <w:i/>
          <w:iCs/>
        </w:rPr>
        <w:t>Korrekturassistenz</w:t>
      </w:r>
      <w:r>
        <w:t xml:space="preserve"> ausdrücklich befürwortet, länderseitige Regelungen für den Einsatz als </w:t>
      </w:r>
      <w:r>
        <w:rPr>
          <w:i/>
          <w:iCs/>
        </w:rPr>
        <w:t>Entscheidungsunterstützungssystem</w:t>
      </w:r>
      <w:r>
        <w:t xml:space="preserve"> gefordert und der Preis des Markteintritts benannt: Datenschutz, Datensicherheit, Transparenz, Nachvollziehbarkeit, Bias. Das ist zugleich Obergrenze und Einladung. Jedes Ministeriumsgespräch sollte genau diese Begriffe verwenden.</w:t>
      </w:r>
    </w:p>
    <w:p w14:paraId="48D6D288" w14:textId="77777777" w:rsidR="0090768F" w:rsidRDefault="00000000">
      <w:pPr>
        <w:pStyle w:val="BodyText"/>
      </w:pPr>
      <w:r>
        <w:rPr>
          <w:b/>
          <w:bCs/>
        </w:rPr>
        <w:t>8. Zwei der drei größten deutschen Schulmärkte untersagen derzeit jedoch die Eingabe personenbezogener Schülerdaten in KI-Anwendungen überhaupt.</w:t>
      </w:r>
      <w:r>
        <w:t xml:space="preserve"> Die hessische Handreichung von 2023 verlangt, dass </w:t>
      </w:r>
      <w:r>
        <w:rPr>
          <w:i/>
          <w:iCs/>
        </w:rPr>
        <w:t>„keine Eingabe personenbezogener Daten von Schülerinnen und Schülern”</w:t>
      </w:r>
      <w:r>
        <w:t xml:space="preserve"> erfolgt; der nordrhein-westfälische Handlungsleitfaden von 2023 verlangt, dass </w:t>
      </w:r>
      <w:r>
        <w:rPr>
          <w:i/>
          <w:iCs/>
        </w:rPr>
        <w:t>„keine personenbezogenen Daten der Schülerinnen und Schüler übertragen werden”</w:t>
      </w:r>
      <w:r>
        <w:t xml:space="preserve">; Baden-Württemberg stellt fest, dass </w:t>
      </w:r>
      <w:r>
        <w:rPr>
          <w:i/>
          <w:iCs/>
        </w:rPr>
        <w:t>„KI-Anwendungen keine Noten vergeben”</w:t>
      </w:r>
      <w:r>
        <w:t xml:space="preserve"> dürfen. Die ersten beiden sind weiter als eine Regel zum KI-Bewerten und erfassen unseren Kernprozess unabhängig davon, wer die Note festsetzt.</w:t>
      </w:r>
    </w:p>
    <w:p w14:paraId="74578B3D" w14:textId="77777777" w:rsidR="0090768F" w:rsidRDefault="00000000">
      <w:pPr>
        <w:pStyle w:val="BodyText"/>
      </w:pPr>
      <w:r>
        <w:rPr>
          <w:b/>
          <w:bCs/>
        </w:rPr>
        <w:t>9. Eine Lehrkraft darf sich in keinem der drei Länder allein anmelden.</w:t>
      </w:r>
      <w:r>
        <w:t xml:space="preserve"> Verantwortlicher ist die Schule, der Trust, eine Landesstelle oder der Schulbezirk — nie die einzelne Lehrkraft. Eine Lehrkraft kann keinen Auftragsverarbeitungsvertrag schließen, kann die FERPA-Jahresmitteilung eines Schulbezirks nicht ändern und trägt in Deutschland ein persönliches Risiko aus dem Dienstgeheimnis und, am Rand, aus § 203 Abs. 2 StGB. Die Empfehlung ist strukturell: eine Lehrkraft-Stufe, beschränkt auf synthetisches oder anonymes Material mit technisch gesperrtem Upload von Schülerdaten, und institutioneller Vertrag als Voraussetzung für jede echte Arbeit.</w:t>
      </w:r>
    </w:p>
    <w:p w14:paraId="5D858936" w14:textId="77777777" w:rsidR="0090768F" w:rsidRDefault="00000000">
      <w:pPr>
        <w:pStyle w:val="BodyText"/>
      </w:pPr>
      <w:r>
        <w:rPr>
          <w:b/>
          <w:bCs/>
        </w:rPr>
        <w:t>10. Kein Rechtsraum bietet einen einzigen Schalter, der alle Schulen freigibt.</w:t>
      </w:r>
      <w:r>
        <w:t xml:space="preserve"> Deutschland: Der Bund hat für Schulen überhaupt keine Kompetenz (Kulturhoheit der Länder); ein Land verfügt über fünf Mechanismen sehr unterschiedlicher Geschwindigkeit, von denen die Verwaltungsvorschrift der schnellste und die Verordnungsänderung der langsamste ist (in NRW verlangt § 122 Abs. 4 SchulG die Zustimmung des Landtagsausschusses). England: kein nationaler Mechanismus; Skaleneinheit ist der Multi-Academy Trust. Wales (Hwb) und Nordirland (EA/EdIS) verfügen dagegen über echte nationale Einzelentscheidungen. USA: der Bund kann es nicht; der Mechanismus, der „einmal unterschreiben, viele erreichen” tatsächlich leistet, ist das National Data Privacy Agreement des SDPC mit seinem Exhibit E.</w:t>
      </w:r>
    </w:p>
    <w:p w14:paraId="66EDC5BD" w14:textId="77777777" w:rsidR="0090768F" w:rsidRDefault="00000000">
      <w:pPr>
        <w:pStyle w:val="BodyText"/>
      </w:pPr>
      <w:r>
        <w:rPr>
          <w:b/>
          <w:bCs/>
        </w:rPr>
        <w:t xml:space="preserve">11. Die Benutzeroberfläche </w:t>
      </w:r>
      <w:r>
        <w:rPr>
          <w:b/>
          <w:bCs/>
          <w:i/>
          <w:iCs/>
        </w:rPr>
        <w:t>ist</w:t>
      </w:r>
      <w:r>
        <w:rPr>
          <w:b/>
          <w:bCs/>
        </w:rPr>
        <w:t xml:space="preserve"> die Compliance-Position.</w:t>
      </w:r>
      <w:r>
        <w:t xml:space="preserve"> Wo die Zahl des Modells auf dem Bildschirm erscheint und wie viele Klicks die Übernahme kostet, entscheidet gleichzeitig darüber, (a) ob die Schule innerhalb oder außerhalb des Art. 22 DSGVO bzw. Art. 22C UK-GDPR steht, (b) ob wir Art. 14 Abs. 4 Buchst. b KI-VO zum Automation Bias erfüllen, (c) ob der kalifornische ADMT-Safe-Harbour greift und (d) ob wir Oklahoma SB 1734 einhalten. Keine andere Kategorie von Unternehmenssoftware hat diese Eigenschaft. Sie verwandelt ein abstraktes Rechtsrisiko in eine konkrete, zuweisbare Engineering-Entscheidung — und sie bedeutet, dass es in keinem Markt einen Pfad für automatische, Massen- oder Timeout-Übernahme geben darf.</w:t>
      </w:r>
    </w:p>
    <w:p w14:paraId="4AC7DDCB" w14:textId="77777777" w:rsidR="0090768F" w:rsidRDefault="00000000">
      <w:pPr>
        <w:pStyle w:val="BodyText"/>
      </w:pPr>
      <w:r>
        <w:rPr>
          <w:b/>
          <w:bCs/>
        </w:rPr>
        <w:lastRenderedPageBreak/>
        <w:t>12. Unser Verkaufsversprechen und unser Rechtsargument stehen in Spannung zueinander; das sollten wir intern aussprechen, statt es in einer Prüfung zu entdecken.</w:t>
      </w:r>
      <w:r>
        <w:t xml:space="preserve"> EuGH C-634/21 </w:t>
      </w:r>
      <w:r>
        <w:rPr>
          <w:i/>
          <w:iCs/>
        </w:rPr>
        <w:t>SCHUFA</w:t>
      </w:r>
      <w:r>
        <w:t xml:space="preserve">: Wenn der Entscheider einem automatisierten Wert „maßgeblich” folgt, ist dieser Wert selbst die Entscheidung im Sinne des Art. 22. Die DSK formuliert es operativ: </w:t>
      </w:r>
      <w:r>
        <w:rPr>
          <w:i/>
          <w:iCs/>
        </w:rPr>
        <w:t>„Eine lediglich formelle Beteiligung eines Menschen im Entscheidungsprozess ist nicht ausreichend.”</w:t>
      </w:r>
      <w:r>
        <w:t xml:space="preserve"> Übernehmen Lehrkräfte 95 % der Vorschläge in vier Sekunden, bricht die Verteidigung „der Mensch entscheidet” zusammen — und genau diese Übernahmequote verspricht der Effizienzpitch. Die Auflösung liegt im Nachweis: gemessene und protokollierte Abweichungsquoten sind das wertvollste Compliance-Artefakt, das wir erzeugen können, und sie müssen von Anfang an eingebaut werden.</w:t>
      </w:r>
    </w:p>
    <w:p w14:paraId="7094916E" w14:textId="77777777" w:rsidR="0090768F" w:rsidRDefault="00000000">
      <w:pPr>
        <w:pStyle w:val="Heading2"/>
      </w:pPr>
      <w:bookmarkStart w:id="109" w:name="die-aktuelle-folie-korrigiert"/>
      <w:bookmarkStart w:id="110" w:name="_Toc240060415"/>
      <w:bookmarkEnd w:id="107"/>
      <w:r>
        <w:t>2. Die aktuelle Folie, korrigiert</w:t>
      </w:r>
      <w:bookmarkEnd w:id="110"/>
    </w:p>
    <w:p w14:paraId="0E9C1D41" w14:textId="77777777" w:rsidR="0090768F" w:rsidRDefault="00000000">
      <w:pPr>
        <w:pStyle w:val="FirstParagraph"/>
      </w:pPr>
      <w:r>
        <w:t>Die Folie „Legal and Regulatory requirements” enthält vier Aussagen. Zwei sind richtig, eine ist falsch, eine ist unrealistisch.</w:t>
      </w:r>
    </w:p>
    <w:tbl>
      <w:tblPr>
        <w:tblStyle w:val="Table"/>
        <w:tblW w:w="5000" w:type="pct"/>
        <w:tblLook w:val="0020" w:firstRow="1" w:lastRow="0" w:firstColumn="0" w:lastColumn="0" w:noHBand="0" w:noVBand="0"/>
      </w:tblPr>
      <w:tblGrid>
        <w:gridCol w:w="3161"/>
        <w:gridCol w:w="6199"/>
      </w:tblGrid>
      <w:tr w:rsidR="0090768F" w14:paraId="789B092D"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161AF67F" w14:textId="77777777" w:rsidR="0090768F" w:rsidRDefault="00000000">
            <w:pPr>
              <w:pStyle w:val="Compact"/>
            </w:pPr>
            <w:r>
              <w:t>Aussage der Folie</w:t>
            </w:r>
          </w:p>
        </w:tc>
        <w:tc>
          <w:tcPr>
            <w:tcW w:w="0" w:type="auto"/>
          </w:tcPr>
          <w:p w14:paraId="236F1C3D" w14:textId="77777777" w:rsidR="0090768F" w:rsidRDefault="00000000">
            <w:pPr>
              <w:pStyle w:val="Compact"/>
            </w:pPr>
            <w:r>
              <w:t>Bewertung</w:t>
            </w:r>
          </w:p>
        </w:tc>
      </w:tr>
      <w:tr w:rsidR="0090768F" w14:paraId="6373D4DD" w14:textId="77777777">
        <w:tc>
          <w:tcPr>
            <w:tcW w:w="0" w:type="auto"/>
          </w:tcPr>
          <w:p w14:paraId="6EBC0C50" w14:textId="77777777" w:rsidR="0090768F" w:rsidRDefault="00000000">
            <w:pPr>
              <w:pStyle w:val="Compact"/>
            </w:pPr>
            <w:r>
              <w:t>„We are subject to the GDPR in Europe”</w:t>
            </w:r>
          </w:p>
        </w:tc>
        <w:tc>
          <w:tcPr>
            <w:tcW w:w="0" w:type="auto"/>
          </w:tcPr>
          <w:p w14:paraId="3F315AC4" w14:textId="77777777" w:rsidR="0090768F" w:rsidRDefault="00000000">
            <w:pPr>
              <w:pStyle w:val="Compact"/>
            </w:pPr>
            <w:r>
              <w:rPr>
                <w:b/>
                <w:bCs/>
              </w:rPr>
              <w:t>Richtig</w:t>
            </w:r>
            <w:r>
              <w:t>, aber untertrieben — die Schule ist Verantwortliche auf Grundlage des Art. 6 Abs. 1 Buchst. e; wir sind Auftragsverarbeiter; am stärksten wirken Art. 5 Abs. 1 Buchst. b (Zweckbindung), Art. 15, Art. 22 und Art. 35.</w:t>
            </w:r>
          </w:p>
        </w:tc>
      </w:tr>
      <w:tr w:rsidR="0090768F" w14:paraId="44E5AEDF" w14:textId="77777777">
        <w:tc>
          <w:tcPr>
            <w:tcW w:w="0" w:type="auto"/>
          </w:tcPr>
          <w:p w14:paraId="6DB9FCF2" w14:textId="77777777" w:rsidR="0090768F" w:rsidRDefault="00000000">
            <w:pPr>
              <w:pStyle w:val="Compact"/>
            </w:pPr>
            <w:r>
              <w:t>„…we do not store student names … data is considered ‚pseudonymized’”</w:t>
            </w:r>
          </w:p>
        </w:tc>
        <w:tc>
          <w:tcPr>
            <w:tcW w:w="0" w:type="auto"/>
          </w:tcPr>
          <w:p w14:paraId="1329C7E1" w14:textId="77777777" w:rsidR="0090768F" w:rsidRDefault="00000000">
            <w:pPr>
              <w:pStyle w:val="Compact"/>
            </w:pPr>
            <w:r>
              <w:rPr>
                <w:b/>
                <w:bCs/>
              </w:rPr>
              <w:t>Als Tatsache richtig, in der Schlussfolgerung falsch.</w:t>
            </w:r>
            <w:r>
              <w:t xml:space="preserve"> Pseudonyme Daten sind personenbezogene Daten. Der Satz lädt einen Datenschutzbeauftragten dazu ein, uns ErwGr. 26 nicht zuzutrauen. Neufassung: „Arbeiten werden bei der Erfassung als Maßnahme nach Art. 25 Abs. 1 und Art. 32 Abs. 1 Buchst. a DSGVO pseudonymisiert; die Daten bleiben personenbezogen und werden durchgehend als solche behandelt.”</w:t>
            </w:r>
          </w:p>
        </w:tc>
      </w:tr>
      <w:tr w:rsidR="0090768F" w14:paraId="25230ECE" w14:textId="77777777">
        <w:tc>
          <w:tcPr>
            <w:tcW w:w="0" w:type="auto"/>
          </w:tcPr>
          <w:p w14:paraId="3A727A54" w14:textId="77777777" w:rsidR="0090768F" w:rsidRDefault="00000000">
            <w:pPr>
              <w:pStyle w:val="Compact"/>
            </w:pPr>
            <w:r>
              <w:t xml:space="preserve">„AI-Act … Category 4 System (High-Risk) → </w:t>
            </w:r>
            <w:r>
              <w:rPr>
                <w:b/>
                <w:bCs/>
              </w:rPr>
              <w:t>Seek exception</w:t>
            </w:r>
            <w:r>
              <w:t>”</w:t>
            </w:r>
          </w:p>
        </w:tc>
        <w:tc>
          <w:tcPr>
            <w:tcW w:w="0" w:type="auto"/>
          </w:tcPr>
          <w:p w14:paraId="54CBAFC6" w14:textId="77777777" w:rsidR="0090768F" w:rsidRDefault="00000000">
            <w:pPr>
              <w:pStyle w:val="Compact"/>
            </w:pPr>
            <w:r>
              <w:rPr>
                <w:b/>
                <w:bCs/>
              </w:rPr>
              <w:t>In beidem falsch.</w:t>
            </w:r>
            <w:r>
              <w:t xml:space="preserve"> Es gibt keine „Kategorie 4”; richtig ist Anhang III Nr. 3 Buchst. b. Und die Ausnahme des Art. 6 Abs. 3 steht uns nicht offen (§4.3). Zu ersetzen durch: „Erfüllung als Anbieter eines Hochrisiko-KI-Systems; Selbstbewertung nach Anhang VI; Pflichten ab 2. Dezember 2027.”</w:t>
            </w:r>
          </w:p>
        </w:tc>
      </w:tr>
      <w:tr w:rsidR="0090768F" w14:paraId="6AEFF47A" w14:textId="77777777">
        <w:tc>
          <w:tcPr>
            <w:tcW w:w="0" w:type="auto"/>
          </w:tcPr>
          <w:p w14:paraId="4CFBC070" w14:textId="77777777" w:rsidR="0090768F" w:rsidRDefault="00000000">
            <w:pPr>
              <w:pStyle w:val="Compact"/>
            </w:pPr>
            <w:r>
              <w:t>„Specific individual policies by school and university → Comply individually (no strong requirements expected)”</w:t>
            </w:r>
          </w:p>
        </w:tc>
        <w:tc>
          <w:tcPr>
            <w:tcW w:w="0" w:type="auto"/>
          </w:tcPr>
          <w:p w14:paraId="71126D17" w14:textId="77777777" w:rsidR="0090768F" w:rsidRDefault="00000000">
            <w:pPr>
              <w:pStyle w:val="Compact"/>
            </w:pPr>
            <w:r>
              <w:rPr>
                <w:b/>
                <w:bCs/>
              </w:rPr>
              <w:t>Deutlich untertrieben.</w:t>
            </w:r>
            <w:r>
              <w:t xml:space="preserve"> Die Ebene der Länder-Handreichungen ist heute das härteste Einzelhindernis in Deutschland (§5), und in den USA konvergiert die Ebene der Landesbildungsbehörden auf eine Regel — KI darf nicht alleinige Grundlage einer Note sein —, die in Oklahoma bereits Gesetz ist. „No strong requirements expected” ist der Satz, der im ersten Gespräch am ehesten widerlegt wird.</w:t>
            </w:r>
          </w:p>
        </w:tc>
      </w:tr>
      <w:tr w:rsidR="0090768F" w14:paraId="273AF8B4" w14:textId="77777777">
        <w:tc>
          <w:tcPr>
            <w:tcW w:w="0" w:type="auto"/>
          </w:tcPr>
          <w:p w14:paraId="1282E688" w14:textId="77777777" w:rsidR="0090768F" w:rsidRDefault="00000000">
            <w:pPr>
              <w:pStyle w:val="Compact"/>
            </w:pPr>
            <w:r>
              <w:t xml:space="preserve">„Further regulation will </w:t>
            </w:r>
            <w:r>
              <w:lastRenderedPageBreak/>
              <w:t>apply in countries outside Europe” / „…to be further analysed”</w:t>
            </w:r>
          </w:p>
        </w:tc>
        <w:tc>
          <w:tcPr>
            <w:tcW w:w="0" w:type="auto"/>
          </w:tcPr>
          <w:p w14:paraId="42D2ACC6" w14:textId="77777777" w:rsidR="0090768F" w:rsidRDefault="00000000">
            <w:pPr>
              <w:pStyle w:val="Compact"/>
            </w:pPr>
            <w:r>
              <w:rPr>
                <w:b/>
                <w:bCs/>
              </w:rPr>
              <w:lastRenderedPageBreak/>
              <w:t>Jetzt beantwortet.</w:t>
            </w:r>
            <w:r>
              <w:t xml:space="preserve"> §9–§11.</w:t>
            </w:r>
          </w:p>
        </w:tc>
      </w:tr>
    </w:tbl>
    <w:p w14:paraId="1C63E3E4" w14:textId="77777777" w:rsidR="0090768F" w:rsidRDefault="00000000">
      <w:pPr>
        <w:pStyle w:val="BodyText"/>
      </w:pPr>
      <w:r>
        <w:t xml:space="preserve">Eine Ergänzung gehört auf die Folie: </w:t>
      </w:r>
      <w:r>
        <w:rPr>
          <w:b/>
          <w:bCs/>
        </w:rPr>
        <w:t>wer welche Pflichten übernimmt.</w:t>
      </w:r>
      <w:r>
        <w:t xml:space="preserve"> Der Käufer erwirbt nicht nur Software; eine öffentliche Schule, die ein Hochrisiko-KI-System einsetzt, übernimmt die Pflichten des Art. 26 KI-VO und, als Einrichtung des öffentlichen Rechts, eine Grundrechte-Folgenabschätzung nach Art. 27. Dies als gelöstes Problem zu verkaufen — vorausgefüllte DSFA/GRFA, Personalratspaket, Schulungsmodul — ist der Unterschied zwischen dem Verkauf eines Produkts und dem Verkauf eines Projekts an den Kunden.</w:t>
      </w:r>
    </w:p>
    <w:p w14:paraId="3F2A54C8" w14:textId="77777777" w:rsidR="0090768F" w:rsidRDefault="00000000">
      <w:pPr>
        <w:pStyle w:val="Heading2"/>
      </w:pPr>
      <w:bookmarkStart w:id="111" w:name="frage-1-was-verlangt-die-dsgvo"/>
      <w:bookmarkStart w:id="112" w:name="_Toc240060416"/>
      <w:bookmarkEnd w:id="109"/>
      <w:r>
        <w:t>3. Frage 1 — Was verlangt die DSGVO?</w:t>
      </w:r>
      <w:bookmarkEnd w:id="112"/>
    </w:p>
    <w:p w14:paraId="560343E9" w14:textId="77777777" w:rsidR="0090768F" w:rsidRDefault="00000000">
      <w:pPr>
        <w:pStyle w:val="Heading3"/>
      </w:pPr>
      <w:bookmarkStart w:id="113" w:name="die-daten"/>
      <w:r>
        <w:t>3.1 Die Daten</w:t>
      </w:r>
    </w:p>
    <w:p w14:paraId="565137E1" w14:textId="77777777" w:rsidR="0090768F" w:rsidRDefault="00000000">
      <w:pPr>
        <w:pStyle w:val="FirstParagraph"/>
      </w:pPr>
      <w:r>
        <w:t xml:space="preserve">Klausuren, Prüferanmerkungen, Noten, maschinell erzeugtes Feedback und interne Teilbewertungen sind sämtlich personenbezogene Daten des Prüflings. EuGH </w:t>
      </w:r>
      <w:r>
        <w:rPr>
          <w:b/>
          <w:bCs/>
        </w:rPr>
        <w:t xml:space="preserve">C-434/16 </w:t>
      </w:r>
      <w:r>
        <w:rPr>
          <w:b/>
          <w:bCs/>
          <w:i/>
          <w:iCs/>
        </w:rPr>
        <w:t>Nowak</w:t>
      </w:r>
      <w:r>
        <w:t xml:space="preserve"> (20.12.2017), Tenor: </w:t>
      </w:r>
      <w:r>
        <w:rPr>
          <w:i/>
          <w:iCs/>
        </w:rPr>
        <w:t>„die schriftlichen Antworten eines Prüflings bei einer berufsbezogenen Prüfung und etwaige Anmerkungen des Prüfers zu diesen Antworten [stellen] personenbezogene Daten dar”</w:t>
      </w:r>
      <w:r>
        <w:t xml:space="preserve">. Begründung: Die Antworten spiegeln Kenntnisse und Kompetenz des Prüflings wider und werden erhoben, um berufliche Fähigkeiten zu bewerten. Zwei Grenzen zog der Gerichtshof ebenfalls: Das Auskunftsrecht erstreckt sich nicht auf die </w:t>
      </w:r>
      <w:r>
        <w:rPr>
          <w:i/>
          <w:iCs/>
        </w:rPr>
        <w:t>Prüfungsfragen</w:t>
      </w:r>
      <w:r>
        <w:t>, und die Berichtigung erlaubt es nicht, falsche Antworten nachträglich zu korrigieren.</w:t>
      </w:r>
    </w:p>
    <w:p w14:paraId="04D9A4B5" w14:textId="77777777" w:rsidR="0090768F" w:rsidRDefault="00000000">
      <w:pPr>
        <w:pStyle w:val="BodyText"/>
      </w:pPr>
      <w:r>
        <w:t>Produktfolge: Export von Arbeit, Begründung und Telemetrie von Anfang an einplanen. Keine Architektur auf der Annahme, interne Bewertungstelemetrie sei für die betroffene Person unsichtbar.</w:t>
      </w:r>
    </w:p>
    <w:p w14:paraId="2C9071CC" w14:textId="77777777" w:rsidR="0090768F" w:rsidRDefault="00000000">
      <w:pPr>
        <w:pStyle w:val="Heading3"/>
      </w:pPr>
      <w:bookmarkStart w:id="114" w:name="X7d6fa7a9b3983260a9c3f0a30f00c6e03663094"/>
      <w:bookmarkEnd w:id="113"/>
      <w:r>
        <w:t>3.2 Rechtsgrundlage — und warum Einwilligung die falsche Antwort ist</w:t>
      </w:r>
    </w:p>
    <w:p w14:paraId="3C6A61DF" w14:textId="77777777" w:rsidR="0090768F" w:rsidRDefault="00000000">
      <w:pPr>
        <w:pStyle w:val="FirstParagraph"/>
      </w:pPr>
      <w:r>
        <w:t xml:space="preserve">Für die staatliche Schule ist die Grundlage </w:t>
      </w:r>
      <w:r>
        <w:rPr>
          <w:b/>
          <w:bCs/>
        </w:rPr>
        <w:t>Art. 6 Abs. 1 Buchst. e</w:t>
      </w:r>
      <w:r>
        <w:t xml:space="preserve"> i.V.m. </w:t>
      </w:r>
      <w:r>
        <w:rPr>
          <w:b/>
          <w:bCs/>
        </w:rPr>
        <w:t>Art. 6 Abs. 3</w:t>
      </w:r>
      <w:r>
        <w:t xml:space="preserve"> (Regelung im mitgliedstaatlichen Recht — Schulgesetz und Datenverordnung). Die Einwilligung ist vermutungsweise ausgeschlossen: ErwGr. 43 schließt sie bei klarem Ungleichgewicht aus, </w:t>
      </w:r>
      <w:r>
        <w:rPr>
          <w:i/>
          <w:iCs/>
        </w:rPr>
        <w:t>„insbesondere wenn es sich bei dem Verantwortlichen um eine Behörde handelt”</w:t>
      </w:r>
      <w:r>
        <w:t xml:space="preserve"> — und das Ungleichgewicht ist hier dreifach: Behörde, Minderjährigkeit und eine verpflichtende, nicht substituierbare Leistung. Ein Schüler kann sich der Bewertung nicht entziehen, die Einwilligung wäre also nicht ohne Nachteil widerrufbar und damit nicht freiwillig. Operativ wäre sie zudem unstimmig: Ein Widerruf nach Art. 7 Abs. 3 müsste die Note rückabwickeln.</w:t>
      </w:r>
    </w:p>
    <w:p w14:paraId="58397BC8" w14:textId="77777777" w:rsidR="0090768F" w:rsidRDefault="00000000">
      <w:pPr>
        <w:pStyle w:val="BodyText"/>
      </w:pPr>
      <w:r>
        <w:t>Eine Rolle behält die Einwilligung nur für eine echt freiwillige, strukturell getrennte Funktion — additives formatives Feedback jenseits der gesetzlichen Leistungsfeststellung oder ein Forschungsprogramm. Nicht koppeln.</w:t>
      </w:r>
    </w:p>
    <w:p w14:paraId="304E8458" w14:textId="77777777" w:rsidR="0090768F" w:rsidRDefault="00000000">
      <w:pPr>
        <w:pStyle w:val="BodyText"/>
      </w:pPr>
      <w:r>
        <w:rPr>
          <w:b/>
          <w:bCs/>
        </w:rPr>
        <w:t>Unsere eigene Stellung.</w:t>
      </w:r>
      <w:r>
        <w:t xml:space="preserve"> Im Regelfall sind wir </w:t>
      </w:r>
      <w:r>
        <w:rPr>
          <w:b/>
          <w:bCs/>
        </w:rPr>
        <w:t>Auftragsverarbeiter</w:t>
      </w:r>
      <w:r>
        <w:t xml:space="preserve"> ohne eigene Rechtsgrundlage. Sobald wir Arbeiten zur Modellverbesserung nutzen, werden wir </w:t>
      </w:r>
      <w:r>
        <w:lastRenderedPageBreak/>
        <w:t xml:space="preserve">insoweit </w:t>
      </w:r>
      <w:r>
        <w:rPr>
          <w:b/>
          <w:bCs/>
        </w:rPr>
        <w:t>Verantwortlicher</w:t>
      </w:r>
      <w:r>
        <w:t xml:space="preserve"> — Art. 28 Abs. 10 ist eindeutig — und brauchen eigene Grundlage und eigene Transparenz. Dies ist die folgenreichste Architekturentscheidung des Produkts.</w:t>
      </w:r>
    </w:p>
    <w:p w14:paraId="4F37F1E5" w14:textId="77777777" w:rsidR="0090768F" w:rsidRDefault="00000000">
      <w:pPr>
        <w:pStyle w:val="Heading3"/>
      </w:pPr>
      <w:bookmarkStart w:id="115" w:name="besondere-kategorien-art.-9"/>
      <w:bookmarkEnd w:id="114"/>
      <w:r>
        <w:t>3.3 Besondere Kategorien (Art. 9)</w:t>
      </w:r>
    </w:p>
    <w:p w14:paraId="3047B46F" w14:textId="77777777" w:rsidR="0090768F" w:rsidRDefault="00000000">
      <w:pPr>
        <w:pStyle w:val="FirstParagraph"/>
      </w:pPr>
      <w:r>
        <w:t>Freitextantworten in Gesellschaftswissenschaften, Ethik, Religion, Biologie und Sozialkunde offenbaren regelmäßig religiöse oder weltanschauliche Überzeugungen, politische Meinungen, Gesundheitsdaten und Sexualleben — als Gegenstand oder als freiwillige Selbstoffenbarung. Auf „wir erheben keine besonderen Kategorien” können wir uns nicht stützen. Schärfer noch: Handschrift und Fehlermuster können Lese-Rechtschreib-Schwäche, Dyskalkulie und motorische Beeinträchtigungen offenlegen — das sind Gesundheitsdaten, ob beabsichtigt oder nicht. Das DKJS-Memorandum (§5.6) macht diesen Punkt zu Recht.</w:t>
      </w:r>
    </w:p>
    <w:p w14:paraId="49E1E2C9" w14:textId="77777777" w:rsidR="0090768F" w:rsidRDefault="00000000">
      <w:pPr>
        <w:pStyle w:val="BodyText"/>
      </w:pPr>
      <w:r>
        <w:rPr>
          <w:b/>
          <w:bCs/>
        </w:rPr>
        <w:t>Eine echte Erleichterung.</w:t>
      </w:r>
      <w:r>
        <w:t xml:space="preserve"> Die Verordnung (EU) 2026/1744 hat </w:t>
      </w:r>
      <w:r>
        <w:rPr>
          <w:b/>
          <w:bCs/>
        </w:rPr>
        <w:t>Art. 4a KI-VO</w:t>
      </w:r>
      <w:r>
        <w:t xml:space="preserve"> eingefügt: eine unionsrechtliche Grundlage für Anbieter und Betreiber, besondere Datenkategorien </w:t>
      </w:r>
      <w:r>
        <w:rPr>
          <w:b/>
          <w:bCs/>
        </w:rPr>
        <w:t>ausschließlich zur Erkennung und Korrektur von Verzerrungen</w:t>
      </w:r>
      <w:r>
        <w:t xml:space="preserve"> zu verarbeiten, unter sechs kumulativen Bedingungen, darunter dass synthetische oder anonymisierte Daten nicht genügen, dass die Daten nicht weitergegeben werden und dass sie nach Behebung der Verzerrung gelöscht werden. Art. 10 Abs. 5 KI-VO wurde gestrichen und darin überführt. Vor Juli 2026 gab es für Betreiber keinen sauberen Weg zu Fairness-Tests auf geschützten Merkmalen; jetzt gibt es ihn. Nutzen und die sechs Bedingungen dokumentieren.</w:t>
      </w:r>
    </w:p>
    <w:p w14:paraId="79C61866" w14:textId="77777777" w:rsidR="0090768F" w:rsidRDefault="00000000">
      <w:pPr>
        <w:pStyle w:val="Heading3"/>
      </w:pPr>
      <w:bookmarkStart w:id="116" w:name="transparenz-und-auskunft"/>
      <w:bookmarkEnd w:id="115"/>
      <w:r>
        <w:t>3.4 Transparenz und Auskunft</w:t>
      </w:r>
    </w:p>
    <w:p w14:paraId="3FA30A06" w14:textId="77777777" w:rsidR="0090768F" w:rsidRDefault="00000000">
      <w:pPr>
        <w:pStyle w:val="FirstParagraph"/>
      </w:pPr>
      <w:r>
        <w:t xml:space="preserve">Art. 13/14 verpflichten die Schule, Schüler und Eltern in kindgerechter Sprache (Art. 12 Abs. 1) darüber zu informieren, dass ein KI-System Noten vorschlägt, welche Logik zugrunde liegt und welche Folgen bestehen. </w:t>
      </w:r>
      <w:r>
        <w:rPr>
          <w:b/>
          <w:bCs/>
        </w:rPr>
        <w:t>Operativ teuer ist Art. 15</w:t>
      </w:r>
      <w:r>
        <w:t xml:space="preserve">, weil </w:t>
      </w:r>
      <w:r>
        <w:rPr>
          <w:i/>
          <w:iCs/>
        </w:rPr>
        <w:t>Nowak</w:t>
      </w:r>
      <w:r>
        <w:t xml:space="preserve"> Arbeit und Anmerkungen auskunftspflichtig macht.</w:t>
      </w:r>
    </w:p>
    <w:p w14:paraId="6CC46384" w14:textId="77777777" w:rsidR="0090768F" w:rsidRDefault="00000000">
      <w:pPr>
        <w:pStyle w:val="BodyText"/>
      </w:pPr>
      <w:r>
        <w:rPr>
          <w:b/>
          <w:bCs/>
        </w:rPr>
        <w:t xml:space="preserve">C-203/22 </w:t>
      </w:r>
      <w:r>
        <w:rPr>
          <w:b/>
          <w:bCs/>
          <w:i/>
          <w:iCs/>
        </w:rPr>
        <w:t>Dun &amp; Bradstreet Austria</w:t>
      </w:r>
      <w:r>
        <w:t xml:space="preserve"> (27.02.2025) ist nunmehr die maßgebliche Entscheidung zu Art. 15 Abs. 1 Buchst. h: Der Verantwortliche muss „das Verfahren und die Grundsätze, die tatsächlich angewandt wurden” so erläutern, dass die betroffene Person versteht, welche Daten wie verwendet wurden — </w:t>
      </w:r>
      <w:r>
        <w:rPr>
          <w:b/>
          <w:bCs/>
        </w:rPr>
        <w:t>nicht</w:t>
      </w:r>
      <w:r>
        <w:t xml:space="preserve"> aber den Algorithmus oder die Formeln offenlegen. Werden Geschäftsgeheimnisse eingewandt, ist das Material der Aufsichtsbehörde oder dem Gericht zur Abwägung vorzulegen; eine pauschale Verweigerung ist unionsrechtswidrig. Kommerziell gelesen ist das gut: Wir müssen weder Gewichte noch Prompts veröffentlichen, aber wir müssen je Note angeben können, welche Merkmale der Arbeit den Vorschlag getragen haben. Das ist eine Produktanforderung, keine juristische Fußnote.</w:t>
      </w:r>
    </w:p>
    <w:p w14:paraId="452AA8E7" w14:textId="77777777" w:rsidR="0090768F" w:rsidRDefault="00000000">
      <w:pPr>
        <w:pStyle w:val="Heading3"/>
      </w:pPr>
      <w:bookmarkStart w:id="117" w:name="artikel-22-die-kernfrage"/>
      <w:bookmarkEnd w:id="116"/>
      <w:r>
        <w:t>3.5 Artikel 22 — die Kernfrage</w:t>
      </w:r>
    </w:p>
    <w:p w14:paraId="109E79C4" w14:textId="77777777" w:rsidR="0090768F" w:rsidRDefault="00000000">
      <w:pPr>
        <w:pStyle w:val="FirstParagraph"/>
      </w:pPr>
      <w:r>
        <w:rPr>
          <w:b/>
          <w:bCs/>
        </w:rPr>
        <w:t>Art. 22 Abs. 1</w:t>
      </w:r>
      <w:r>
        <w:t xml:space="preserve"> gibt der betroffenen Person das Recht, keiner </w:t>
      </w:r>
      <w:r>
        <w:rPr>
          <w:i/>
          <w:iCs/>
        </w:rPr>
        <w:t>ausschließlich</w:t>
      </w:r>
      <w:r>
        <w:t xml:space="preserve"> auf automatisierter Verarbeitung beruhenden Entscheidung unterworfen zu werden, die rechtliche Wirkung entfaltet oder sie in ähnlicher Weise erheblich beeinträchtigt. Drei </w:t>
      </w:r>
      <w:r>
        <w:lastRenderedPageBreak/>
        <w:t>kumulative Voraussetzungen (</w:t>
      </w:r>
      <w:r>
        <w:rPr>
          <w:i/>
          <w:iCs/>
        </w:rPr>
        <w:t>SCHUFA</w:t>
      </w:r>
      <w:r>
        <w:t>, Rn. 43): eine Entscheidung; ausschließlich automatisierte Verarbeitung; rechtliche oder ähnlich erhebliche Wirkung.</w:t>
      </w:r>
    </w:p>
    <w:p w14:paraId="2AB2117F" w14:textId="77777777" w:rsidR="0090768F" w:rsidRDefault="00000000">
      <w:pPr>
        <w:pStyle w:val="BodyText"/>
      </w:pPr>
      <w:r>
        <w:rPr>
          <w:b/>
          <w:bCs/>
        </w:rPr>
        <w:t>Ist eine Note erheblich?</w:t>
      </w:r>
      <w:r>
        <w:t xml:space="preserve"> Ja, und dies ist der am wenigsten bestreitbare Punkt. WP251rev.01 nennt ausdrücklich </w:t>
      </w:r>
      <w:r>
        <w:rPr>
          <w:i/>
          <w:iCs/>
        </w:rPr>
        <w:t>„Entscheidungen, die den Zugang einer Person zu Bildung betreffen, etwa Hochschulzulassungen”</w:t>
      </w:r>
      <w:r>
        <w:t>. Eine Abiturnote, eine GCSE-Note oder eine Modulnote bestimmt den Zugang zu weiterer Bildung und zu reglementierten Berufen; in Deutschland ist die staatliche Prüfungsnote ein Verwaltungsakt, mithin eher eine echte Rechtswirkung.</w:t>
      </w:r>
    </w:p>
    <w:p w14:paraId="0C55FEF2" w14:textId="77777777" w:rsidR="0090768F" w:rsidRDefault="00000000">
      <w:pPr>
        <w:pStyle w:val="BodyText"/>
      </w:pPr>
      <w:r>
        <w:t xml:space="preserve">Ein echter Übungstest ohne Aktenrelevanz kann unter der Schwelle bleiben. </w:t>
      </w:r>
      <w:r>
        <w:rPr>
          <w:b/>
          <w:bCs/>
        </w:rPr>
        <w:t>Formative und summative Betriebsarten sollten daher technisch und vertraglich getrennt sein</w:t>
      </w:r>
      <w:r>
        <w:t>, weil die Rechtsfolgen weit auseinandergehen — und die Entwürfe der Kommissionsleitlinien ziehen dieselbe Linie.</w:t>
      </w:r>
    </w:p>
    <w:p w14:paraId="5A223A2B" w14:textId="77777777" w:rsidR="0090768F" w:rsidRDefault="00000000">
      <w:pPr>
        <w:pStyle w:val="BodyText"/>
      </w:pPr>
      <w:r>
        <w:rPr>
          <w:b/>
          <w:bCs/>
        </w:rPr>
        <w:t>Beseitigt die Prüfung durch die Lehrkraft das „ausschließlich”?</w:t>
      </w:r>
      <w:r>
        <w:t xml:space="preserve"> Hier ist die Annahme des Decks am angreifbarsten. WP251rev.01 ist der Maßstab und stellt auf das tatsächliche Verhalten ab:</w:t>
      </w:r>
    </w:p>
    <w:p w14:paraId="6E1E5C8F" w14:textId="77777777" w:rsidR="0090768F" w:rsidRDefault="00000000">
      <w:pPr>
        <w:pStyle w:val="BlockText"/>
      </w:pPr>
      <w:r>
        <w:rPr>
          <w:i/>
          <w:iCs/>
        </w:rPr>
        <w:t>„Der Verantwortliche kann die Bestimmungen des Artikels 22 nicht dadurch umgehen, dass er eine menschliche Beteiligung fingiert. … Damit eine Beteiligung als menschliche Beteiligung gilt, muss der Verantwortliche sicherstellen, dass jede Überwachung der Entscheidung aussagekräftig ist und nicht nur eine symbolische Geste darstellt. Sie sollte von einer Person durchgeführt werden, die befugt und kompetent ist, die Entscheidung zu ändern.”</w:t>
      </w:r>
    </w:p>
    <w:p w14:paraId="1DD1CB18" w14:textId="77777777" w:rsidR="0090768F" w:rsidRDefault="00000000">
      <w:pPr>
        <w:pStyle w:val="FirstParagraph"/>
      </w:pPr>
      <w:r>
        <w:rPr>
          <w:b/>
          <w:bCs/>
        </w:rPr>
        <w:t xml:space="preserve">EuGH C-634/21 </w:t>
      </w:r>
      <w:r>
        <w:rPr>
          <w:b/>
          <w:bCs/>
          <w:i/>
          <w:iCs/>
        </w:rPr>
        <w:t>SCHUFA</w:t>
      </w:r>
      <w:r>
        <w:t xml:space="preserve"> (07.12.2023) nimmt die einfache Antwort. Die SCHUFA hat genau unser Argument vorgetragen — wir erzeugen nur einen Wert, ein Mensch entscheidet — und der Gerichtshof hat es zurückgewiesen: Wenn ein Dritter dem Wahrscheinlichkeitswert „maßgeblich” folgt, ist bereits dessen Erstellung eine automatisierte Einzelfallentscheidung. Tragend war der Umgehungsschutz: Eine enge Auslegung erzeuge eine Schutzlücke.</w:t>
      </w:r>
    </w:p>
    <w:p w14:paraId="146915FD" w14:textId="77777777" w:rsidR="0090768F" w:rsidRDefault="00000000">
      <w:pPr>
        <w:pStyle w:val="BodyText"/>
      </w:pPr>
      <w:r>
        <w:t xml:space="preserve">Auf uns angewandt: Übernehmen Lehrkräfte den Vorschlag in 90–95 % der Fälle, folgen sie ihm „maßgeblich”, und der Vorschlag ist die Entscheidung. </w:t>
      </w:r>
      <w:r>
        <w:rPr>
          <w:b/>
          <w:bCs/>
        </w:rPr>
        <w:t>Je besser sich das Produkt verkauft, desto schwächer wird das Rechtsargument.</w:t>
      </w:r>
      <w:r>
        <w:t xml:space="preserve"> Diese Spannung ist real und will gesteuert, nicht geleugnet werden.</w:t>
      </w:r>
    </w:p>
    <w:p w14:paraId="1E7D3C37" w14:textId="77777777" w:rsidR="0090768F" w:rsidRDefault="00000000">
      <w:pPr>
        <w:pStyle w:val="BodyText"/>
      </w:pPr>
      <w:r>
        <w:rPr>
          <w:b/>
          <w:bCs/>
        </w:rPr>
        <w:t>Was die Prüfung aussagekräftig macht — ein verteidigbarer Designstandard:</w:t>
      </w:r>
    </w:p>
    <w:tbl>
      <w:tblPr>
        <w:tblStyle w:val="Table"/>
        <w:tblW w:w="5000" w:type="pct"/>
        <w:tblLook w:val="0020" w:firstRow="1" w:lastRow="0" w:firstColumn="0" w:lastColumn="0" w:noHBand="0" w:noVBand="0"/>
      </w:tblPr>
      <w:tblGrid>
        <w:gridCol w:w="5241"/>
        <w:gridCol w:w="4119"/>
      </w:tblGrid>
      <w:tr w:rsidR="0090768F" w14:paraId="7750B5A7"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457BD163" w14:textId="77777777" w:rsidR="0090768F" w:rsidRDefault="00000000">
            <w:pPr>
              <w:pStyle w:val="Compact"/>
            </w:pPr>
            <w:r>
              <w:t>Anforderung</w:t>
            </w:r>
          </w:p>
        </w:tc>
        <w:tc>
          <w:tcPr>
            <w:tcW w:w="0" w:type="auto"/>
          </w:tcPr>
          <w:p w14:paraId="3A1CA0C7" w14:textId="77777777" w:rsidR="0090768F" w:rsidRDefault="00000000">
            <w:pPr>
              <w:pStyle w:val="Compact"/>
            </w:pPr>
            <w:r>
              <w:t>Grund</w:t>
            </w:r>
          </w:p>
        </w:tc>
      </w:tr>
      <w:tr w:rsidR="0090768F" w14:paraId="44D98B40" w14:textId="77777777">
        <w:tc>
          <w:tcPr>
            <w:tcW w:w="0" w:type="auto"/>
          </w:tcPr>
          <w:p w14:paraId="6E55ACD2" w14:textId="77777777" w:rsidR="0090768F" w:rsidRDefault="00000000">
            <w:pPr>
              <w:pStyle w:val="Compact"/>
            </w:pPr>
            <w:r>
              <w:t>Lehrkraft sieht zuerst die Arbeit und bildet sich eine vorläufige Auffassung, bevor der Vorschlag erscheint (oder kann ihn ausblenden)</w:t>
            </w:r>
          </w:p>
        </w:tc>
        <w:tc>
          <w:tcPr>
            <w:tcW w:w="0" w:type="auto"/>
          </w:tcPr>
          <w:p w14:paraId="67D3D685" w14:textId="77777777" w:rsidR="0090768F" w:rsidRDefault="00000000">
            <w:pPr>
              <w:pStyle w:val="Compact"/>
            </w:pPr>
            <w:r>
              <w:t>wirkt dem Ankereffekt entgegen; belegt Berücksichtigung aller relevanten Daten</w:t>
            </w:r>
          </w:p>
        </w:tc>
      </w:tr>
      <w:tr w:rsidR="0090768F" w14:paraId="7279682B" w14:textId="77777777">
        <w:tc>
          <w:tcPr>
            <w:tcW w:w="0" w:type="auto"/>
          </w:tcPr>
          <w:p w14:paraId="68BFF568" w14:textId="77777777" w:rsidR="0090768F" w:rsidRDefault="00000000">
            <w:pPr>
              <w:pStyle w:val="Compact"/>
            </w:pPr>
            <w:r>
              <w:t>Ausdrückliche Befugnis zur Abweichung ohne Eskalation oder Begründungslast</w:t>
            </w:r>
          </w:p>
        </w:tc>
        <w:tc>
          <w:tcPr>
            <w:tcW w:w="0" w:type="auto"/>
          </w:tcPr>
          <w:p w14:paraId="27368AD9" w14:textId="77777777" w:rsidR="0090768F" w:rsidRDefault="00000000">
            <w:pPr>
              <w:pStyle w:val="Compact"/>
            </w:pPr>
            <w:r>
              <w:t>„befugt, die Entscheidung zu ändern”</w:t>
            </w:r>
          </w:p>
        </w:tc>
      </w:tr>
      <w:tr w:rsidR="0090768F" w14:paraId="665F8C86" w14:textId="77777777">
        <w:tc>
          <w:tcPr>
            <w:tcW w:w="0" w:type="auto"/>
          </w:tcPr>
          <w:p w14:paraId="369E2272" w14:textId="77777777" w:rsidR="0090768F" w:rsidRDefault="00000000">
            <w:pPr>
              <w:pStyle w:val="Compact"/>
            </w:pPr>
            <w:r>
              <w:t xml:space="preserve">Fachliche Kompetenz plus Schulung zu den </w:t>
            </w:r>
            <w:r>
              <w:lastRenderedPageBreak/>
              <w:t>Fehlermodi des Systems</w:t>
            </w:r>
          </w:p>
        </w:tc>
        <w:tc>
          <w:tcPr>
            <w:tcW w:w="0" w:type="auto"/>
          </w:tcPr>
          <w:p w14:paraId="6B9C4DBF" w14:textId="77777777" w:rsidR="0090768F" w:rsidRDefault="00000000">
            <w:pPr>
              <w:pStyle w:val="Compact"/>
            </w:pPr>
            <w:r>
              <w:lastRenderedPageBreak/>
              <w:t>„kompetent”; Art. 26 Abs. 2 KI-VO</w:t>
            </w:r>
          </w:p>
        </w:tc>
      </w:tr>
      <w:tr w:rsidR="0090768F" w14:paraId="274491D6" w14:textId="77777777">
        <w:tc>
          <w:tcPr>
            <w:tcW w:w="0" w:type="auto"/>
          </w:tcPr>
          <w:p w14:paraId="7A9EDF7F" w14:textId="77777777" w:rsidR="0090768F" w:rsidRDefault="00000000">
            <w:pPr>
              <w:pStyle w:val="Compact"/>
            </w:pPr>
            <w:r>
              <w:t>Abweichungs- und Änderungsquoten gemessen, protokolliert, berichtet</w:t>
            </w:r>
          </w:p>
        </w:tc>
        <w:tc>
          <w:tcPr>
            <w:tcW w:w="0" w:type="auto"/>
          </w:tcPr>
          <w:p w14:paraId="3BF0FDC7" w14:textId="77777777" w:rsidR="0090768F" w:rsidRDefault="00000000">
            <w:pPr>
              <w:pStyle w:val="Compact"/>
            </w:pPr>
            <w:r>
              <w:t xml:space="preserve">widerlegt den </w:t>
            </w:r>
            <w:r>
              <w:rPr>
                <w:i/>
                <w:iCs/>
              </w:rPr>
              <w:t>SCHUFA</w:t>
            </w:r>
            <w:r>
              <w:t>-Maßstab empirisch</w:t>
            </w:r>
          </w:p>
        </w:tc>
      </w:tr>
      <w:tr w:rsidR="0090768F" w14:paraId="20EEEC58" w14:textId="77777777">
        <w:tc>
          <w:tcPr>
            <w:tcW w:w="0" w:type="auto"/>
          </w:tcPr>
          <w:p w14:paraId="0C9B90B8" w14:textId="77777777" w:rsidR="0090768F" w:rsidRDefault="00000000">
            <w:pPr>
              <w:pStyle w:val="Compact"/>
            </w:pPr>
            <w:r>
              <w:t>Keine Massenübernahme; Mindestbearbeitungszeit je Arbeit</w:t>
            </w:r>
          </w:p>
        </w:tc>
        <w:tc>
          <w:tcPr>
            <w:tcW w:w="0" w:type="auto"/>
          </w:tcPr>
          <w:p w14:paraId="470B8B61" w14:textId="77777777" w:rsidR="0090768F" w:rsidRDefault="00000000">
            <w:pPr>
              <w:pStyle w:val="Compact"/>
            </w:pPr>
            <w:r>
              <w:t>eine Oberfläche, auf der Zustimmung einen und Abweichung zehn Klicks kostet, belegt die symbolische Geste</w:t>
            </w:r>
          </w:p>
        </w:tc>
      </w:tr>
      <w:tr w:rsidR="0090768F" w14:paraId="25CA31C6" w14:textId="77777777">
        <w:tc>
          <w:tcPr>
            <w:tcW w:w="0" w:type="auto"/>
          </w:tcPr>
          <w:p w14:paraId="08EDB939" w14:textId="77777777" w:rsidR="0090768F" w:rsidRDefault="00000000">
            <w:pPr>
              <w:pStyle w:val="Compact"/>
            </w:pPr>
            <w:r>
              <w:t>Zweitprüfung bei niedriger Modellkonfidenz oder Notengrenze</w:t>
            </w:r>
          </w:p>
        </w:tc>
        <w:tc>
          <w:tcPr>
            <w:tcW w:w="0" w:type="auto"/>
          </w:tcPr>
          <w:p w14:paraId="22E77D9A" w14:textId="77777777" w:rsidR="0090768F" w:rsidRDefault="00000000">
            <w:pPr>
              <w:pStyle w:val="Compact"/>
            </w:pPr>
            <w:r>
              <w:t>verhältnismäßige Schutzmaßnahme</w:t>
            </w:r>
          </w:p>
        </w:tc>
      </w:tr>
    </w:tbl>
    <w:p w14:paraId="58E42E94" w14:textId="77777777" w:rsidR="0090768F" w:rsidRDefault="00000000">
      <w:pPr>
        <w:pStyle w:val="BodyText"/>
      </w:pPr>
      <w:r>
        <w:rPr>
          <w:b/>
          <w:bCs/>
        </w:rPr>
        <w:t>Empfohlene Position: die Garantien des Art. 22 Abs. 3 unabhängig davon umsetzen, ob Art. 22 formal einschlägig ist</w:t>
      </w:r>
      <w:r>
        <w:t xml:space="preserve"> — Eingreifen einer Person, Darlegung des eigenen Standpunkts, Anfechtung. Im Prüfungskontext bestehen diese Rechte ohnehin, sie sind also günstig; und sie machen aus einer streitigen Rechtsposition einen Nichtpunkt.</w:t>
      </w:r>
    </w:p>
    <w:p w14:paraId="44DBBFB4" w14:textId="77777777" w:rsidR="0090768F" w:rsidRDefault="00000000">
      <w:pPr>
        <w:pStyle w:val="BodyText"/>
      </w:pPr>
      <w:r>
        <w:rPr>
          <w:b/>
          <w:bCs/>
        </w:rPr>
        <w:t>Zwei ungünstige Punkte, die das Deck bisher nicht abbildet.</w:t>
      </w:r>
      <w:r>
        <w:t xml:space="preserve"> Erstens ist der Rückgriff auf Art. 22 Abs. 2 Buchst. b (Zulassung durch mitgliedstaatliches Recht mit Garantien) für Schulen geschwächt: ErwGr. 71 sagt, eine solche Maßnahme </w:t>
      </w:r>
      <w:r>
        <w:rPr>
          <w:i/>
          <w:iCs/>
        </w:rPr>
        <w:t>„sollte kein Kind betreffen”</w:t>
      </w:r>
      <w:r>
        <w:t xml:space="preserve">, und WP251 rät, sich bei Kindern regelmäßig nicht auf die Ausnahmen des Art. 22 Abs. 2 zu stützen. Zweitens ist das </w:t>
      </w:r>
      <w:r>
        <w:rPr>
          <w:b/>
          <w:bCs/>
        </w:rPr>
        <w:t>Widerspruchsrecht nach Art. 21</w:t>
      </w:r>
      <w:r>
        <w:t xml:space="preserve"> bei Verarbeitungen auf Grundlage des Art. 6 Abs. 1 Buchst. e wenig analysiert: Eltern könnten der KI-gestützten </w:t>
      </w:r>
      <w:r>
        <w:rPr>
          <w:i/>
          <w:iCs/>
        </w:rPr>
        <w:t>Methode</w:t>
      </w:r>
      <w:r>
        <w:t xml:space="preserve"> widersprechen, nicht der Bewertung als solcher — und das Argument der zwingenden schutzwürdigen Gründe ist dort schwächer, weil eine rein menschliche Alternative existiert. Mit einer entsprechenden Forderung mindestens einer Landesaufsichtsbehörde ist zu rechnen.</w:t>
      </w:r>
    </w:p>
    <w:p w14:paraId="3D56315C" w14:textId="77777777" w:rsidR="0090768F" w:rsidRDefault="00000000">
      <w:pPr>
        <w:pStyle w:val="Heading3"/>
      </w:pPr>
      <w:bookmarkStart w:id="118" w:name="X1b2ece233817ff39c3e6bb08e2ee1c2c8212da4"/>
      <w:bookmarkEnd w:id="117"/>
      <w:r>
        <w:t>3.6 DSFA — zwingend, ohne ernsthaftes Gegenargument</w:t>
      </w:r>
    </w:p>
    <w:p w14:paraId="2EB06F83" w14:textId="77777777" w:rsidR="0090768F" w:rsidRDefault="00000000">
      <w:pPr>
        <w:pStyle w:val="FirstParagraph"/>
      </w:pPr>
      <w:r>
        <w:t>Drei Wege führen zum selben Ergebnis:</w:t>
      </w:r>
    </w:p>
    <w:p w14:paraId="41B2CD4E" w14:textId="77777777" w:rsidR="0090768F" w:rsidRDefault="00000000">
      <w:pPr>
        <w:pStyle w:val="Compact"/>
        <w:numPr>
          <w:ilvl w:val="0"/>
          <w:numId w:val="28"/>
        </w:numPr>
      </w:pPr>
      <w:r>
        <w:rPr>
          <w:b/>
          <w:bCs/>
        </w:rPr>
        <w:t>Art. 35 Abs. 3 Buchst. a</w:t>
      </w:r>
      <w:r>
        <w:t xml:space="preserve"> — systematische und umfassende Bewertung persönlicher Aspekte auf Grundlage automatisierter Verarbeitung, auf die sich Entscheidungen stützen.</w:t>
      </w:r>
    </w:p>
    <w:p w14:paraId="037B0594" w14:textId="77777777" w:rsidR="0090768F" w:rsidRDefault="00000000">
      <w:pPr>
        <w:pStyle w:val="Compact"/>
        <w:numPr>
          <w:ilvl w:val="0"/>
          <w:numId w:val="28"/>
        </w:numPr>
      </w:pPr>
      <w:r>
        <w:rPr>
          <w:b/>
          <w:bCs/>
        </w:rPr>
        <w:t>WP248rev.01</w:t>
      </w:r>
      <w:r>
        <w:t xml:space="preserve"> — zehn Kriterien, Faustregel ab zwei. Wir erfüllen mindestens fünf: Bewertung/Scoring; automatisierte Entscheidung mit erheblicher Wirkung; wahrscheinlich besondere Kategorien; große Datenmenge; schutzbedürftige Betroffene (Kinder werden ausdrücklich genannt); innovative Technologie; Drittlandsübermittlung bei US-Modellendpunkt.</w:t>
      </w:r>
    </w:p>
    <w:p w14:paraId="2191A2E2" w14:textId="77777777" w:rsidR="0090768F" w:rsidRDefault="00000000">
      <w:pPr>
        <w:pStyle w:val="Compact"/>
        <w:numPr>
          <w:ilvl w:val="0"/>
          <w:numId w:val="28"/>
        </w:numPr>
      </w:pPr>
      <w:r>
        <w:rPr>
          <w:b/>
          <w:bCs/>
        </w:rPr>
        <w:t>Nationale „Muss-Listen” nach Art. 35 Abs. 4.</w:t>
      </w:r>
      <w:r>
        <w:t xml:space="preserve"> Deutschland ist hier entscheidend: Die </w:t>
      </w:r>
      <w:r>
        <w:rPr>
          <w:b/>
          <w:bCs/>
        </w:rPr>
        <w:t>DSK-Muss-Liste v1.1 vom 17.10.2018, Nr. 11</w:t>
      </w:r>
      <w:r>
        <w:t xml:space="preserve">, nennt den </w:t>
      </w:r>
      <w:r>
        <w:rPr>
          <w:i/>
          <w:iCs/>
        </w:rPr>
        <w:t>„Einsatz von künstlicher Intelligenz zur Verarbeitung personenbezogener Daten … zur Bewertung persönlicher Aspekte der betroffenen Person”</w:t>
      </w:r>
      <w:r>
        <w:t>. Das ist ein Volltreffer.</w:t>
      </w:r>
    </w:p>
    <w:p w14:paraId="6B2280B4" w14:textId="77777777" w:rsidR="0090768F" w:rsidRDefault="00000000">
      <w:pPr>
        <w:pStyle w:val="FirstParagraph"/>
      </w:pPr>
      <w:r>
        <w:t xml:space="preserve">Vertriebsfolge: Jeder deutsche öffentliche Kunde muss vor Inbetriebnahme eine DSFA durchführen und wird von uns Vorlage und technische Zuarbeit erwarten. Da die Verordnung (EU) 2026/1744 Art. 27 Abs. 4 KI-VO so geändert hat, dass der Betreiber die </w:t>
      </w:r>
      <w:r>
        <w:lastRenderedPageBreak/>
        <w:t xml:space="preserve">DSFA in die Grundrechte-Folgenabschätzung hineinverweisen darf, ist </w:t>
      </w:r>
      <w:r>
        <w:rPr>
          <w:b/>
          <w:bCs/>
        </w:rPr>
        <w:t>ein gut gebautes kombiniertes DSFA/GRFA-Paket jetzt das hebelstärkste Vertriebsartefakt, das wir bauen können</w:t>
      </w:r>
      <w:r>
        <w:t xml:space="preserve"> — und es ist ausdrücklich vorgesehen.</w:t>
      </w:r>
    </w:p>
    <w:p w14:paraId="25B079F8" w14:textId="77777777" w:rsidR="0090768F" w:rsidRDefault="00000000">
      <w:pPr>
        <w:pStyle w:val="Heading3"/>
      </w:pPr>
      <w:bookmarkStart w:id="119" w:name="X59ede63032adb977b4d8e5e252135560b378423"/>
      <w:bookmarkEnd w:id="118"/>
      <w:r>
        <w:t>3.7 Auftragsverarbeitung, Unterauftragnehmer, Drittlandstransfer</w:t>
      </w:r>
    </w:p>
    <w:p w14:paraId="7E43ED3E" w14:textId="77777777" w:rsidR="0090768F" w:rsidRDefault="00000000">
      <w:pPr>
        <w:pStyle w:val="Compact"/>
        <w:numPr>
          <w:ilvl w:val="0"/>
          <w:numId w:val="29"/>
        </w:numPr>
      </w:pPr>
      <w:r>
        <w:rPr>
          <w:b/>
          <w:bCs/>
        </w:rPr>
        <w:t>Art. 28 Abs. 2/4:</w:t>
      </w:r>
      <w:r>
        <w:t xml:space="preserve"> Ein US-Modellanbieter ist </w:t>
      </w:r>
      <w:r>
        <w:rPr>
          <w:b/>
          <w:bCs/>
        </w:rPr>
        <w:t>Unterauftragnehmer</w:t>
      </w:r>
      <w:r>
        <w:t>. Öffentliche Käufer verlangen gesonderte vorherige Genehmigung; ein Wechsel des Modellanbieters ist damit ein Vertrags-, nicht nur ein Engineering-Problem.</w:t>
      </w:r>
    </w:p>
    <w:p w14:paraId="0EF14EAD" w14:textId="77777777" w:rsidR="0090768F" w:rsidRDefault="00000000">
      <w:pPr>
        <w:pStyle w:val="Compact"/>
        <w:numPr>
          <w:ilvl w:val="0"/>
          <w:numId w:val="29"/>
        </w:numPr>
      </w:pPr>
      <w:r>
        <w:rPr>
          <w:b/>
          <w:bCs/>
        </w:rPr>
        <w:t>Art. 28 Abs. 3 Buchst. a:</w:t>
      </w:r>
      <w:r>
        <w:t xml:space="preserve"> Wir handeln nur auf dokumentierte Weisung; jede Nutzung zur Modellverbesserung liegt außerhalb und macht uns zum Verantwortlichen.</w:t>
      </w:r>
    </w:p>
    <w:p w14:paraId="5A63ECBB" w14:textId="77777777" w:rsidR="0090768F" w:rsidRDefault="00000000">
      <w:pPr>
        <w:pStyle w:val="Compact"/>
        <w:numPr>
          <w:ilvl w:val="0"/>
          <w:numId w:val="29"/>
        </w:numPr>
      </w:pPr>
      <w:r>
        <w:rPr>
          <w:b/>
          <w:bCs/>
        </w:rPr>
        <w:t>Art. 32:</w:t>
      </w:r>
      <w:r>
        <w:t xml:space="preserve"> Eine Zero-Retention-Konfiguration der Modell-API samt vertraglicher Zusicherung, dass der Anbieter Prompts weder speichert noch zum Training nutzt, ist hier faktisch Sicherheitsanforderung, nicht Komfort.</w:t>
      </w:r>
    </w:p>
    <w:p w14:paraId="467DB061" w14:textId="77777777" w:rsidR="0090768F" w:rsidRDefault="00000000">
      <w:pPr>
        <w:pStyle w:val="Compact"/>
        <w:numPr>
          <w:ilvl w:val="0"/>
          <w:numId w:val="29"/>
        </w:numPr>
      </w:pPr>
      <w:r>
        <w:rPr>
          <w:b/>
          <w:bCs/>
        </w:rPr>
        <w:t>Kapitel V:</w:t>
      </w:r>
      <w:r>
        <w:t xml:space="preserve"> Die Nutzung eines US-Modellendpunkts ist eine Übermittlung. Der EU-US-Datenschutzrahmen hat die erste Instanz überstanden (</w:t>
      </w:r>
      <w:r>
        <w:rPr>
          <w:b/>
          <w:bCs/>
        </w:rPr>
        <w:t xml:space="preserve">T-553/23 </w:t>
      </w:r>
      <w:r>
        <w:rPr>
          <w:b/>
          <w:bCs/>
          <w:i/>
          <w:iCs/>
        </w:rPr>
        <w:t>Latombe</w:t>
      </w:r>
      <w:r>
        <w:t xml:space="preserve">, EuG, 03.09.2025, Klage abgewiesen); ob ein Rechtsmittel eingelegt wurde und wie der Rahmen politisch steht, </w:t>
      </w:r>
      <w:r>
        <w:rPr>
          <w:b/>
          <w:bCs/>
        </w:rPr>
        <w:t>konnte nicht verifiziert werden</w:t>
      </w:r>
      <w:r>
        <w:t xml:space="preserve"> und ist vor jeder Kundenzusage erneut zu prüfen. </w:t>
      </w:r>
      <w:r>
        <w:rPr>
          <w:b/>
          <w:bCs/>
        </w:rPr>
        <w:t>So konstruieren, dass der Rahmen nicht tragend ist:</w:t>
      </w:r>
      <w:r>
        <w:t xml:space="preserve"> EU-Endpunkte, Standardvertragsklauseln, Transfer-Folgenabschätzung. Deutsche öffentliche Käufer behandeln US-Mutterkonzern-Cloud unabhängig von Angemessenheitsbeschlüssen wiederholt als Problem.</w:t>
      </w:r>
    </w:p>
    <w:p w14:paraId="5EE44909" w14:textId="77777777" w:rsidR="0090768F" w:rsidRDefault="00000000">
      <w:pPr>
        <w:pStyle w:val="Heading3"/>
      </w:pPr>
      <w:bookmarkStart w:id="120" w:name="Xd0de6747aabd05c50b8cf0d86096ceb1d3cdb1a"/>
      <w:bookmarkEnd w:id="119"/>
      <w:r>
        <w:t>3.8 Modelltraining — der gefährlichste natürliche Produktinstinkt</w:t>
      </w:r>
    </w:p>
    <w:p w14:paraId="76D2C944" w14:textId="77777777" w:rsidR="0090768F" w:rsidRDefault="00000000">
      <w:pPr>
        <w:pStyle w:val="FirstParagraph"/>
      </w:pPr>
      <w:r>
        <w:rPr>
          <w:b/>
          <w:bCs/>
        </w:rPr>
        <w:t>EDSA-Stellungnahme 28/2024</w:t>
      </w:r>
      <w:r>
        <w:t xml:space="preserve"> (17.12.2024): Mit personenbezogenen Daten trainierte KI-Modelle können nicht in allen Fällen als anonym gelten; Anonymität setzt voraus, dass sowohl die direkte Extraktion als auch die Gewinnung über Abfragen unerheblich ist; unrechtmäßig verarbeitete Trainingsdaten wirken sich auf den nachgelagerten Betrieb aus. Ein auf Klausuren eines Jahrgangs feinabgestimmtes Modell kann selbst personenbezogenes Datum sein.</w:t>
      </w:r>
    </w:p>
    <w:p w14:paraId="0F801E3B" w14:textId="77777777" w:rsidR="0090768F" w:rsidRDefault="00000000">
      <w:pPr>
        <w:pStyle w:val="BodyText"/>
      </w:pPr>
      <w:r>
        <w:t xml:space="preserve">Zusammen mit der Zweckbindung des Art. 5 Abs. 1 Buchst. b — und der für Verantwortliche nach Art. 6 Abs. 1 Buchst. e deutlich engeren Vereinbarkeitsprüfung des Art. 6 Abs. 4 — lautet die Schlussfolgerung schlicht: </w:t>
      </w:r>
      <w:r>
        <w:rPr>
          <w:b/>
          <w:bCs/>
        </w:rPr>
        <w:t>keine Feinabstimmung auf Kundenarbeiten.</w:t>
      </w:r>
      <w:r>
        <w:t xml:space="preserve"> Domänenanpassung, wenn nötig, auf synthetischen oder ordnungsgemäß lizenzierten Korpora, nachweisbar. „Wir verbessern das Modell mit Kundendaten” ist die Klausel, die eine deutsche Schulaufsicht streicht, die im veröffentlichten Beispielfall des britischen DfE zur Ablehnung eines Anbieters führt und die die US-Analyse in §10 auslöst.</w:t>
      </w:r>
    </w:p>
    <w:p w14:paraId="41147FE5" w14:textId="77777777" w:rsidR="0090768F" w:rsidRDefault="00000000">
      <w:pPr>
        <w:pStyle w:val="Heading3"/>
      </w:pPr>
      <w:bookmarkStart w:id="121" w:name="kinder"/>
      <w:bookmarkEnd w:id="120"/>
      <w:r>
        <w:t>3.9 Kinder</w:t>
      </w:r>
    </w:p>
    <w:p w14:paraId="4A7B5273" w14:textId="77777777" w:rsidR="0090768F" w:rsidRDefault="00000000">
      <w:pPr>
        <w:pStyle w:val="FirstParagraph"/>
      </w:pPr>
      <w:r>
        <w:rPr>
          <w:b/>
          <w:bCs/>
        </w:rPr>
        <w:t>Art. 8 DSGVO gilt hier nicht</w:t>
      </w:r>
      <w:r>
        <w:t xml:space="preserve">, und das klar zu sagen ist wichtig, weil EdTech-Anbieter ihn regelmäßig falsch anwenden. Art. 8 greift nur, wenn die Einwilligung Grundlage ist </w:t>
      </w:r>
      <w:r>
        <w:rPr>
          <w:b/>
          <w:bCs/>
        </w:rPr>
        <w:t>und</w:t>
      </w:r>
      <w:r>
        <w:t xml:space="preserve"> ein Dienst der Informationsgesellschaft </w:t>
      </w:r>
      <w:r>
        <w:rPr>
          <w:i/>
          <w:iCs/>
        </w:rPr>
        <w:t>unmittelbar einem Kind</w:t>
      </w:r>
      <w:r>
        <w:t xml:space="preserve"> angeboten wird. Beides ist nicht erfüllt: Grundlage ist Art. 6 Abs. 1 Buchst. e, und der Dienst wird der Schule </w:t>
      </w:r>
      <w:r>
        <w:lastRenderedPageBreak/>
        <w:t>angeboten. Ein Elterneinwilligungsmechanismus wäre ein Kategorienfehler, der eine Rechtsgrundlage suggeriert, die die Schule nicht nutzen darf.</w:t>
      </w:r>
    </w:p>
    <w:p w14:paraId="7816F2F2" w14:textId="77777777" w:rsidR="0090768F" w:rsidRDefault="00000000">
      <w:pPr>
        <w:pStyle w:val="BodyText"/>
      </w:pPr>
      <w:r>
        <w:t>Was gilt, ist inhaltlich stärker: Art. 12 Abs. 1 (kindgerechte Information), ErwGr. 38 und das DSFA-Kriterium der Schutzbedürftigkeit sowie die Warnung aus ErwGr. 71/WP251 vor ausschließlich automatisierten erheblichen Entscheidungen über Kinder.</w:t>
      </w:r>
    </w:p>
    <w:p w14:paraId="237320B5" w14:textId="77777777" w:rsidR="0090768F" w:rsidRDefault="00000000">
      <w:pPr>
        <w:pStyle w:val="Heading3"/>
      </w:pPr>
      <w:bookmarkStart w:id="122" w:name="X8ee259c225340310ca4cb1d61da08d7339544b2"/>
      <w:bookmarkEnd w:id="121"/>
      <w:r>
        <w:t>3.10 Ist ein Handschriftbild ein biometrisches Datum?</w:t>
      </w:r>
    </w:p>
    <w:p w14:paraId="12BA7DB9" w14:textId="77777777" w:rsidR="0090768F" w:rsidRDefault="00000000">
      <w:pPr>
        <w:pStyle w:val="FirstParagraph"/>
      </w:pPr>
      <w:r>
        <w:rPr>
          <w:b/>
          <w:bCs/>
        </w:rPr>
        <w:t>Nach der DSGVO: bei unserer Nutzung wohl nicht.</w:t>
      </w:r>
      <w:r>
        <w:t xml:space="preserve"> Art. 4 Nr. 14 verlangt „spezifische technische Verfahren … die die </w:t>
      </w:r>
      <w:r>
        <w:rPr>
          <w:i/>
          <w:iCs/>
        </w:rPr>
        <w:t>eindeutige Identifizierung</w:t>
      </w:r>
      <w:r>
        <w:t xml:space="preserve"> ermöglichen oder bestätigen”. OCR zur Transkription ist das nicht.</w:t>
      </w:r>
    </w:p>
    <w:p w14:paraId="1775DE01" w14:textId="77777777" w:rsidR="0090768F" w:rsidRDefault="00000000">
      <w:pPr>
        <w:pStyle w:val="BodyText"/>
      </w:pPr>
      <w:r>
        <w:t xml:space="preserve">Zwei Vorbehalte. Erstens: Bauen wir je eine Schreiberverifikation oder einen Identitätsabgleich, </w:t>
      </w:r>
      <w:r>
        <w:rPr>
          <w:i/>
          <w:iCs/>
        </w:rPr>
        <w:t>ist</w:t>
      </w:r>
      <w:r>
        <w:t xml:space="preserve"> das eine Verarbeitung zur eindeutigen Identifizierung und macht das Produkt zur Verarbeitung nach Art. 9. </w:t>
      </w:r>
      <w:r>
        <w:rPr>
          <w:b/>
          <w:bCs/>
        </w:rPr>
        <w:t>Dafür jetzt eine harte Produkt-Governance-Sperre setzen</w:t>
      </w:r>
      <w:r>
        <w:t xml:space="preserve"> — es ist eine plausible, kundenseitig gewünschte Anti-Täuschungsfunktion, die unsere Regulierungsklasse still verändern würde. Zweitens verwendet </w:t>
      </w:r>
      <w:r>
        <w:rPr>
          <w:b/>
          <w:bCs/>
        </w:rPr>
        <w:t>die KI-VO eine weitere Definition</w:t>
      </w:r>
      <w:r>
        <w:t xml:space="preserve"> (Art. 3 Nr. 34 ohne das Merkmal der eindeutigen Identifizierung), sodass eine Handschriftanalyse KI-VO-biometrisch sein kann, ohne DSGVO-biometrisch zu sein.</w:t>
      </w:r>
    </w:p>
    <w:p w14:paraId="1FD27DE5" w14:textId="77777777" w:rsidR="0090768F" w:rsidRDefault="00000000">
      <w:pPr>
        <w:pStyle w:val="BodyText"/>
      </w:pPr>
      <w:r>
        <w:t>Unabhängig davon ist Handschrift ein starkes Quasi-Identifikationsmerkmal: In einer Klasse von 25–30 ermöglicht sie zuverlässig das „Aussondern” im Sinne des ErwGr. 26.</w:t>
      </w:r>
    </w:p>
    <w:p w14:paraId="69347023" w14:textId="77777777" w:rsidR="0090768F" w:rsidRDefault="00000000">
      <w:pPr>
        <w:pStyle w:val="Heading2"/>
      </w:pPr>
      <w:bookmarkStart w:id="123" w:name="frage-2-was-folgt-aus-der-ki-vo"/>
      <w:bookmarkStart w:id="124" w:name="_Toc240060417"/>
      <w:bookmarkEnd w:id="111"/>
      <w:bookmarkEnd w:id="122"/>
      <w:r>
        <w:t>4. Frage 2 — Was folgt aus der KI-VO?</w:t>
      </w:r>
      <w:bookmarkEnd w:id="124"/>
    </w:p>
    <w:p w14:paraId="1BBEE687" w14:textId="77777777" w:rsidR="0090768F" w:rsidRDefault="00000000">
      <w:pPr>
        <w:pStyle w:val="Heading3"/>
      </w:pPr>
      <w:bookmarkStart w:id="125" w:name="einstufung"/>
      <w:r>
        <w:t>4.1 Einstufung</w:t>
      </w:r>
    </w:p>
    <w:p w14:paraId="059E8D88" w14:textId="77777777" w:rsidR="0090768F" w:rsidRDefault="00000000">
      <w:pPr>
        <w:pStyle w:val="FirstParagraph"/>
      </w:pPr>
      <w:r>
        <w:rPr>
          <w:b/>
          <w:bCs/>
        </w:rPr>
        <w:t>Anhang III Nr. 3 (allgemeine und berufliche Bildung)</w:t>
      </w:r>
      <w:r>
        <w:t>, im maßgeblichen Teil:</w:t>
      </w:r>
    </w:p>
    <w:p w14:paraId="2EA84EA2" w14:textId="77777777" w:rsidR="0090768F" w:rsidRDefault="00000000">
      <w:pPr>
        <w:pStyle w:val="BlockText"/>
      </w:pPr>
      <w:r>
        <w:rPr>
          <w:i/>
          <w:iCs/>
        </w:rPr>
        <w:t>„b) KI-Systeme, die bestimmungsgemäß zur Bewertung von Lernergebnissen verwendet werden sollen, einschließlich des Falles, dass diese Ergebnisse dazu dienen, den Lernprozess natürlicher Personen in Einrichtungen der allgemeinen und beruflichen Bildung aller Ebenen zu steuern;“</w:t>
      </w:r>
    </w:p>
    <w:p w14:paraId="09DD677C" w14:textId="77777777" w:rsidR="0090768F" w:rsidRDefault="00000000">
      <w:pPr>
        <w:pStyle w:val="FirstParagraph"/>
      </w:pPr>
      <w:r>
        <w:t xml:space="preserve">Das beschreibt Klausurkorrektur wörtlich. Zu beachten ist die Formulierung: Der Zusatz „einschließlich des Falles…” </w:t>
      </w:r>
      <w:r>
        <w:rPr>
          <w:b/>
          <w:bCs/>
        </w:rPr>
        <w:t>erweitert</w:t>
      </w:r>
      <w:r>
        <w:t>, er schränkt nicht ein. Anhang III Nr. 3 wurde durch die Verordnung (EU) 2026/1744 nicht geändert.</w:t>
      </w:r>
    </w:p>
    <w:p w14:paraId="0DD7B03B" w14:textId="77777777" w:rsidR="0090768F" w:rsidRDefault="00000000">
      <w:pPr>
        <w:pStyle w:val="BodyText"/>
      </w:pPr>
      <w:r>
        <w:t xml:space="preserve">Nr. 3 Buchst. d erfasst gesondert die </w:t>
      </w:r>
      <w:r>
        <w:rPr>
          <w:b/>
          <w:bCs/>
        </w:rPr>
        <w:t>Überwachung und Erkennung verbotenen Verhaltens während Prüfungen</w:t>
      </w:r>
      <w:r>
        <w:t xml:space="preserve"> — jede Aufsichtsfunktion schafft also einen zweiten Anknüpfungspunkt. ErwGr. 56 nennt den Grund: Solche Systeme können „den Verlauf der Bildung und des Berufslebens einer Person bestimmen” und bei mangelhafter Gestaltung das Recht auf Bildung und das Diskriminierungsverbot verletzen.</w:t>
      </w:r>
    </w:p>
    <w:p w14:paraId="2690730B" w14:textId="77777777" w:rsidR="0090768F" w:rsidRDefault="00000000">
      <w:pPr>
        <w:pStyle w:val="BodyText"/>
      </w:pPr>
      <w:r>
        <w:t xml:space="preserve">Wir sind </w:t>
      </w:r>
      <w:r>
        <w:rPr>
          <w:b/>
          <w:bCs/>
        </w:rPr>
        <w:t>Anbieter</w:t>
      </w:r>
      <w:r>
        <w:t xml:space="preserve"> (Art. 3 Nr. 3): Wir bringen das System unter eigenem Namen in Verkehr. Der Aufbau auf einem fremden Basismodell ändert daran nichts — Art. 25 Abs. 1 Buchst. a und c erfassen uns doppelt, weil wir unsere Marke anbringen und ein Allzweckmodell auf </w:t>
      </w:r>
      <w:r>
        <w:lastRenderedPageBreak/>
        <w:t>einen Zweck des Anhangs III richten. Das Modellhaus ist Anbieter des GPAI-</w:t>
      </w:r>
      <w:r>
        <w:rPr>
          <w:i/>
          <w:iCs/>
        </w:rPr>
        <w:t>Modells</w:t>
      </w:r>
      <w:r>
        <w:t xml:space="preserve">, nicht unseres </w:t>
      </w:r>
      <w:r>
        <w:rPr>
          <w:i/>
          <w:iCs/>
        </w:rPr>
        <w:t>Systems</w:t>
      </w:r>
      <w:r>
        <w:t>; seine Bedingungen werden das auch so sagen.</w:t>
      </w:r>
    </w:p>
    <w:p w14:paraId="0E9A3BE6" w14:textId="77777777" w:rsidR="0090768F" w:rsidRDefault="00000000">
      <w:pPr>
        <w:pStyle w:val="Heading3"/>
      </w:pPr>
      <w:bookmarkStart w:id="126" w:name="die-pflichten-im-hochrisikofall"/>
      <w:bookmarkEnd w:id="125"/>
      <w:r>
        <w:t>4.2 Die Pflichten im Hochrisikofall</w:t>
      </w:r>
    </w:p>
    <w:p w14:paraId="4DF8A44C" w14:textId="77777777" w:rsidR="0090768F" w:rsidRDefault="00000000">
      <w:pPr>
        <w:pStyle w:val="FirstParagraph"/>
      </w:pPr>
      <w:r>
        <w:rPr>
          <w:b/>
          <w:bCs/>
        </w:rPr>
        <w:t>Anforderungen (Art. 8–15):</w:t>
      </w:r>
      <w:r>
        <w:t xml:space="preserve"> Risikomanagement (Art. 9); </w:t>
      </w:r>
      <w:r>
        <w:rPr>
          <w:b/>
          <w:bCs/>
        </w:rPr>
        <w:t>Daten-Governance (Art. 10)</w:t>
      </w:r>
      <w:r>
        <w:t xml:space="preserve"> — Trainings-, Validierungs- und Testdatensätze „relevant, hinreichend repräsentativ und so weit wie möglich fehlerfrei und vollständig”, auf Verzerrungen untersucht, unter Berücksichtigung der Merkmale des Einsatzumfelds (Art. 10 Abs. 4 verlangt faktisch curriculums- und länderspezifische Validierung); technische Dokumentation nach Anhang IV (Art. 11); Protokollierung (Art. 12); Betriebsanleitung (Art. 13); </w:t>
      </w:r>
      <w:r>
        <w:rPr>
          <w:b/>
          <w:bCs/>
        </w:rPr>
        <w:t>menschliche Aufsicht (Art. 14)</w:t>
      </w:r>
      <w:r>
        <w:t>; Genauigkeit, Robustheit und Cybersicherheit mit ausgewiesenen Kennzahlen (Art. 15).</w:t>
      </w:r>
    </w:p>
    <w:p w14:paraId="56C3C4DC" w14:textId="77777777" w:rsidR="0090768F" w:rsidRDefault="00000000">
      <w:pPr>
        <w:pStyle w:val="BodyText"/>
      </w:pPr>
      <w:r>
        <w:rPr>
          <w:b/>
          <w:bCs/>
        </w:rPr>
        <w:t>Art. 14 Abs. 4 Buchst. b ist die für unser Produktdesign wichtigste Einzelnorm.</w:t>
      </w:r>
      <w:r>
        <w:t xml:space="preserve"> Aufsichtspersonen müssen in die Lage versetzt werden, </w:t>
      </w:r>
      <w:r>
        <w:rPr>
          <w:i/>
          <w:iCs/>
        </w:rPr>
        <w:t>„sich der möglichen Neigung zu einem automatischen oder übermäßigen Vertrauen in die von einem Hochrisiko-KI-System hervorgebrachte Ausgabe (Automatisierungsbias) bewusst zu bleiben”</w:t>
      </w:r>
      <w:r>
        <w:t xml:space="preserve">. Damit wird Automation Bias von einer UX-Frage zu einer gesetzlichen Designpflicht </w:t>
      </w:r>
      <w:r>
        <w:rPr>
          <w:b/>
          <w:bCs/>
        </w:rPr>
        <w:t>des Anbieters</w:t>
      </w:r>
      <w:r>
        <w:t xml:space="preserve">. Zugleich ist dies die strukturelle Antwort der KI-VO auf das </w:t>
      </w:r>
      <w:r>
        <w:rPr>
          <w:i/>
          <w:iCs/>
        </w:rPr>
        <w:t>SCHUFA</w:t>
      </w:r>
      <w:r>
        <w:t xml:space="preserve">-Problem: Eine Oberfläche, die die Note zuerst und prominent zeigt und die Übernahme mit einem Klick erlaubt, verstößt gegen Art. 14 Abs. 4 Buchst. b </w:t>
      </w:r>
      <w:r>
        <w:rPr>
          <w:b/>
          <w:bCs/>
        </w:rPr>
        <w:t>und</w:t>
      </w:r>
      <w:r>
        <w:t xml:space="preserve"> zerstört das Argument zu Art. 22. Einmal gestalten, beides erfüllen.</w:t>
      </w:r>
    </w:p>
    <w:p w14:paraId="2F64102D" w14:textId="77777777" w:rsidR="0090768F" w:rsidRDefault="00000000">
      <w:pPr>
        <w:pStyle w:val="BodyText"/>
      </w:pPr>
      <w:r>
        <w:rPr>
          <w:b/>
          <w:bCs/>
        </w:rPr>
        <w:t>Anbieterpflichten (Art. 16):</w:t>
      </w:r>
      <w:r>
        <w:t xml:space="preserve"> Qualitätsmanagementsystem (Art. 17), Dokumentations- und Protokollaufbewahrung, Konformitätsbewertung, EU-Konformitätserklärung (Art. 47), CE-Kennzeichnung (Art. 48), Registrierung (Art. 49 Abs. 1), Korrekturmaßnahmen, Nachweis auf Verlangen und — Art. 16 Buchst. l — Einhaltung der Barrierefreiheitsanforderungen der Richtlinien (EU) 2016/2102 und (EU) 2019/882.</w:t>
      </w:r>
    </w:p>
    <w:p w14:paraId="2CCD6989" w14:textId="77777777" w:rsidR="0090768F" w:rsidRDefault="00000000">
      <w:pPr>
        <w:pStyle w:val="BodyText"/>
      </w:pPr>
      <w:r>
        <w:rPr>
          <w:b/>
          <w:bCs/>
        </w:rPr>
        <w:t>Konformitätsbewertung — die gute Nachricht.</w:t>
      </w:r>
      <w:r>
        <w:t xml:space="preserve"> Art. 43 verweist Anhang III Nr. </w:t>
      </w:r>
      <w:r>
        <w:rPr>
          <w:b/>
          <w:bCs/>
        </w:rPr>
        <w:t>2–8</w:t>
      </w:r>
      <w:r>
        <w:t xml:space="preserve">, also auch Bildung, auf das </w:t>
      </w:r>
      <w:r>
        <w:rPr>
          <w:b/>
          <w:bCs/>
        </w:rPr>
        <w:t>interne Kontrollverfahren nach Anhang VI</w:t>
      </w:r>
      <w:r>
        <w:t>. Keine benannte Stelle, kein Drittaudit. Nur Anhang III Nr. 1 (Biometrie) kann eine benannte Stelle erfordern. Ein Vorbehalt: Die Verordnung (EU) 2026/1744 ermächtigt die Kommission, Nr. 2–8 künftig auf Anhang VII umzustellen; soweit feststellbar nicht ausgeübt, aber zu beobachten.</w:t>
      </w:r>
    </w:p>
    <w:p w14:paraId="5F5688C8" w14:textId="77777777" w:rsidR="0090768F" w:rsidRDefault="00000000">
      <w:pPr>
        <w:pStyle w:val="BodyText"/>
      </w:pPr>
      <w:r>
        <w:rPr>
          <w:b/>
          <w:bCs/>
        </w:rPr>
        <w:t>Wesentliche Änderung</w:t>
      </w:r>
      <w:r>
        <w:t xml:space="preserve"> (Art. 43 Abs. 4) löst eine Neubewertung aus, außer bei im ursprünglichen Dossier vorab festgelegten Änderungen. Für ein auf einem Basismodell aufsetzendes Produkt ist „wir haben auf die nächste Modellversion aktualisiert” genau diese Frage. </w:t>
      </w:r>
      <w:r>
        <w:rPr>
          <w:b/>
          <w:bCs/>
        </w:rPr>
        <w:t>Den vorgesehenen Rahmen für Modellaktualisierungen in der Anhang-IV-Dokumentation vorab festlegen</w:t>
      </w:r>
      <w:r>
        <w:t>, sonst wird jeder Modellwechsel zum Neubewertungsereignis.</w:t>
      </w:r>
    </w:p>
    <w:p w14:paraId="15CA3C99" w14:textId="77777777" w:rsidR="0090768F" w:rsidRDefault="00000000">
      <w:pPr>
        <w:pStyle w:val="BodyText"/>
      </w:pPr>
      <w:r>
        <w:rPr>
          <w:b/>
          <w:bCs/>
        </w:rPr>
        <w:t>Nach dem Inverkehrbringen:</w:t>
      </w:r>
      <w:r>
        <w:t xml:space="preserve"> Beobachtungsplan nach Art. 72 (Teil der Anhang-IV-Dokumentation; Kommissionsvorlage bis 2. September 2027) und </w:t>
      </w:r>
      <w:r>
        <w:rPr>
          <w:b/>
          <w:bCs/>
        </w:rPr>
        <w:t>Meldung schwerwiegender Vorfälle nach Art. 73 binnen 15 Tagen</w:t>
      </w:r>
      <w:r>
        <w:t xml:space="preserve"> (2 Tage bei weitreichenden Verstößen). Eine Modellregression, die einen ganzen Prüfungstermin falsch bewertet, ist plausibel ein schwerwiegender Vorfall. Die Frist gehört ins Incident-Runbook.</w:t>
      </w:r>
    </w:p>
    <w:p w14:paraId="0A836831" w14:textId="77777777" w:rsidR="0090768F" w:rsidRDefault="00000000">
      <w:pPr>
        <w:pStyle w:val="BodyText"/>
      </w:pPr>
      <w:r>
        <w:rPr>
          <w:b/>
          <w:bCs/>
        </w:rPr>
        <w:lastRenderedPageBreak/>
        <w:t>Sanktionen (Art. 99):</w:t>
      </w:r>
      <w:r>
        <w:t xml:space="preserve"> 35 Mio. € oder 7 % des weltweiten Jahresumsatzes für verbotene Praktiken nach Art. 5; 15 Mio. € oder 3 % für Verstöße u. a. gegen Art. 16, 25 Abs. 2–4, 26 und 50. Als KMU gilt die geänderte „jeweils niedrigerer Betrag”-Deckelung. Das eigentliche Risiko ist nicht die Geldbuße, sondern die öffentliche Registrierung, die Feststellung der Marktüberwachung und der gleichzeitige Verlust sämtlicher öffentlicher Kunden.</w:t>
      </w:r>
    </w:p>
    <w:p w14:paraId="6E40D286" w14:textId="77777777" w:rsidR="0090768F" w:rsidRDefault="00000000">
      <w:pPr>
        <w:pStyle w:val="Heading3"/>
      </w:pPr>
      <w:bookmarkStart w:id="127" w:name="X4968cc08b741f7abe94c2857d0e1b26a1a80e62"/>
      <w:bookmarkEnd w:id="126"/>
      <w:r>
        <w:t>4.3 Warum uns die Ausnahme des Art. 6 Abs. 3 verschlossen ist</w:t>
      </w:r>
    </w:p>
    <w:p w14:paraId="47D95DC2" w14:textId="77777777" w:rsidR="0090768F" w:rsidRDefault="00000000">
      <w:pPr>
        <w:pStyle w:val="FirstParagraph"/>
      </w:pPr>
      <w:r>
        <w:t>Die Ausnahme hat einen Einleitungssatz, vier alternative Fälle und eine Rückausnahme. Alle drei stehen gegen uns.</w:t>
      </w:r>
    </w:p>
    <w:p w14:paraId="78EEB7B6" w14:textId="77777777" w:rsidR="0090768F" w:rsidRDefault="00000000">
      <w:pPr>
        <w:pStyle w:val="BodyText"/>
      </w:pPr>
      <w:r>
        <w:rPr>
          <w:b/>
          <w:bCs/>
        </w:rPr>
        <w:t>Der Einleitungssatz</w:t>
      </w:r>
      <w:r>
        <w:t xml:space="preserve"> verlangt, dass das System kein erhebliches Risiko für Grundrechte birgt, </w:t>
      </w:r>
      <w:r>
        <w:rPr>
          <w:i/>
          <w:iCs/>
        </w:rPr>
        <w:t>„auch indem es das Ergebnis der Entscheidungsfindung nicht wesentlich beeinflusst”</w:t>
      </w:r>
      <w:r>
        <w:t>. Unser gesamtes Wertversprechen ist, dass der Vorschlag das Ergebnis wesentlich beeinflusst — das ist die Zeitersparnis. Ein System, das dies nicht täte, wäre nicht kaufenswert.</w:t>
      </w:r>
    </w:p>
    <w:p w14:paraId="790AB1F5" w14:textId="77777777" w:rsidR="0090768F" w:rsidRDefault="00000000">
      <w:pPr>
        <w:pStyle w:val="BodyText"/>
      </w:pPr>
      <w:r>
        <w:rPr>
          <w:b/>
          <w:bCs/>
        </w:rPr>
        <w:t>Die Rückausnahme entscheidet.</w:t>
      </w:r>
      <w:r>
        <w:t xml:space="preserve"> Letzter Unterabsatz: </w:t>
      </w:r>
      <w:r>
        <w:rPr>
          <w:i/>
          <w:iCs/>
        </w:rPr>
        <w:t>„Ungeachtet des Unterabsatzes 1 gilt ein in Anhang III genanntes KI-System immer dann als hochriskant, wenn es ein Profiling natürlicher Personen vornimmt.”</w:t>
      </w:r>
      <w:r>
        <w:t xml:space="preserve"> Art. 3 Nr. 52 KI-VO übernimmt die Definition des Art. 4 Nr. 4 DSGVO — „jede Art der automatisierten Verarbeitung personenbezogener Daten … um bestimmte persönliche Aspekte … zu bewerten” —, und die dortige Aufzählung ist nicht abschließend, das Fehlen von „schulischer Leistung” also unerheblich. Die Bewertung schulischer Leistung bewertet persönliche Aspekte; </w:t>
      </w:r>
      <w:r>
        <w:rPr>
          <w:i/>
          <w:iCs/>
        </w:rPr>
        <w:t>Nowak</w:t>
      </w:r>
      <w:r>
        <w:t xml:space="preserve"> sagt ausdrücklich, dass Prüfungsantworten Kenntnisse und Kompetenz widerspiegeln.</w:t>
      </w:r>
    </w:p>
    <w:p w14:paraId="2A59F320" w14:textId="77777777" w:rsidR="0090768F" w:rsidRDefault="00000000">
      <w:pPr>
        <w:pStyle w:val="BodyText"/>
      </w:pPr>
      <w:r>
        <w:rPr>
          <w:b/>
          <w:bCs/>
        </w:rPr>
        <w:t>Die vier Fälle scheitern einzeln</w:t>
      </w:r>
      <w:r>
        <w:t xml:space="preserve"> nach den Kommissionsleitlinien-Entwürfen vom 19. Mai 2026: „eng gefasste Verfahrensaufgabe” schließt Systeme aus, die ranken, bewerten oder etikettieren; „Verbesserung des Ergebnisses einer zuvor abgeschlossenen menschlichen Tätigkeit” hat die falsche Reihenfolge, weil wir </w:t>
      </w:r>
      <w:r>
        <w:rPr>
          <w:i/>
          <w:iCs/>
        </w:rPr>
        <w:t>vor</w:t>
      </w:r>
      <w:r>
        <w:t xml:space="preserve"> der menschlichen Entscheidung vorschlagen; Buchst. c setzt voraus, dass das System die vorherige menschliche Bewertung nicht beeinflussen soll; und „vorbereitende Aufgabe” stellt auf die Nähe zur Endentscheidung ab und schließt Systeme aus, die konkrete Empfehlungen erzeugen — ein Notenvorschlag ist die konkretest mögliche Empfehlung. Dieselben Leitlinien trennen summative Bewertung (hochriskant) von formativem Feedback (regelmäßig nicht). </w:t>
      </w:r>
      <w:r>
        <w:rPr>
          <w:i/>
          <w:iCs/>
        </w:rPr>
        <w:t>(Statusvorbehalt: Die Leitlinien waren beim letzten überprüfbaren Stand noch Entwurf und sind ohnehin unverbindlich — aber sie sind das beste verfügbare Signal für die Vollzugspraxis, und sie weisen einheitlich gegen uns.)</w:t>
      </w:r>
    </w:p>
    <w:p w14:paraId="57D0D47C" w14:textId="77777777" w:rsidR="0090768F" w:rsidRDefault="00000000">
      <w:pPr>
        <w:pStyle w:val="BodyText"/>
      </w:pPr>
      <w:r>
        <w:rPr>
          <w:b/>
          <w:bCs/>
        </w:rPr>
        <w:t>Das beste Gegenargument, und warum es scheitert.</w:t>
      </w:r>
      <w:r>
        <w:t xml:space="preserve"> Man könnte vortragen, das System bewerte </w:t>
      </w:r>
      <w:r>
        <w:rPr>
          <w:i/>
          <w:iCs/>
        </w:rPr>
        <w:t>die Antwort</w:t>
      </w:r>
      <w:r>
        <w:t xml:space="preserve">, nicht </w:t>
      </w:r>
      <w:r>
        <w:rPr>
          <w:i/>
          <w:iCs/>
        </w:rPr>
        <w:t>die Person</w:t>
      </w:r>
      <w:r>
        <w:t xml:space="preserve"> — ein Raster auf einen Text angewandt. Es scheitert, weil </w:t>
      </w:r>
      <w:r>
        <w:rPr>
          <w:i/>
          <w:iCs/>
        </w:rPr>
        <w:t>Nowak</w:t>
      </w:r>
      <w:r>
        <w:t xml:space="preserve"> die Antworten gerade deshalb als personenbezogene Daten </w:t>
      </w:r>
      <w:r>
        <w:rPr>
          <w:b/>
          <w:bCs/>
        </w:rPr>
        <w:t>über den Prüfling</w:t>
      </w:r>
      <w:r>
        <w:t xml:space="preserve"> einordnet, weil sie dessen Kompetenz widerspiegeln; weil die Ausgabe der Schülerakte und nicht dem Text zugeordnet wird; und weil die Kommissionsleitlinien Ranking und Scoring ausdrücklich aus der Verfahrensaufgabe ausnehmen. Vor einer Marktüberwachungsbehörde geben wir diesem Argument nicht mehr als 15–20 % Erfolgsaussicht, vor einer Landesaufsichtsbehörde nahezu keine.</w:t>
      </w:r>
    </w:p>
    <w:p w14:paraId="01748C4A" w14:textId="77777777" w:rsidR="0090768F" w:rsidRDefault="00000000">
      <w:pPr>
        <w:pStyle w:val="BodyText"/>
      </w:pPr>
      <w:r>
        <w:rPr>
          <w:b/>
          <w:bCs/>
        </w:rPr>
        <w:lastRenderedPageBreak/>
        <w:t>Und die Ausnahme ist ohnehin keine Befreiung.</w:t>
      </w:r>
      <w:r>
        <w:t xml:space="preserve"> Art. 6 Abs. 4 verlangt eine vor dem Inverkehrbringen dokumentierte Bewertung, die aufzubewahren und vorzulegen ist. Art. 49 Abs. 2 verlangt, dass sich der Anbieter und das System auf dieser Grundlage </w:t>
      </w:r>
      <w:r>
        <w:rPr>
          <w:b/>
          <w:bCs/>
        </w:rPr>
        <w:t>in der öffentlichen EU-Datenbank registrieren</w:t>
      </w:r>
      <w:r>
        <w:t>. Eine registrierte Erklärung „wir halten uns nicht für hochriskant” für ein Korrektursystem zieht genau die Aufmerksamkeit an, die wir nicht wollen.</w:t>
      </w:r>
    </w:p>
    <w:p w14:paraId="6F36B44B" w14:textId="77777777" w:rsidR="0090768F" w:rsidRDefault="00000000">
      <w:pPr>
        <w:pStyle w:val="BodyText"/>
      </w:pPr>
      <w:r>
        <w:rPr>
          <w:b/>
          <w:bCs/>
        </w:rPr>
        <w:t>Empfohlene Position:</w:t>
      </w:r>
      <w:r>
        <w:t xml:space="preserve"> Anbieterstatus für Hochrisiko einplanen. Ein Argument nach Art. 6 Abs. 3 nur für eine rein formative, nicht aktenrelevante Produktvariante zurückhalten und diese Variante gesondert bepreisen und planen.</w:t>
      </w:r>
    </w:p>
    <w:p w14:paraId="20AF910B" w14:textId="77777777" w:rsidR="0090768F" w:rsidRDefault="00000000">
      <w:pPr>
        <w:pStyle w:val="Heading3"/>
      </w:pPr>
      <w:bookmarkStart w:id="128" w:name="X7f995c2dafd14b1972f10aa122b58ddbb9b16b5"/>
      <w:bookmarkEnd w:id="127"/>
      <w:r>
        <w:t>4.4 Was die Schule erwirbt — eine Vertriebstatsache, keine Fußnote</w:t>
      </w:r>
    </w:p>
    <w:tbl>
      <w:tblPr>
        <w:tblStyle w:val="Table"/>
        <w:tblW w:w="5000" w:type="pct"/>
        <w:tblLook w:val="0020" w:firstRow="1" w:lastRow="0" w:firstColumn="0" w:lastColumn="0" w:noHBand="0" w:noVBand="0"/>
      </w:tblPr>
      <w:tblGrid>
        <w:gridCol w:w="1226"/>
        <w:gridCol w:w="8134"/>
      </w:tblGrid>
      <w:tr w:rsidR="0090768F" w14:paraId="2999519B"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0A5C1250" w14:textId="77777777" w:rsidR="0090768F" w:rsidRDefault="00000000">
            <w:pPr>
              <w:pStyle w:val="Compact"/>
            </w:pPr>
            <w:r>
              <w:t>Norm</w:t>
            </w:r>
          </w:p>
        </w:tc>
        <w:tc>
          <w:tcPr>
            <w:tcW w:w="0" w:type="auto"/>
          </w:tcPr>
          <w:p w14:paraId="09374D33" w14:textId="77777777" w:rsidR="0090768F" w:rsidRDefault="00000000">
            <w:pPr>
              <w:pStyle w:val="Compact"/>
            </w:pPr>
            <w:r>
              <w:t>Was die einsetzende Schule tun muss</w:t>
            </w:r>
          </w:p>
        </w:tc>
      </w:tr>
      <w:tr w:rsidR="0090768F" w14:paraId="57AA1A51" w14:textId="77777777">
        <w:tc>
          <w:tcPr>
            <w:tcW w:w="0" w:type="auto"/>
          </w:tcPr>
          <w:p w14:paraId="79DC63FF" w14:textId="77777777" w:rsidR="0090768F" w:rsidRDefault="00000000">
            <w:pPr>
              <w:pStyle w:val="Compact"/>
            </w:pPr>
            <w:r>
              <w:t>Art. 26 Abs. 1</w:t>
            </w:r>
          </w:p>
        </w:tc>
        <w:tc>
          <w:tcPr>
            <w:tcW w:w="0" w:type="auto"/>
          </w:tcPr>
          <w:p w14:paraId="16F532CA" w14:textId="77777777" w:rsidR="0090768F" w:rsidRDefault="00000000">
            <w:pPr>
              <w:pStyle w:val="Compact"/>
            </w:pPr>
            <w:r>
              <w:t>System entsprechend der Betriebsanleitung verwenden</w:t>
            </w:r>
          </w:p>
        </w:tc>
      </w:tr>
      <w:tr w:rsidR="0090768F" w14:paraId="0B1412C9" w14:textId="77777777">
        <w:tc>
          <w:tcPr>
            <w:tcW w:w="0" w:type="auto"/>
          </w:tcPr>
          <w:p w14:paraId="33C07257" w14:textId="77777777" w:rsidR="0090768F" w:rsidRDefault="00000000">
            <w:pPr>
              <w:pStyle w:val="Compact"/>
            </w:pPr>
            <w:r>
              <w:t>Art. 26 Abs. 2</w:t>
            </w:r>
          </w:p>
        </w:tc>
        <w:tc>
          <w:tcPr>
            <w:tcW w:w="0" w:type="auto"/>
          </w:tcPr>
          <w:p w14:paraId="78EF3012" w14:textId="77777777" w:rsidR="0090768F" w:rsidRDefault="00000000">
            <w:pPr>
              <w:pStyle w:val="Compact"/>
            </w:pPr>
            <w:r>
              <w:t xml:space="preserve">Menschliche Aufsicht Personen übertragen, die die </w:t>
            </w:r>
            <w:r>
              <w:rPr>
                <w:b/>
                <w:bCs/>
              </w:rPr>
              <w:t>erforderliche Kompetenz, Ausbildung und Befugnis</w:t>
            </w:r>
            <w:r>
              <w:t xml:space="preserve"> besitzen, und sie unterstützen</w:t>
            </w:r>
          </w:p>
        </w:tc>
      </w:tr>
      <w:tr w:rsidR="0090768F" w14:paraId="715E71E7" w14:textId="77777777">
        <w:tc>
          <w:tcPr>
            <w:tcW w:w="0" w:type="auto"/>
          </w:tcPr>
          <w:p w14:paraId="1C216065" w14:textId="77777777" w:rsidR="0090768F" w:rsidRDefault="00000000">
            <w:pPr>
              <w:pStyle w:val="Compact"/>
            </w:pPr>
            <w:r>
              <w:t>Art. 26 Abs. 4</w:t>
            </w:r>
          </w:p>
        </w:tc>
        <w:tc>
          <w:tcPr>
            <w:tcW w:w="0" w:type="auto"/>
          </w:tcPr>
          <w:p w14:paraId="477BBF15" w14:textId="77777777" w:rsidR="0090768F" w:rsidRDefault="00000000">
            <w:pPr>
              <w:pStyle w:val="Compact"/>
            </w:pPr>
            <w:r>
              <w:t>Sicherstellen, dass Eingabedaten relevant und hinreichend repräsentativ sind</w:t>
            </w:r>
          </w:p>
        </w:tc>
      </w:tr>
      <w:tr w:rsidR="0090768F" w14:paraId="3A4371B7" w14:textId="77777777">
        <w:tc>
          <w:tcPr>
            <w:tcW w:w="0" w:type="auto"/>
          </w:tcPr>
          <w:p w14:paraId="4F448CA0" w14:textId="77777777" w:rsidR="0090768F" w:rsidRDefault="00000000">
            <w:pPr>
              <w:pStyle w:val="Compact"/>
            </w:pPr>
            <w:r>
              <w:t>Art. 26 Abs. 5</w:t>
            </w:r>
          </w:p>
        </w:tc>
        <w:tc>
          <w:tcPr>
            <w:tcW w:w="0" w:type="auto"/>
          </w:tcPr>
          <w:p w14:paraId="13D3AA92" w14:textId="77777777" w:rsidR="0090768F" w:rsidRDefault="00000000">
            <w:pPr>
              <w:pStyle w:val="Compact"/>
            </w:pPr>
            <w:r>
              <w:t>Betrieb überwachen; Anbieter und Behörden unverzüglich über Risiken oder schwerwiegende Vorfälle unterrichten</w:t>
            </w:r>
          </w:p>
        </w:tc>
      </w:tr>
      <w:tr w:rsidR="0090768F" w14:paraId="4116C5C8" w14:textId="77777777">
        <w:tc>
          <w:tcPr>
            <w:tcW w:w="0" w:type="auto"/>
          </w:tcPr>
          <w:p w14:paraId="486E48AE" w14:textId="77777777" w:rsidR="0090768F" w:rsidRDefault="00000000">
            <w:pPr>
              <w:pStyle w:val="Compact"/>
            </w:pPr>
            <w:r>
              <w:t>Art. 26 Abs. 6</w:t>
            </w:r>
          </w:p>
        </w:tc>
        <w:tc>
          <w:tcPr>
            <w:tcW w:w="0" w:type="auto"/>
          </w:tcPr>
          <w:p w14:paraId="49E714D3" w14:textId="77777777" w:rsidR="0090768F" w:rsidRDefault="00000000">
            <w:pPr>
              <w:pStyle w:val="Compact"/>
            </w:pPr>
            <w:r>
              <w:rPr>
                <w:b/>
                <w:bCs/>
              </w:rPr>
              <w:t>Protokolle mindestens sechs Monate aufbewahren</w:t>
            </w:r>
          </w:p>
        </w:tc>
      </w:tr>
      <w:tr w:rsidR="0090768F" w14:paraId="3BB23334" w14:textId="77777777">
        <w:tc>
          <w:tcPr>
            <w:tcW w:w="0" w:type="auto"/>
          </w:tcPr>
          <w:p w14:paraId="21AE6F69" w14:textId="77777777" w:rsidR="0090768F" w:rsidRDefault="00000000">
            <w:pPr>
              <w:pStyle w:val="Compact"/>
            </w:pPr>
            <w:r>
              <w:t>Art. 26 Abs. 7</w:t>
            </w:r>
          </w:p>
        </w:tc>
        <w:tc>
          <w:tcPr>
            <w:tcW w:w="0" w:type="auto"/>
          </w:tcPr>
          <w:p w14:paraId="3BF4DC3F" w14:textId="77777777" w:rsidR="0090768F" w:rsidRDefault="00000000">
            <w:pPr>
              <w:pStyle w:val="Compact"/>
            </w:pPr>
            <w:r>
              <w:t xml:space="preserve">Vor Inbetriebnahme </w:t>
            </w:r>
            <w:r>
              <w:rPr>
                <w:b/>
                <w:bCs/>
              </w:rPr>
              <w:t>am Arbeitsplatz</w:t>
            </w:r>
            <w:r>
              <w:t xml:space="preserve"> die Arbeitnehmervertreter und die betroffenen Beschäftigten informieren</w:t>
            </w:r>
          </w:p>
        </w:tc>
      </w:tr>
      <w:tr w:rsidR="0090768F" w14:paraId="73B4E3B3" w14:textId="77777777">
        <w:tc>
          <w:tcPr>
            <w:tcW w:w="0" w:type="auto"/>
          </w:tcPr>
          <w:p w14:paraId="3E633552" w14:textId="77777777" w:rsidR="0090768F" w:rsidRDefault="00000000">
            <w:pPr>
              <w:pStyle w:val="Compact"/>
            </w:pPr>
            <w:r>
              <w:t>Art. 26 Abs. 11</w:t>
            </w:r>
          </w:p>
        </w:tc>
        <w:tc>
          <w:tcPr>
            <w:tcW w:w="0" w:type="auto"/>
          </w:tcPr>
          <w:p w14:paraId="7F01660C" w14:textId="77777777" w:rsidR="0090768F" w:rsidRDefault="00000000">
            <w:pPr>
              <w:pStyle w:val="Compact"/>
            </w:pPr>
            <w:r>
              <w:t>Die Personen informieren, über die mithilfe des Systems entschieden wird</w:t>
            </w:r>
          </w:p>
        </w:tc>
      </w:tr>
      <w:tr w:rsidR="0090768F" w14:paraId="48CD82FC" w14:textId="77777777">
        <w:tc>
          <w:tcPr>
            <w:tcW w:w="0" w:type="auto"/>
          </w:tcPr>
          <w:p w14:paraId="7D904847" w14:textId="77777777" w:rsidR="0090768F" w:rsidRDefault="00000000">
            <w:pPr>
              <w:pStyle w:val="Compact"/>
            </w:pPr>
            <w:r>
              <w:rPr>
                <w:b/>
                <w:bCs/>
              </w:rPr>
              <w:t>Art. 27</w:t>
            </w:r>
          </w:p>
        </w:tc>
        <w:tc>
          <w:tcPr>
            <w:tcW w:w="0" w:type="auto"/>
          </w:tcPr>
          <w:p w14:paraId="2331CE8C" w14:textId="77777777" w:rsidR="0090768F" w:rsidRDefault="00000000">
            <w:pPr>
              <w:pStyle w:val="Compact"/>
            </w:pPr>
            <w:r>
              <w:rPr>
                <w:b/>
                <w:bCs/>
              </w:rPr>
              <w:t>Grundrechte-Folgenabschätzung</w:t>
            </w:r>
            <w:r>
              <w:t xml:space="preserve"> — Pflicht für Betreiber, die Einrichtungen des öffentlichen Rechts sind oder öffentliche Dienste erbringen</w:t>
            </w:r>
          </w:p>
        </w:tc>
      </w:tr>
    </w:tbl>
    <w:p w14:paraId="0F26EB3F" w14:textId="77777777" w:rsidR="0090768F" w:rsidRDefault="00000000">
      <w:pPr>
        <w:pStyle w:val="BodyText"/>
      </w:pPr>
      <w:r>
        <w:t xml:space="preserve">Zwei davon sind politisch aufgeladen. </w:t>
      </w:r>
      <w:r>
        <w:rPr>
          <w:b/>
          <w:bCs/>
        </w:rPr>
        <w:t>Art. 26 Abs. 7</w:t>
      </w:r>
      <w:r>
        <w:t xml:space="preserve"> bedeutet, dass der Personalrat vor Inbetriebnahme zu informieren ist; in Deutschland trifft dies auf die Mitbestimmungsregime der Länder, die bei zur Leistungsüberwachung geeigneten technischen Einrichtungen nicht nur Information, sondern Zustimmung verlangen können (§5.8). Ein bis drei Monate einplanen und ein fertiges Informationspaket mitliefern. </w:t>
      </w:r>
      <w:r>
        <w:rPr>
          <w:b/>
          <w:bCs/>
        </w:rPr>
        <w:t>Art. 27</w:t>
      </w:r>
      <w:r>
        <w:t xml:space="preserve"> trifft jede staatliche Schule; die Abschätzung muss Prozesse, Zeitraum und Häufigkeit der Nutzung, betroffene Personengruppen, konkrete Schadensrisiken, Aufsichtsmaßnahmen und Beschwerdemechanismen beschreiben. Keine Schule hat die Kapazität dafür. Art. 27 Abs. 4 erlaubt nunmehr den Verweis auf die DSFA, Art. 27 Abs. 5 stellt eine Vorlage des KI-Büros in Aussicht (</w:t>
      </w:r>
      <w:r>
        <w:rPr>
          <w:b/>
          <w:bCs/>
        </w:rPr>
        <w:t>Veröffentlichung nicht verifiziert</w:t>
      </w:r>
      <w:r>
        <w:t>).</w:t>
      </w:r>
    </w:p>
    <w:p w14:paraId="631B805D" w14:textId="77777777" w:rsidR="0090768F" w:rsidRDefault="00000000">
      <w:pPr>
        <w:pStyle w:val="BodyText"/>
      </w:pPr>
      <w:r>
        <w:t xml:space="preserve">Eine rein kommerzielle Prüfungsorganisation oder ein Unternehmensbildungsanbieter fällt </w:t>
      </w:r>
      <w:r>
        <w:rPr>
          <w:b/>
          <w:bCs/>
        </w:rPr>
        <w:t>nicht</w:t>
      </w:r>
      <w:r>
        <w:t xml:space="preserve"> unter die erste Alternative des Art. 27. Danach lohnt es sich, das Idealkundenprofil zu segmentieren.</w:t>
      </w:r>
    </w:p>
    <w:p w14:paraId="31185DA2" w14:textId="77777777" w:rsidR="0090768F" w:rsidRDefault="00000000">
      <w:pPr>
        <w:pStyle w:val="Heading3"/>
      </w:pPr>
      <w:bookmarkStart w:id="129" w:name="zeitplan-nach-aktuellem-stand"/>
      <w:bookmarkEnd w:id="128"/>
      <w:r>
        <w:lastRenderedPageBreak/>
        <w:t>4.5 Zeitplan nach aktuellem Stand</w:t>
      </w:r>
    </w:p>
    <w:tbl>
      <w:tblPr>
        <w:tblStyle w:val="Table"/>
        <w:tblW w:w="5000" w:type="pct"/>
        <w:tblLook w:val="0020" w:firstRow="1" w:lastRow="0" w:firstColumn="0" w:lastColumn="0" w:noHBand="0" w:noVBand="0"/>
      </w:tblPr>
      <w:tblGrid>
        <w:gridCol w:w="1364"/>
        <w:gridCol w:w="5890"/>
        <w:gridCol w:w="2106"/>
      </w:tblGrid>
      <w:tr w:rsidR="0090768F" w14:paraId="688869D8"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0ECCCE45" w14:textId="77777777" w:rsidR="0090768F" w:rsidRDefault="00000000">
            <w:pPr>
              <w:pStyle w:val="Compact"/>
            </w:pPr>
            <w:r>
              <w:t>Datum</w:t>
            </w:r>
          </w:p>
        </w:tc>
        <w:tc>
          <w:tcPr>
            <w:tcW w:w="0" w:type="auto"/>
          </w:tcPr>
          <w:p w14:paraId="6211EC4E" w14:textId="77777777" w:rsidR="0090768F" w:rsidRDefault="00000000">
            <w:pPr>
              <w:pStyle w:val="Compact"/>
            </w:pPr>
            <w:r>
              <w:t>Was gilt</w:t>
            </w:r>
          </w:p>
        </w:tc>
        <w:tc>
          <w:tcPr>
            <w:tcW w:w="0" w:type="auto"/>
          </w:tcPr>
          <w:p w14:paraId="64A351DD" w14:textId="77777777" w:rsidR="0090768F" w:rsidRDefault="00000000">
            <w:pPr>
              <w:pStyle w:val="Compact"/>
            </w:pPr>
            <w:r>
              <w:t>Status</w:t>
            </w:r>
          </w:p>
        </w:tc>
      </w:tr>
      <w:tr w:rsidR="0090768F" w14:paraId="2DF3BE12" w14:textId="77777777">
        <w:tc>
          <w:tcPr>
            <w:tcW w:w="0" w:type="auto"/>
          </w:tcPr>
          <w:p w14:paraId="54516626" w14:textId="77777777" w:rsidR="0090768F" w:rsidRDefault="00000000">
            <w:pPr>
              <w:pStyle w:val="Compact"/>
            </w:pPr>
            <w:r>
              <w:t>2. Feb. 2025</w:t>
            </w:r>
          </w:p>
        </w:tc>
        <w:tc>
          <w:tcPr>
            <w:tcW w:w="0" w:type="auto"/>
          </w:tcPr>
          <w:p w14:paraId="51C8A21C" w14:textId="77777777" w:rsidR="0090768F" w:rsidRDefault="00000000">
            <w:pPr>
              <w:pStyle w:val="Compact"/>
            </w:pPr>
            <w:r>
              <w:t xml:space="preserve">Kapitel I (u. a. </w:t>
            </w:r>
            <w:r>
              <w:rPr>
                <w:b/>
                <w:bCs/>
              </w:rPr>
              <w:t>Art. 4 KI-Kompetenz</w:t>
            </w:r>
            <w:r>
              <w:t>) und Kapitel II (</w:t>
            </w:r>
            <w:r>
              <w:rPr>
                <w:b/>
                <w:bCs/>
              </w:rPr>
              <w:t>Art. 5 Verbote</w:t>
            </w:r>
            <w:r>
              <w:t>, u. a. Emotionserkennung im Bildungsbereich)</w:t>
            </w:r>
          </w:p>
        </w:tc>
        <w:tc>
          <w:tcPr>
            <w:tcW w:w="0" w:type="auto"/>
          </w:tcPr>
          <w:p w14:paraId="18FFF201" w14:textId="77777777" w:rsidR="0090768F" w:rsidRDefault="00000000">
            <w:pPr>
              <w:pStyle w:val="Compact"/>
            </w:pPr>
            <w:r>
              <w:t>in Kraft</w:t>
            </w:r>
          </w:p>
        </w:tc>
      </w:tr>
      <w:tr w:rsidR="0090768F" w14:paraId="4821EAD0" w14:textId="77777777">
        <w:tc>
          <w:tcPr>
            <w:tcW w:w="0" w:type="auto"/>
          </w:tcPr>
          <w:p w14:paraId="7ACF8ABB" w14:textId="77777777" w:rsidR="0090768F" w:rsidRDefault="00000000">
            <w:pPr>
              <w:pStyle w:val="Compact"/>
            </w:pPr>
            <w:r>
              <w:t>2. Aug. 2025</w:t>
            </w:r>
          </w:p>
        </w:tc>
        <w:tc>
          <w:tcPr>
            <w:tcW w:w="0" w:type="auto"/>
          </w:tcPr>
          <w:p w14:paraId="070A321B" w14:textId="77777777" w:rsidR="0090768F" w:rsidRDefault="00000000">
            <w:pPr>
              <w:pStyle w:val="Compact"/>
            </w:pPr>
            <w:r>
              <w:t>Benannte Stellen; GPAI; Governance; Sanktionen</w:t>
            </w:r>
          </w:p>
        </w:tc>
        <w:tc>
          <w:tcPr>
            <w:tcW w:w="0" w:type="auto"/>
          </w:tcPr>
          <w:p w14:paraId="2D30E730" w14:textId="77777777" w:rsidR="0090768F" w:rsidRDefault="00000000">
            <w:pPr>
              <w:pStyle w:val="Compact"/>
            </w:pPr>
            <w:r>
              <w:t>in Kraft</w:t>
            </w:r>
          </w:p>
        </w:tc>
      </w:tr>
      <w:tr w:rsidR="0090768F" w14:paraId="4C643835" w14:textId="77777777">
        <w:tc>
          <w:tcPr>
            <w:tcW w:w="0" w:type="auto"/>
          </w:tcPr>
          <w:p w14:paraId="583A0740" w14:textId="77777777" w:rsidR="0090768F" w:rsidRDefault="00000000">
            <w:pPr>
              <w:pStyle w:val="Compact"/>
            </w:pPr>
            <w:r>
              <w:t>27. Juli 2026</w:t>
            </w:r>
          </w:p>
        </w:tc>
        <w:tc>
          <w:tcPr>
            <w:tcW w:w="0" w:type="auto"/>
          </w:tcPr>
          <w:p w14:paraId="45350C59" w14:textId="77777777" w:rsidR="0090768F" w:rsidRDefault="00000000">
            <w:pPr>
              <w:pStyle w:val="Compact"/>
            </w:pPr>
            <w:r>
              <w:t>VO (EU) 2026/1744: neuer Art. 4; neuer Art. 4a; Art. 27 Abs. 4–5; KMU-Deckelungen</w:t>
            </w:r>
          </w:p>
        </w:tc>
        <w:tc>
          <w:tcPr>
            <w:tcW w:w="0" w:type="auto"/>
          </w:tcPr>
          <w:p w14:paraId="1F2793F7" w14:textId="77777777" w:rsidR="0090768F" w:rsidRDefault="00000000">
            <w:pPr>
              <w:pStyle w:val="Compact"/>
            </w:pPr>
            <w:r>
              <w:t>in Kraft</w:t>
            </w:r>
          </w:p>
        </w:tc>
      </w:tr>
      <w:tr w:rsidR="0090768F" w14:paraId="1B5C3803" w14:textId="77777777">
        <w:tc>
          <w:tcPr>
            <w:tcW w:w="0" w:type="auto"/>
          </w:tcPr>
          <w:p w14:paraId="3BCD1C0D" w14:textId="77777777" w:rsidR="0090768F" w:rsidRDefault="00000000">
            <w:pPr>
              <w:pStyle w:val="Compact"/>
            </w:pPr>
            <w:r>
              <w:t>2. Aug. 2026</w:t>
            </w:r>
          </w:p>
        </w:tc>
        <w:tc>
          <w:tcPr>
            <w:tcW w:w="0" w:type="auto"/>
          </w:tcPr>
          <w:p w14:paraId="46B9ED8C" w14:textId="77777777" w:rsidR="0090768F" w:rsidRDefault="00000000">
            <w:pPr>
              <w:pStyle w:val="Compact"/>
            </w:pPr>
            <w:r>
              <w:t xml:space="preserve">Allgemeiner Geltungsbeginn, u. a. Art. 50 und </w:t>
            </w:r>
            <w:r>
              <w:rPr>
                <w:b/>
                <w:bCs/>
              </w:rPr>
              <w:t>Kapitel III Abschnitt 5 (Art. 40–49)</w:t>
            </w:r>
          </w:p>
        </w:tc>
        <w:tc>
          <w:tcPr>
            <w:tcW w:w="0" w:type="auto"/>
          </w:tcPr>
          <w:p w14:paraId="65DAF0FE" w14:textId="77777777" w:rsidR="0090768F" w:rsidRDefault="00000000">
            <w:pPr>
              <w:pStyle w:val="Compact"/>
            </w:pPr>
            <w:r>
              <w:t>in Kraft — s. Lücke</w:t>
            </w:r>
          </w:p>
        </w:tc>
      </w:tr>
      <w:tr w:rsidR="0090768F" w14:paraId="63D6F79A" w14:textId="77777777">
        <w:tc>
          <w:tcPr>
            <w:tcW w:w="0" w:type="auto"/>
          </w:tcPr>
          <w:p w14:paraId="3BDD889B" w14:textId="77777777" w:rsidR="0090768F" w:rsidRDefault="00000000">
            <w:pPr>
              <w:pStyle w:val="Compact"/>
            </w:pPr>
            <w:r>
              <w:t>2. Dez. 2026</w:t>
            </w:r>
          </w:p>
        </w:tc>
        <w:tc>
          <w:tcPr>
            <w:tcW w:w="0" w:type="auto"/>
          </w:tcPr>
          <w:p w14:paraId="3CCE8105" w14:textId="77777777" w:rsidR="0090768F" w:rsidRDefault="00000000">
            <w:pPr>
              <w:pStyle w:val="Compact"/>
            </w:pPr>
            <w:r>
              <w:t>Neue Verbote des Art. 5; Art. 50 Abs. 2 für Altsysteme</w:t>
            </w:r>
          </w:p>
        </w:tc>
        <w:tc>
          <w:tcPr>
            <w:tcW w:w="0" w:type="auto"/>
          </w:tcPr>
          <w:p w14:paraId="59386712" w14:textId="77777777" w:rsidR="0090768F" w:rsidRDefault="00000000">
            <w:pPr>
              <w:pStyle w:val="Compact"/>
            </w:pPr>
            <w:r>
              <w:t>offen</w:t>
            </w:r>
          </w:p>
        </w:tc>
      </w:tr>
      <w:tr w:rsidR="0090768F" w14:paraId="68DED1FE" w14:textId="77777777">
        <w:tc>
          <w:tcPr>
            <w:tcW w:w="0" w:type="auto"/>
          </w:tcPr>
          <w:p w14:paraId="48E5B586" w14:textId="77777777" w:rsidR="0090768F" w:rsidRDefault="00000000">
            <w:pPr>
              <w:pStyle w:val="Compact"/>
            </w:pPr>
            <w:r>
              <w:rPr>
                <w:b/>
                <w:bCs/>
              </w:rPr>
              <w:t>2. Dez. 2027</w:t>
            </w:r>
          </w:p>
        </w:tc>
        <w:tc>
          <w:tcPr>
            <w:tcW w:w="0" w:type="auto"/>
          </w:tcPr>
          <w:p w14:paraId="2F71A2B5" w14:textId="77777777" w:rsidR="0090768F" w:rsidRDefault="00000000">
            <w:pPr>
              <w:pStyle w:val="Compact"/>
            </w:pPr>
            <w:r>
              <w:rPr>
                <w:b/>
                <w:bCs/>
              </w:rPr>
              <w:t>Kapitel III Abschnitte 1–3 für Hochrisiko nach Anhang III: Art. 6–7, Art. 8–15, Art. 16–27</w:t>
            </w:r>
          </w:p>
        </w:tc>
        <w:tc>
          <w:tcPr>
            <w:tcW w:w="0" w:type="auto"/>
          </w:tcPr>
          <w:p w14:paraId="357BC91B" w14:textId="77777777" w:rsidR="0090768F" w:rsidRDefault="00000000">
            <w:pPr>
              <w:pStyle w:val="Compact"/>
            </w:pPr>
            <w:r>
              <w:rPr>
                <w:b/>
                <w:bCs/>
              </w:rPr>
              <w:t>das maßgebliche Datum</w:t>
            </w:r>
          </w:p>
        </w:tc>
      </w:tr>
      <w:tr w:rsidR="0090768F" w14:paraId="21C5E1D3" w14:textId="77777777">
        <w:tc>
          <w:tcPr>
            <w:tcW w:w="0" w:type="auto"/>
          </w:tcPr>
          <w:p w14:paraId="472AFE86" w14:textId="77777777" w:rsidR="0090768F" w:rsidRDefault="00000000">
            <w:pPr>
              <w:pStyle w:val="Compact"/>
            </w:pPr>
            <w:r>
              <w:t>2. Aug. 2028</w:t>
            </w:r>
          </w:p>
        </w:tc>
        <w:tc>
          <w:tcPr>
            <w:tcW w:w="0" w:type="auto"/>
          </w:tcPr>
          <w:p w14:paraId="5773412E" w14:textId="77777777" w:rsidR="0090768F" w:rsidRDefault="00000000">
            <w:pPr>
              <w:pStyle w:val="Compact"/>
            </w:pPr>
            <w:r>
              <w:t>Kapitel III Abschnitte 1–3 für Anhang I</w:t>
            </w:r>
          </w:p>
        </w:tc>
        <w:tc>
          <w:tcPr>
            <w:tcW w:w="0" w:type="auto"/>
          </w:tcPr>
          <w:p w14:paraId="7B986E21" w14:textId="77777777" w:rsidR="0090768F" w:rsidRDefault="00000000">
            <w:pPr>
              <w:pStyle w:val="Compact"/>
            </w:pPr>
            <w:r>
              <w:t>offen</w:t>
            </w:r>
          </w:p>
        </w:tc>
      </w:tr>
    </w:tbl>
    <w:p w14:paraId="3F751C9E" w14:textId="77777777" w:rsidR="0090768F" w:rsidRDefault="00000000">
      <w:pPr>
        <w:pStyle w:val="BodyText"/>
      </w:pPr>
      <w:r>
        <w:rPr>
          <w:b/>
          <w:bCs/>
        </w:rPr>
        <w:t>Die offene Lücke.</w:t>
      </w:r>
      <w:r>
        <w:t xml:space="preserve"> Art. 113 n.F. verschiebt nur „Kapitel III Abschnitte 1, 2 und 3”. Abschnitt 5 (Art. 40–49) wurde nicht verschoben und gilt seit dem 2. August 2026 — Art. 6 (Einstufung) und Art. 16 (Pflicht zu Konformitätsbewertung und Registrierung) gelten dagegen erst ab 2. Dezember 2027. Eine Äußerung der Kommission, des KI-Büros oder einer nationalen Behörde dazu war nicht auffindbar. Die vertretbare Lesart ist, dass niemand zur Registrierung eines Hochrisikosystems verpflichtet sein kann, bevor die es als hochriskant einstufende Norm gilt; die praktische Lesart ist, dass keine Marktüberwachungsbehörde Art. 49 vor Dezember 2027 gegen einen Anhang-III-Anbieter durchsetzen wird. </w:t>
      </w:r>
      <w:r>
        <w:rPr>
          <w:b/>
          <w:bCs/>
        </w:rPr>
        <w:t>Als offene Frage behandeln, nicht als Schlupfloch; anwaltlich klären; und keinem Kunden schriftlich mitteilen, eine Registrierung sei nicht erforderlich.</w:t>
      </w:r>
    </w:p>
    <w:p w14:paraId="0AD79F63" w14:textId="77777777" w:rsidR="0090768F" w:rsidRDefault="00000000">
      <w:pPr>
        <w:pStyle w:val="BodyText"/>
      </w:pPr>
      <w:r>
        <w:rPr>
          <w:b/>
          <w:bCs/>
        </w:rPr>
        <w:t>Harmonisierte Normen.</w:t>
      </w:r>
      <w:r>
        <w:t xml:space="preserve"> Der Erwägungsgrund der Verordnung (EU) 2026/1744 hält als Feststellung des Gesetzgebers die </w:t>
      </w:r>
      <w:r>
        <w:rPr>
          <w:i/>
          <w:iCs/>
        </w:rPr>
        <w:t>„verzögerte Verfügbarkeit von Normen, gemeinsamen Spezifikationen und alternativen Leitlinien”</w:t>
      </w:r>
      <w:r>
        <w:t xml:space="preserve"> fest — und nennt sie als Grund für die fünfzehnmonatige Verschiebung. Ob </w:t>
      </w:r>
      <w:r>
        <w:rPr>
          <w:b/>
          <w:bCs/>
        </w:rPr>
        <w:t>überhaupt</w:t>
      </w:r>
      <w:r>
        <w:t xml:space="preserve"> eine harmonisierte Norm zur KI-VO im Amtsblatt fundstellenveröffentlicht wurde, </w:t>
      </w:r>
      <w:r>
        <w:rPr>
          <w:b/>
          <w:bCs/>
        </w:rPr>
        <w:t>konnte nicht bestätigt werden</w:t>
      </w:r>
      <w:r>
        <w:t xml:space="preserve">; Belege dafür fanden sich nicht. Ohne Veröffentlichung gibt es keine Konformitätsvermutung nach Art. 40, die Anhang-VI-Bewertung ist also unmittelbar aus Art. 8–15 zu begründen. In der Praxis stützen sich Anbieter auf </w:t>
      </w:r>
      <w:r>
        <w:rPr>
          <w:b/>
          <w:bCs/>
        </w:rPr>
        <w:t>ISO/IEC 42001</w:t>
      </w:r>
      <w:r>
        <w:t xml:space="preserve"> und </w:t>
      </w:r>
      <w:r>
        <w:rPr>
          <w:b/>
          <w:bCs/>
        </w:rPr>
        <w:t>ISO/IEC 23894</w:t>
      </w:r>
      <w:r>
        <w:t xml:space="preserve">. Diese sind keine harmonisierten Normen und begründen keine Vermutung, sind aber die beste verfügbare Struktur und dem Einkauf vertraut. </w:t>
      </w:r>
      <w:r>
        <w:rPr>
          <w:b/>
          <w:bCs/>
        </w:rPr>
        <w:t>Empfehlung: das QMS nach Art. 17 auf ISO/IEC 42001 aufbauen und zertifizieren, intern aber klar als Nachweis und nicht als Konformität bezeichnen.</w:t>
      </w:r>
    </w:p>
    <w:p w14:paraId="0D0A3F1B" w14:textId="77777777" w:rsidR="0090768F" w:rsidRDefault="00000000">
      <w:pPr>
        <w:pStyle w:val="Heading3"/>
      </w:pPr>
      <w:bookmarkStart w:id="130" w:name="zwei-minen-in-der-roadmap"/>
      <w:bookmarkEnd w:id="129"/>
      <w:r>
        <w:lastRenderedPageBreak/>
        <w:t>4.6 Zwei Minen in der Roadmap</w:t>
      </w:r>
    </w:p>
    <w:p w14:paraId="5D23B3BE" w14:textId="77777777" w:rsidR="0090768F" w:rsidRDefault="00000000">
      <w:pPr>
        <w:pStyle w:val="FirstParagraph"/>
      </w:pPr>
      <w:r>
        <w:rPr>
          <w:b/>
          <w:bCs/>
        </w:rPr>
        <w:t>Art. 5 Abs. 1 Buchst. f — verboten, nicht bloß reguliert.</w:t>
      </w:r>
      <w:r>
        <w:t xml:space="preserve"> </w:t>
      </w:r>
      <w:r>
        <w:rPr>
          <w:i/>
          <w:iCs/>
        </w:rPr>
        <w:t>„KI-Systeme zur Ableitung von Emotionen einer natürlichen Person am Arbeitsplatz und in Bildungseinrichtungen”</w:t>
      </w:r>
      <w:r>
        <w:t xml:space="preserve"> sind </w:t>
      </w:r>
      <w:r>
        <w:rPr>
          <w:b/>
          <w:bCs/>
        </w:rPr>
        <w:t>verboten</w:t>
      </w:r>
      <w:r>
        <w:t xml:space="preserve">, vorbehaltlich einer engen medizinischen bzw. Sicherheitsausnahme. Sanktionsstufe: 35 Mio. € bzw. 7 %. Gilt seit 2. Februar 2025 und wurde nicht verschoben. Jede Funktion zur Engagement-, Stress- oder Belastungserkennung oder affektbasierten Aufsicht ist in Bildungseinrichtungen schlicht rechtswidrig. Zur Nachbarschaft: Aufsicht nach Anhang III Nr. 3 Buchst. d ist </w:t>
      </w:r>
      <w:r>
        <w:rPr>
          <w:i/>
          <w:iCs/>
        </w:rPr>
        <w:t>hochriskant</w:t>
      </w:r>
      <w:r>
        <w:t xml:space="preserve"> (erlaubt, reguliert); Emotionsableitung ist </w:t>
      </w:r>
      <w:r>
        <w:rPr>
          <w:i/>
          <w:iCs/>
        </w:rPr>
        <w:t>verboten</w:t>
      </w:r>
      <w:r>
        <w:t xml:space="preserve">. Die Grenze ist in einem realen Aufsichtsprodukt schmal, und Entwickler sehen sie nicht. </w:t>
      </w:r>
      <w:r>
        <w:rPr>
          <w:b/>
          <w:bCs/>
        </w:rPr>
        <w:t>Harte Governance-Sperre.</w:t>
      </w:r>
    </w:p>
    <w:p w14:paraId="3DB35E0F" w14:textId="77777777" w:rsidR="0090768F" w:rsidRDefault="00000000">
      <w:pPr>
        <w:pStyle w:val="BodyText"/>
      </w:pPr>
      <w:r>
        <w:rPr>
          <w:b/>
          <w:bCs/>
        </w:rPr>
        <w:t>Art. 50 Abs. 2 — Kennzeichnung synthetischer Inhalte.</w:t>
      </w:r>
      <w:r>
        <w:t xml:space="preserve"> Anbieter von Systemen, die synthetischen Text erzeugen, müssen die Ausgaben maschinenlesbar und als künstlich erzeugt erkennbar kennzeichnen. KI-erzeugter Feedbacktext ist vertretbar synthetischer Text. Gilt ab 2. August 2026 (2. Dezember 2026 für Altsysteme) und ist für ein Feedbackprodukt zu wenig bedacht. Die Ausnahme des Art. 50 Abs. 4 für menschlich geprüfte Texte mit redaktioneller Verantwortung hilft für jene Alternative, Art. 50 Abs. 2 ist aber eine eigenständige Pflicht.</w:t>
      </w:r>
    </w:p>
    <w:p w14:paraId="252C3DB7" w14:textId="77777777" w:rsidR="0090768F" w:rsidRDefault="00000000">
      <w:pPr>
        <w:pStyle w:val="Heading3"/>
      </w:pPr>
      <w:bookmarkStart w:id="131" w:name="der-übrige-eu-rahmen-in-kürze"/>
      <w:bookmarkEnd w:id="130"/>
      <w:r>
        <w:t>4.7 Der übrige EU-Rahmen in Kürze</w:t>
      </w:r>
    </w:p>
    <w:p w14:paraId="2D486E46" w14:textId="77777777" w:rsidR="0090768F" w:rsidRDefault="00000000">
      <w:pPr>
        <w:pStyle w:val="Compact"/>
        <w:numPr>
          <w:ilvl w:val="0"/>
          <w:numId w:val="30"/>
        </w:numPr>
      </w:pPr>
      <w:r>
        <w:rPr>
          <w:b/>
          <w:bCs/>
        </w:rPr>
        <w:t>KI-Haftungsrichtlinie: zurückgezogen</w:t>
      </w:r>
      <w:r>
        <w:t xml:space="preserve"> (ABl. C/2025/5423 vom 6.10.2025). Es gibt kein harmonisiertes unionsrechtliches Verschuldenshaftungsregime für KI und keine widerlegliche Kausalitätsvermutung außerhalb der Produkthaftung. Verschuldensansprüche richten sich nach nationalem Recht — in Deutschland realistisch </w:t>
      </w:r>
      <w:r>
        <w:rPr>
          <w:b/>
          <w:bCs/>
        </w:rPr>
        <w:t>Amtshaftung</w:t>
      </w:r>
      <w:r>
        <w:t xml:space="preserve"> gegen den Schulträger nach § 839 BGB i.V.m. Art. 34 GG mit Rückgriff auf den Anbieter. Der Vertrag sollte diese Struktur abbilden.</w:t>
      </w:r>
    </w:p>
    <w:p w14:paraId="4EBB3045" w14:textId="77777777" w:rsidR="0090768F" w:rsidRDefault="00000000">
      <w:pPr>
        <w:pStyle w:val="Compact"/>
        <w:numPr>
          <w:ilvl w:val="0"/>
          <w:numId w:val="30"/>
        </w:numPr>
      </w:pPr>
      <w:r>
        <w:rPr>
          <w:b/>
          <w:bCs/>
        </w:rPr>
        <w:t>Neue Produkthaftungsrichtlinie (EU) 2024/2853</w:t>
      </w:r>
      <w:r>
        <w:t xml:space="preserve"> — Umsetzung bis 9. Dezember 2026; </w:t>
      </w:r>
      <w:r>
        <w:rPr>
          <w:b/>
          <w:bCs/>
        </w:rPr>
        <w:t>Software einschließlich KI ist ausdrücklich „Produkt”</w:t>
      </w:r>
      <w:r>
        <w:t xml:space="preserve">, es greift also verschuldensunabhängige Haftung, mit Offenlegungspflichten und einer Vermutung bei technischer Komplexität, die maschinelles Lernen ausdrücklich nennt. </w:t>
      </w:r>
      <w:r>
        <w:rPr>
          <w:b/>
          <w:bCs/>
        </w:rPr>
        <w:t>Art. 6 Abs. 1 beschränkt den ersatzfähigen Schaden jedoch auf Tod oder Körperverletzung (einschließlich medizinisch anerkannter psychischer Schäden), Sachschaden und die Zerstörung oder Beschädigung nicht beruflich genutzter Daten.</w:t>
      </w:r>
      <w:r>
        <w:t xml:space="preserve"> Eine falsche Note ist reiner Vermögens- und Reputationsschaden und keines davon. </w:t>
      </w:r>
      <w:r>
        <w:rPr>
          <w:b/>
          <w:bCs/>
        </w:rPr>
        <w:t>Der realistische Haftungsweg für eine falsche Note ist nationales Verwaltungs- und Vertragsrecht, nicht die Produkthaftung.</w:t>
      </w:r>
      <w:r>
        <w:t xml:space="preserve"> Zwei Restrisiken: medizinisch anerkannte psychische Schäden nach einem katastrophalen Fehler und die Zerstörung eingescannter Schülerarbeiten, die ausdrücklich ersatzfähig ist.</w:t>
      </w:r>
    </w:p>
    <w:p w14:paraId="7E37B3C9" w14:textId="77777777" w:rsidR="0090768F" w:rsidRDefault="00000000">
      <w:pPr>
        <w:pStyle w:val="Compact"/>
        <w:numPr>
          <w:ilvl w:val="0"/>
          <w:numId w:val="30"/>
        </w:numPr>
      </w:pPr>
      <w:r>
        <w:rPr>
          <w:b/>
          <w:bCs/>
        </w:rPr>
        <w:t>Data Act (EU) 2023/2854</w:t>
      </w:r>
      <w:r>
        <w:t>, anwendbar seit 12. September 2025 — Kapitel VI (Wechsel und Exit) gilt für uns als SaaS-Anbieter. Eine konforme Exit- und Portabilitätsklausel ist günstig und nimmt einen Einkaufseinwand vorweg.</w:t>
      </w:r>
    </w:p>
    <w:p w14:paraId="39F9155D" w14:textId="77777777" w:rsidR="0090768F" w:rsidRDefault="00000000">
      <w:pPr>
        <w:pStyle w:val="Compact"/>
        <w:numPr>
          <w:ilvl w:val="0"/>
          <w:numId w:val="30"/>
        </w:numPr>
      </w:pPr>
      <w:r>
        <w:rPr>
          <w:b/>
          <w:bCs/>
        </w:rPr>
        <w:t>Barrierefreiheit.</w:t>
      </w:r>
      <w:r>
        <w:t xml:space="preserve"> Der European Accessibility Act listet Bildungsdienste nicht auf und gilt für uns als Dienst daher nicht. Die Webrichtlinie erfasst öffentliche Stellen, erlaubt aber in Art. 1 Abs. 5 den Mitgliedstaaten, Schulen auszunehmen, „mit </w:t>
      </w:r>
      <w:r>
        <w:lastRenderedPageBreak/>
        <w:t xml:space="preserve">Ausnahme von Inhalten, die wesentliche Online-Verwaltungsfunktionen betreffen” (ob die Notenübermittlung dazu zählt, ist offen). </w:t>
      </w:r>
      <w:r>
        <w:rPr>
          <w:b/>
          <w:bCs/>
        </w:rPr>
        <w:t>Entscheidend ist Art. 16 Buchst. l KI-VO</w:t>
      </w:r>
      <w:r>
        <w:t xml:space="preserve">, der uns ab 2. Dezember 2027 unmittelbar verpflichtet. Bauen nach </w:t>
      </w:r>
      <w:r>
        <w:rPr>
          <w:b/>
          <w:bCs/>
        </w:rPr>
        <w:t>EN 301 549 / WCAG 2.1 AA</w:t>
      </w:r>
      <w:r>
        <w:t>. Und inhaltlich: Ein Modell, das die Handschrift eines Schülers mit Dysgraphie systematisch schlechter liest, ist zugleich ein Barrierefreiheitsmangel, ein Bias-Problem nach Art. 10 Abs. 2 Buchst. f–g KI-VO und ein Verstoß gegen die Fairness nach Art. 5 Abs. 1 Buchst. a DSGVO.</w:t>
      </w:r>
    </w:p>
    <w:p w14:paraId="23B567A1" w14:textId="77777777" w:rsidR="0090768F" w:rsidRDefault="00000000">
      <w:pPr>
        <w:pStyle w:val="Compact"/>
        <w:numPr>
          <w:ilvl w:val="0"/>
          <w:numId w:val="30"/>
        </w:numPr>
      </w:pPr>
      <w:r>
        <w:rPr>
          <w:b/>
          <w:bCs/>
        </w:rPr>
        <w:t>NIS2</w:t>
      </w:r>
      <w:r>
        <w:t xml:space="preserve"> nennt Bildung nicht als Sektor und erfasst uns voraussichtlich nicht unmittelbar; NIS2-regulierte Kunden werden Lieferkettenanforderungen dennoch vertraglich weiterreichen. </w:t>
      </w:r>
      <w:r>
        <w:rPr>
          <w:b/>
          <w:bCs/>
        </w:rPr>
        <w:t>DGA</w:t>
      </w:r>
      <w:r>
        <w:t xml:space="preserve"> wird nur relevant, wenn wir je einen Forschungskorpus aus öffentlichen Schuldaten aufbauen. </w:t>
      </w:r>
      <w:r>
        <w:rPr>
          <w:b/>
          <w:bCs/>
        </w:rPr>
        <w:t>eIDAS</w:t>
      </w:r>
      <w:r>
        <w:t xml:space="preserve"> ist Differenzierungsmerkmal statt Pflicht: Eine qualifizierte elektronische Signatur unter der Prüferfreigabe wäre ein starker Beleg für eine höchstpersönliche, nicht delegierbare menschliche Entscheidung.</w:t>
      </w:r>
    </w:p>
    <w:p w14:paraId="015552F9" w14:textId="77777777" w:rsidR="0090768F" w:rsidRDefault="00000000">
      <w:pPr>
        <w:pStyle w:val="Heading2"/>
      </w:pPr>
      <w:bookmarkStart w:id="132" w:name="X369e03a99b2beaca33c92e05209048be2d0ccf5"/>
      <w:bookmarkStart w:id="133" w:name="_Toc240060418"/>
      <w:bookmarkEnd w:id="123"/>
      <w:bookmarkEnd w:id="131"/>
      <w:r>
        <w:t>5. Frage 3 — Welche Regelungen bestehen unterhalb der EU-Ebene in Deutschland?</w:t>
      </w:r>
      <w:bookmarkEnd w:id="133"/>
    </w:p>
    <w:p w14:paraId="415CD8DF" w14:textId="77777777" w:rsidR="0090768F" w:rsidRDefault="00000000">
      <w:pPr>
        <w:pStyle w:val="FirstParagraph"/>
      </w:pPr>
      <w:r>
        <w:t xml:space="preserve">Dies ist die Ebene, die das aktuelle Deck mit „no strong requirements expected” abtut. Tatsächlich ist sie das härteste Hindernis im deutschen Markt — und sie ist vorrangig keine Datenschutz-, sondern eine </w:t>
      </w:r>
      <w:r>
        <w:rPr>
          <w:b/>
          <w:bCs/>
        </w:rPr>
        <w:t>prüfungsrechtliche</w:t>
      </w:r>
      <w:r>
        <w:t xml:space="preserve"> Ebene.</w:t>
      </w:r>
    </w:p>
    <w:p w14:paraId="21F8C89E" w14:textId="77777777" w:rsidR="0090768F" w:rsidRDefault="00000000">
      <w:pPr>
        <w:pStyle w:val="Heading3"/>
      </w:pPr>
      <w:bookmarkStart w:id="134" w:name="X8f2cd027cc3a35e755b250fc53e0fc3706e2a8a"/>
      <w:r>
        <w:t>5.1 Die Leistungsbewertung ist hoheitliches Handeln</w:t>
      </w:r>
    </w:p>
    <w:p w14:paraId="60352006" w14:textId="77777777" w:rsidR="0090768F" w:rsidRDefault="00000000">
      <w:pPr>
        <w:pStyle w:val="FirstParagraph"/>
      </w:pPr>
      <w:r>
        <w:t>Die Bildungsministerkonferenz sagt es in einem Satz, und es ist der nützlichste Satz des gesamten deutschen Materials für dieses Produkt:</w:t>
      </w:r>
    </w:p>
    <w:p w14:paraId="711A8315" w14:textId="77777777" w:rsidR="0090768F" w:rsidRDefault="00000000">
      <w:pPr>
        <w:pStyle w:val="BlockText"/>
      </w:pPr>
      <w:r>
        <w:rPr>
          <w:i/>
          <w:iCs/>
        </w:rPr>
        <w:t>„Leistungsbewertung ist und bleibt eine pädagogische und hoheitliche Aufgabe, die als Verwaltungsakt im schulischen Kontext ausschließlich von Lehrkräften erfüllt werden kann.”</w:t>
      </w:r>
      <w:r>
        <w:t xml:space="preserve"> — Handlungsempfehlung … zum Umgang mit Künstlicher Intelligenz in schulischen Bildungsprozessen, Beschluss der Bildungsministerkonferenz vom 10.10.2024, S. 6</w:t>
      </w:r>
    </w:p>
    <w:p w14:paraId="2123B4F7" w14:textId="77777777" w:rsidR="0090768F" w:rsidRDefault="00000000">
      <w:pPr>
        <w:pStyle w:val="FirstParagraph"/>
      </w:pPr>
      <w:r>
        <w:t xml:space="preserve">Zu beachten ist die Präzision: </w:t>
      </w:r>
      <w:r>
        <w:rPr>
          <w:i/>
          <w:iCs/>
        </w:rPr>
        <w:t>hoheitlich</w:t>
      </w:r>
      <w:r>
        <w:t xml:space="preserve"> + </w:t>
      </w:r>
      <w:r>
        <w:rPr>
          <w:i/>
          <w:iCs/>
        </w:rPr>
        <w:t>Verwaltungsakt</w:t>
      </w:r>
      <w:r>
        <w:t xml:space="preserve"> + </w:t>
      </w:r>
      <w:r>
        <w:rPr>
          <w:i/>
          <w:iCs/>
        </w:rPr>
        <w:t>ausschließlich von Lehrkräften</w:t>
      </w:r>
      <w:r>
        <w:t>. Das ist eine Aussage über verwaltungsrechtliche Zuständigkeit, nicht über Datenschutz.</w:t>
      </w:r>
    </w:p>
    <w:p w14:paraId="71E236C7" w14:textId="77777777" w:rsidR="0090768F" w:rsidRDefault="00000000">
      <w:pPr>
        <w:pStyle w:val="BodyText"/>
      </w:pPr>
      <w:r>
        <w:t xml:space="preserve">Die verfassungsrechtlichen Anker sind Art. 12 Abs. 1 GG (Berufsfreiheit — berührt bei jeder Prüfung, die den Zugang zu einem Beruf eröffnet; BVerwG 10.04.2019 – 6 C 19.18); Art. 3 Abs. 1 i.V.m. Art. 12 Abs. 1 GG (Chancengleichheit — vergleichbare Prüfungen erfordern möglichst gleiche Prüfungsbedingungen und Bewertungsmaßstäbe; BVerfGE 84, 34); Art. 19 Abs. 4 GG (weshalb es das </w:t>
      </w:r>
      <w:r>
        <w:rPr>
          <w:i/>
          <w:iCs/>
        </w:rPr>
        <w:t>Überdenkensverfahren</w:t>
      </w:r>
      <w:r>
        <w:t xml:space="preserve"> überhaupt gibt, als Ausgleich für die eingeschränkte gerichtliche Kontrolle); Art. 7 Abs. 1 GG (staatliche Schulaufsicht); und Art. 2 Abs. 1 i.V.m. Art. 1 Abs. 1 GG (informationelle Selbstbestimmung).</w:t>
      </w:r>
    </w:p>
    <w:p w14:paraId="0E5C6256" w14:textId="77777777" w:rsidR="0090768F" w:rsidRDefault="00000000">
      <w:pPr>
        <w:pStyle w:val="Heading3"/>
      </w:pPr>
      <w:bookmarkStart w:id="135" w:name="Xb1925feb063aa64540cae4eb3b0d21f63526505"/>
      <w:bookmarkEnd w:id="134"/>
      <w:r>
        <w:lastRenderedPageBreak/>
        <w:t>5.2 Die Doktrin, die tatsächlich über das Produkt entscheidet</w:t>
      </w:r>
    </w:p>
    <w:p w14:paraId="09354268" w14:textId="77777777" w:rsidR="0090768F" w:rsidRDefault="00000000">
      <w:pPr>
        <w:pStyle w:val="FirstParagraph"/>
      </w:pPr>
      <w:r>
        <w:t xml:space="preserve">Das deutsche Prüfungsrecht verlangt nicht bloß, dass </w:t>
      </w:r>
      <w:r>
        <w:rPr>
          <w:i/>
          <w:iCs/>
        </w:rPr>
        <w:t>ein</w:t>
      </w:r>
      <w:r>
        <w:t xml:space="preserve"> Mensch zeichnet. Es verlangt, dass die Note Ergebnis des </w:t>
      </w:r>
      <w:r>
        <w:rPr>
          <w:b/>
          <w:bCs/>
        </w:rPr>
        <w:t>eigenen, persönlich gebildeten Bezugssystems dieses Prüfers</w:t>
      </w:r>
      <w:r>
        <w:t xml:space="preserve"> ist:</w:t>
      </w:r>
    </w:p>
    <w:p w14:paraId="5B4135FE" w14:textId="77777777" w:rsidR="0090768F" w:rsidRDefault="00000000">
      <w:pPr>
        <w:pStyle w:val="BlockText"/>
      </w:pPr>
      <w:r>
        <w:rPr>
          <w:i/>
          <w:iCs/>
        </w:rPr>
        <w:t>„Der jeweilige Prüfer nimmt die Bewertung anhand von Maßstäben vor, die er in Bezug auf die konkrete Prüfungsaufgabe autonom erstellt. Diese Maßstäbe beruhen auf einem Bezugssystem, das vor allem durch seine persönlichen Erfahrungen, Einschätzungen und Vorstellungen gebildet wird. Diese Maßstäbe muss der Prüfer aus Gründen der Chancengleichheit auf die Bewertung aller Bearbeitungen derselben Prüfungsaufgabe anwenden.”</w:t>
      </w:r>
      <w:r>
        <w:t xml:space="preserve"> — BVerwG, Beschl. v. 15.10.2018 – 6 B 148.18</w:t>
      </w:r>
    </w:p>
    <w:p w14:paraId="6FC14389" w14:textId="77777777" w:rsidR="0090768F" w:rsidRDefault="00000000">
      <w:pPr>
        <w:pStyle w:val="FirstParagraph"/>
      </w:pPr>
      <w:r>
        <w:t>Und zur Höchstpersönlichkeit:</w:t>
      </w:r>
    </w:p>
    <w:p w14:paraId="6448DF0B" w14:textId="77777777" w:rsidR="0090768F" w:rsidRDefault="00000000">
      <w:pPr>
        <w:pStyle w:val="BlockText"/>
      </w:pPr>
      <w:r>
        <w:rPr>
          <w:i/>
          <w:iCs/>
        </w:rPr>
        <w:t>„…muss jeder die Leistung persönlich unmittelbar und vollständig zur Kenntnis nehmen und eine selbständige, eigenverantwortliche Bewertungsentscheidung treffen.”</w:t>
      </w:r>
      <w:r>
        <w:t xml:space="preserve"> — BVerwG, Beschl. v. 19.05.2016 – 6 B 1.16</w:t>
      </w:r>
    </w:p>
    <w:p w14:paraId="5AA1A800" w14:textId="77777777" w:rsidR="0090768F" w:rsidRDefault="00000000">
      <w:pPr>
        <w:pStyle w:val="FirstParagraph"/>
      </w:pPr>
      <w:r>
        <w:rPr>
          <w:b/>
          <w:bCs/>
        </w:rPr>
        <w:t>Drei operative Produktfolgen.</w:t>
      </w:r>
    </w:p>
    <w:p w14:paraId="06B6DD46" w14:textId="77777777" w:rsidR="0090768F" w:rsidRDefault="00000000">
      <w:pPr>
        <w:pStyle w:val="Compact"/>
        <w:numPr>
          <w:ilvl w:val="0"/>
          <w:numId w:val="31"/>
        </w:numPr>
      </w:pPr>
      <w:r>
        <w:rPr>
          <w:i/>
          <w:iCs/>
        </w:rPr>
        <w:t>„Persönlich unmittelbar und vollständig zur Kenntnis nehmen”</w:t>
      </w:r>
      <w:r>
        <w:t xml:space="preserve"> — der Prüfer muss die </w:t>
      </w:r>
      <w:r>
        <w:rPr>
          <w:b/>
          <w:bCs/>
        </w:rPr>
        <w:t>ganze Arbeit</w:t>
      </w:r>
      <w:r>
        <w:t xml:space="preserve"> lesen, nicht eine Zusammenfassung. Eine Oberfläche, die nur extrahierte Aussagen zeigt oder die Übernahme einer Note ohne Öffnen des vollständigen Scans erlaubt, verletzt diese Regel. </w:t>
      </w:r>
      <w:r>
        <w:rPr>
          <w:b/>
          <w:bCs/>
        </w:rPr>
        <w:t>Die Arbeit ist die Primärfläche, der Vorschlag ist sekundär.</w:t>
      </w:r>
    </w:p>
    <w:p w14:paraId="30536EAB" w14:textId="77777777" w:rsidR="0090768F" w:rsidRDefault="00000000">
      <w:pPr>
        <w:pStyle w:val="Compact"/>
        <w:numPr>
          <w:ilvl w:val="0"/>
          <w:numId w:val="31"/>
        </w:numPr>
      </w:pPr>
      <w:r>
        <w:rPr>
          <w:i/>
          <w:iCs/>
        </w:rPr>
        <w:t>„Autonom erstellt … persönliche Erfahrungen”</w:t>
      </w:r>
      <w:r>
        <w:t xml:space="preserve"> — ein KI-erzeugtes Raster, das die Lehrkraft unverändert übernimmt, ersetzt das Bezugssystem des Prüfers durch das des Anbieters. </w:t>
      </w:r>
      <w:r>
        <w:rPr>
          <w:b/>
          <w:bCs/>
        </w:rPr>
        <w:t xml:space="preserve">Die Lehrkraft erstellt das Raster; das Modell wendet </w:t>
      </w:r>
      <w:r>
        <w:rPr>
          <w:b/>
          <w:bCs/>
          <w:i/>
          <w:iCs/>
        </w:rPr>
        <w:t>ihr</w:t>
      </w:r>
      <w:r>
        <w:rPr>
          <w:b/>
          <w:bCs/>
        </w:rPr>
        <w:t xml:space="preserve"> Raster an, statt eines zu liefern.</w:t>
      </w:r>
    </w:p>
    <w:p w14:paraId="0BC95E5B" w14:textId="77777777" w:rsidR="0090768F" w:rsidRDefault="00000000">
      <w:pPr>
        <w:pStyle w:val="Compact"/>
        <w:numPr>
          <w:ilvl w:val="0"/>
          <w:numId w:val="31"/>
        </w:numPr>
      </w:pPr>
      <w:r>
        <w:rPr>
          <w:b/>
          <w:bCs/>
        </w:rPr>
        <w:t>Konsistenz.</w:t>
      </w:r>
      <w:r>
        <w:t xml:space="preserve"> Dieselben Maßstäbe sind auf alle Bearbeitungen derselben Aufgabe anzuwenden, und diese Pflicht erstreckt sich auf die Nachkorrektur im Überdenkensverfahren. </w:t>
      </w:r>
      <w:r>
        <w:rPr>
          <w:b/>
          <w:bCs/>
        </w:rPr>
        <w:t>Ein nichtdeterministisches Modell, das dieselbe Arbeit in zwei Durchläufen unterschiedlich bewertet oder über einen Stapel driftet, erzeugt einen aktuellen Chancengleichheitsmangel.</w:t>
      </w:r>
      <w:r>
        <w:t xml:space="preserve"> Das ist die am meisten unterschätzte technische Anforderung in der gesamten Akte — und eine Engineering-Vorgabe (Temperatur, Seeding, Stapelkalibrierung, Regressionstests), keine Policy-Frage.</w:t>
      </w:r>
    </w:p>
    <w:p w14:paraId="4735806E" w14:textId="77777777" w:rsidR="0090768F" w:rsidRDefault="00000000">
      <w:pPr>
        <w:pStyle w:val="Heading3"/>
      </w:pPr>
      <w:bookmarkStart w:id="136" w:name="X8fa139696f45f09f38761551b06527a7b891724"/>
      <w:bookmarkEnd w:id="135"/>
      <w:r>
        <w:t xml:space="preserve">5.3 Das beste Präzedens </w:t>
      </w:r>
      <w:r>
        <w:rPr>
          <w:i/>
          <w:iCs/>
        </w:rPr>
        <w:t>für</w:t>
      </w:r>
      <w:r>
        <w:t xml:space="preserve"> uns: die offene Zweitbewertung</w:t>
      </w:r>
    </w:p>
    <w:p w14:paraId="6A8CDEB7" w14:textId="77777777" w:rsidR="0090768F" w:rsidRDefault="00000000">
      <w:pPr>
        <w:pStyle w:val="FirstParagraph"/>
      </w:pPr>
      <w:r>
        <w:t>Das deutsche Recht hat bereits entschieden, ob ein Prüfer in Kenntnis einer fremden Vorbewertung urteilen darf. Die Antwort lautet ja:</w:t>
      </w:r>
    </w:p>
    <w:p w14:paraId="3948FBC1" w14:textId="77777777" w:rsidR="0090768F" w:rsidRDefault="00000000">
      <w:pPr>
        <w:pStyle w:val="BlockText"/>
      </w:pPr>
      <w:r>
        <w:rPr>
          <w:i/>
          <w:iCs/>
        </w:rPr>
        <w:t xml:space="preserve">„Die offene Zweitbewertung, d. h. die Bewertung der Prüfungsleistung durch den Zweitprüfer in Kenntnis der Bewertung des Erstprüfers, ist mit dem prüfungsrechtlichen Gebot der Chancengleichheit … vereinbar. Es gibt keinen </w:t>
      </w:r>
      <w:r>
        <w:rPr>
          <w:i/>
          <w:iCs/>
        </w:rPr>
        <w:lastRenderedPageBreak/>
        <w:t>Verfassungsgrundsatz der Prüfungsanonymität.”</w:t>
      </w:r>
      <w:r>
        <w:t xml:space="preserve"> — BVerwG, Beschl. v. 19.05.2016 – 6 B 1.16</w:t>
      </w:r>
    </w:p>
    <w:p w14:paraId="3FEEFCD2" w14:textId="77777777" w:rsidR="0090768F" w:rsidRDefault="00000000">
      <w:pPr>
        <w:pStyle w:val="FirstParagraph"/>
      </w:pPr>
      <w:r>
        <w:t xml:space="preserve">Dies sollte das Kernstück unserer Argumentation sein: Das deutsche Prüfungsrecht behandelt die Verankerung durch eine Vorbewertung </w:t>
      </w:r>
      <w:r>
        <w:rPr>
          <w:b/>
          <w:bCs/>
        </w:rPr>
        <w:t>nicht</w:t>
      </w:r>
      <w:r>
        <w:t xml:space="preserve"> als Mangel, sofern der Zweitbeurteiler die Arbeit selbständig und vollständig zur Kenntnis nimmt.</w:t>
      </w:r>
    </w:p>
    <w:p w14:paraId="4E65D8BC" w14:textId="77777777" w:rsidR="0090768F" w:rsidRDefault="00000000">
      <w:pPr>
        <w:pStyle w:val="BodyText"/>
      </w:pPr>
      <w:r>
        <w:rPr>
          <w:b/>
          <w:bCs/>
        </w:rPr>
        <w:t>Die Grenze ist ehrlich zu benennen.</w:t>
      </w:r>
      <w:r>
        <w:t xml:space="preserve"> Der Erstprüfer ist dort ein Mensch, an dieselben Pflichten gebunden, persönlich verantwortlich, zur Begründung und zur Teilnahme am Überdenkensverfahren fähig. Ein Sprachmodell ist nichts davon. Die Analogie trägt „eine Vorbewertung vergiftet das Urteil nicht per se”; sie trägt nicht „der Vorschlag darf von irgendwoher kommen”. Das wird der erste Einwand eines Ministeriumsjuristen sein, und die Antwort muss bereitliegen: Das Modell hält kein Bezugssystem, der Prüfer tut es, und das Modell wendet das Raster des Prüfers an.</w:t>
      </w:r>
    </w:p>
    <w:p w14:paraId="343872F9" w14:textId="77777777" w:rsidR="0090768F" w:rsidRDefault="00000000">
      <w:pPr>
        <w:pStyle w:val="Heading3"/>
      </w:pPr>
      <w:bookmarkStart w:id="137" w:name="X23afa5b92026fb00bbaa69780684e1ef12d19d0"/>
      <w:bookmarkEnd w:id="136"/>
      <w:r>
        <w:t>5.4 § 35a VwVfG schließt die automatisierte Note aus — und das ist gut</w:t>
      </w:r>
    </w:p>
    <w:p w14:paraId="749F89A7" w14:textId="77777777" w:rsidR="0090768F" w:rsidRDefault="00000000">
      <w:pPr>
        <w:pStyle w:val="BlockText"/>
      </w:pPr>
      <w:r>
        <w:rPr>
          <w:i/>
          <w:iCs/>
        </w:rPr>
        <w:t xml:space="preserve">„Ein Verwaltungsakt kann vollständig durch automatische Einrichtungen erlassen werden, sofern dies durch Rechtsvorschrift zugelassen ist und </w:t>
      </w:r>
      <w:r>
        <w:rPr>
          <w:b/>
          <w:bCs/>
          <w:i/>
          <w:iCs/>
        </w:rPr>
        <w:t>weder ein Ermessen noch ein Beurteilungsspielraum besteht</w:t>
      </w:r>
      <w:r>
        <w:rPr>
          <w:i/>
          <w:iCs/>
        </w:rPr>
        <w:t>.”</w:t>
      </w:r>
    </w:p>
    <w:p w14:paraId="2770CBA6" w14:textId="77777777" w:rsidR="0090768F" w:rsidRDefault="00000000">
      <w:pPr>
        <w:pStyle w:val="FirstParagraph"/>
      </w:pPr>
      <w:r>
        <w:t xml:space="preserve">Die Leistungsbewertung ist der Musterfall des Beurteilungsspielraums. Die DSK zieht die Folgerung ausdrücklich: </w:t>
      </w:r>
      <w:r>
        <w:rPr>
          <w:i/>
          <w:iCs/>
        </w:rPr>
        <w:t>„Sofern die öffentliche Stelle über einen Beurteilungsspielraum verfügt oder Ermessen ausübt, scheidet der vollständig automatisierte Erlass aus.”</w:t>
      </w:r>
    </w:p>
    <w:p w14:paraId="2D415C13" w14:textId="77777777" w:rsidR="0090768F" w:rsidRDefault="00000000">
      <w:pPr>
        <w:pStyle w:val="BodyText"/>
      </w:pPr>
      <w:r>
        <w:rPr>
          <w:b/>
          <w:bCs/>
        </w:rPr>
        <w:t>Strategisch ist das ein Aktivposten.</w:t>
      </w:r>
      <w:r>
        <w:t xml:space="preserve"> Das Szenario „KI ersetzt die Lehrkraft” ist damit für alle dauerhaft rechtlich verschlossen und lässt sich auch landesrechtlich nicht herbeiführen. Wir sollten das zuerst und deutlich sagen: Es räumt den Vorwurf aus, dem das Produkt am häufigsten ausgesetzt ist, und positioniert es in dem einzigen Raum, der existiert — der Entscheidungsunterstützung. Keinen automatisierten Notenpfad bauen, auch nicht optional.</w:t>
      </w:r>
    </w:p>
    <w:p w14:paraId="3F76044B" w14:textId="77777777" w:rsidR="0090768F" w:rsidRDefault="00000000">
      <w:pPr>
        <w:pStyle w:val="Heading3"/>
      </w:pPr>
      <w:bookmarkStart w:id="138" w:name="X0f4a7746165df6bae541b4fa6f4444d8adb3b07"/>
      <w:bookmarkEnd w:id="137"/>
      <w:r>
        <w:t>5.5 Die Schuldatenschutzverordnungen der Länder</w:t>
      </w:r>
    </w:p>
    <w:p w14:paraId="2D8F7E59" w14:textId="77777777" w:rsidR="0090768F" w:rsidRDefault="00000000">
      <w:pPr>
        <w:pStyle w:val="FirstParagraph"/>
      </w:pPr>
      <w:r>
        <w:t xml:space="preserve">Schulen sind Landesstellen; anwendbar sind daher das </w:t>
      </w:r>
      <w:r>
        <w:rPr>
          <w:b/>
          <w:bCs/>
        </w:rPr>
        <w:t>Landesdatenschutzgesetz</w:t>
      </w:r>
      <w:r>
        <w:t>, die Datenklausel des Schulgesetzes und die zugehörige Verordnung — nicht das BDSG. (Zwei Korrekturen für unsere internen Unterlagen: § 37 BDSG betrifft Versicherungsentscheidungen und ist hier irrelevant; die allgemeine Norm zur automatisierten Entscheidung öffentlicher Stellen des Bundes ist § 54 BDSG.)</w:t>
      </w:r>
    </w:p>
    <w:p w14:paraId="74EEF2A6" w14:textId="77777777" w:rsidR="0090768F" w:rsidRDefault="00000000">
      <w:pPr>
        <w:pStyle w:val="BodyText"/>
      </w:pPr>
      <w:r>
        <w:t>Verifizierter Stand:</w:t>
      </w:r>
    </w:p>
    <w:tbl>
      <w:tblPr>
        <w:tblStyle w:val="Table"/>
        <w:tblW w:w="5000" w:type="pct"/>
        <w:tblLook w:val="0020" w:firstRow="1" w:lastRow="0" w:firstColumn="0" w:lastColumn="0" w:noHBand="0" w:noVBand="0"/>
      </w:tblPr>
      <w:tblGrid>
        <w:gridCol w:w="2016"/>
        <w:gridCol w:w="3144"/>
        <w:gridCol w:w="2225"/>
        <w:gridCol w:w="1975"/>
      </w:tblGrid>
      <w:tr w:rsidR="0090768F" w14:paraId="51CC3357"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0DDFADBD" w14:textId="77777777" w:rsidR="0090768F" w:rsidRDefault="00000000">
            <w:pPr>
              <w:pStyle w:val="Compact"/>
            </w:pPr>
            <w:r>
              <w:t>Land</w:t>
            </w:r>
          </w:p>
        </w:tc>
        <w:tc>
          <w:tcPr>
            <w:tcW w:w="0" w:type="auto"/>
          </w:tcPr>
          <w:p w14:paraId="5918E0A2" w14:textId="77777777" w:rsidR="0090768F" w:rsidRDefault="00000000">
            <w:pPr>
              <w:pStyle w:val="Compact"/>
            </w:pPr>
            <w:r>
              <w:t>Klausel im Schulgesetz</w:t>
            </w:r>
          </w:p>
        </w:tc>
        <w:tc>
          <w:tcPr>
            <w:tcW w:w="0" w:type="auto"/>
          </w:tcPr>
          <w:p w14:paraId="2A6E90CD" w14:textId="77777777" w:rsidR="0090768F" w:rsidRDefault="00000000">
            <w:pPr>
              <w:pStyle w:val="Compact"/>
            </w:pPr>
            <w:r>
              <w:t>Verordnung / Instrument</w:t>
            </w:r>
          </w:p>
        </w:tc>
        <w:tc>
          <w:tcPr>
            <w:tcW w:w="0" w:type="auto"/>
          </w:tcPr>
          <w:p w14:paraId="6EB5DC2A" w14:textId="77777777" w:rsidR="0090768F" w:rsidRDefault="00000000">
            <w:pPr>
              <w:pStyle w:val="Compact"/>
            </w:pPr>
            <w:r>
              <w:t>Verifikation</w:t>
            </w:r>
          </w:p>
        </w:tc>
      </w:tr>
      <w:tr w:rsidR="0090768F" w14:paraId="2A619565" w14:textId="77777777">
        <w:tc>
          <w:tcPr>
            <w:tcW w:w="0" w:type="auto"/>
          </w:tcPr>
          <w:p w14:paraId="21DA62A7" w14:textId="77777777" w:rsidR="0090768F" w:rsidRDefault="00000000">
            <w:pPr>
              <w:pStyle w:val="Compact"/>
            </w:pPr>
            <w:r>
              <w:rPr>
                <w:b/>
                <w:bCs/>
              </w:rPr>
              <w:t>NRW</w:t>
            </w:r>
          </w:p>
        </w:tc>
        <w:tc>
          <w:tcPr>
            <w:tcW w:w="0" w:type="auto"/>
          </w:tcPr>
          <w:p w14:paraId="52077689" w14:textId="77777777" w:rsidR="0090768F" w:rsidRDefault="00000000">
            <w:pPr>
              <w:pStyle w:val="Compact"/>
            </w:pPr>
            <w:r>
              <w:t>§§ 120, 121 SchulG NRW; Verordnungsermächtigung § 122 Abs. 4</w:t>
            </w:r>
          </w:p>
        </w:tc>
        <w:tc>
          <w:tcPr>
            <w:tcW w:w="0" w:type="auto"/>
          </w:tcPr>
          <w:p w14:paraId="035B45C2" w14:textId="77777777" w:rsidR="0090768F" w:rsidRDefault="00000000">
            <w:pPr>
              <w:pStyle w:val="Compact"/>
            </w:pPr>
            <w:r>
              <w:rPr>
                <w:b/>
                <w:bCs/>
              </w:rPr>
              <w:t>VO-DV I</w:t>
            </w:r>
            <w:r>
              <w:t xml:space="preserve"> (Schüler/Eltern), i.d.F. v. 23.03.2022; </w:t>
            </w:r>
            <w:r>
              <w:rPr>
                <w:b/>
                <w:bCs/>
              </w:rPr>
              <w:t>VO-DV II</w:t>
            </w:r>
            <w:r>
              <w:t xml:space="preserve"> (Lehrkräfte)</w:t>
            </w:r>
          </w:p>
        </w:tc>
        <w:tc>
          <w:tcPr>
            <w:tcW w:w="0" w:type="auto"/>
          </w:tcPr>
          <w:p w14:paraId="5F8FCABD" w14:textId="77777777" w:rsidR="0090768F" w:rsidRDefault="00000000">
            <w:pPr>
              <w:pStyle w:val="Compact"/>
            </w:pPr>
            <w:r>
              <w:t>wörtlich verifiziert</w:t>
            </w:r>
          </w:p>
        </w:tc>
      </w:tr>
      <w:tr w:rsidR="0090768F" w14:paraId="0C5956CB" w14:textId="77777777">
        <w:tc>
          <w:tcPr>
            <w:tcW w:w="0" w:type="auto"/>
          </w:tcPr>
          <w:p w14:paraId="7CAD0A45" w14:textId="77777777" w:rsidR="0090768F" w:rsidRDefault="00000000">
            <w:pPr>
              <w:pStyle w:val="Compact"/>
            </w:pPr>
            <w:r>
              <w:rPr>
                <w:b/>
                <w:bCs/>
              </w:rPr>
              <w:lastRenderedPageBreak/>
              <w:t>Bayern</w:t>
            </w:r>
          </w:p>
        </w:tc>
        <w:tc>
          <w:tcPr>
            <w:tcW w:w="0" w:type="auto"/>
          </w:tcPr>
          <w:p w14:paraId="156FFD51" w14:textId="77777777" w:rsidR="0090768F" w:rsidRDefault="00000000">
            <w:pPr>
              <w:pStyle w:val="Compact"/>
            </w:pPr>
            <w:r>
              <w:t>Art. 85, Art. 85a BayEUG</w:t>
            </w:r>
          </w:p>
        </w:tc>
        <w:tc>
          <w:tcPr>
            <w:tcW w:w="0" w:type="auto"/>
          </w:tcPr>
          <w:p w14:paraId="0455D6D5" w14:textId="77777777" w:rsidR="0090768F" w:rsidRDefault="00000000">
            <w:pPr>
              <w:pStyle w:val="Compact"/>
            </w:pPr>
            <w:r>
              <w:rPr>
                <w:b/>
                <w:bCs/>
              </w:rPr>
              <w:t>VollzBek DS – Schulen</w:t>
            </w:r>
            <w:r>
              <w:t xml:space="preserve">, BayMBl. 2022 Nr. 435 — </w:t>
            </w:r>
            <w:r>
              <w:rPr>
                <w:i/>
                <w:iCs/>
              </w:rPr>
              <w:t>nicht</w:t>
            </w:r>
            <w:r>
              <w:t xml:space="preserve"> die BaySchO</w:t>
            </w:r>
          </w:p>
        </w:tc>
        <w:tc>
          <w:tcPr>
            <w:tcW w:w="0" w:type="auto"/>
          </w:tcPr>
          <w:p w14:paraId="6C1F6B04" w14:textId="77777777" w:rsidR="0090768F" w:rsidRDefault="00000000">
            <w:pPr>
              <w:pStyle w:val="Compact"/>
            </w:pPr>
            <w:r>
              <w:t>verifiziert</w:t>
            </w:r>
          </w:p>
        </w:tc>
      </w:tr>
      <w:tr w:rsidR="0090768F" w14:paraId="5D0EBE31" w14:textId="77777777">
        <w:tc>
          <w:tcPr>
            <w:tcW w:w="0" w:type="auto"/>
          </w:tcPr>
          <w:p w14:paraId="5A63513B" w14:textId="77777777" w:rsidR="0090768F" w:rsidRDefault="00000000">
            <w:pPr>
              <w:pStyle w:val="Compact"/>
            </w:pPr>
            <w:r>
              <w:rPr>
                <w:b/>
                <w:bCs/>
              </w:rPr>
              <w:t>Baden-Württemberg</w:t>
            </w:r>
          </w:p>
        </w:tc>
        <w:tc>
          <w:tcPr>
            <w:tcW w:w="0" w:type="auto"/>
          </w:tcPr>
          <w:p w14:paraId="2F303A13" w14:textId="77777777" w:rsidR="0090768F" w:rsidRDefault="00000000">
            <w:pPr>
              <w:pStyle w:val="Compact"/>
            </w:pPr>
            <w:r>
              <w:t>§ 115b SchG (so das Ministerium)</w:t>
            </w:r>
          </w:p>
        </w:tc>
        <w:tc>
          <w:tcPr>
            <w:tcW w:w="0" w:type="auto"/>
          </w:tcPr>
          <w:p w14:paraId="6830A51F" w14:textId="77777777" w:rsidR="0090768F" w:rsidRDefault="00000000">
            <w:pPr>
              <w:pStyle w:val="Compact"/>
            </w:pPr>
            <w:r>
              <w:rPr>
                <w:b/>
                <w:bCs/>
              </w:rPr>
              <w:t>DUVO</w:t>
            </w:r>
            <w:r>
              <w:t>, § 6</w:t>
            </w:r>
          </w:p>
        </w:tc>
        <w:tc>
          <w:tcPr>
            <w:tcW w:w="0" w:type="auto"/>
          </w:tcPr>
          <w:p w14:paraId="2D3B7546" w14:textId="77777777" w:rsidR="0090768F" w:rsidRDefault="00000000">
            <w:pPr>
              <w:pStyle w:val="Compact"/>
            </w:pPr>
            <w:r>
              <w:t>teilweise verifiziert — Zitat des Ministeriums, Texte nicht gelesen</w:t>
            </w:r>
          </w:p>
        </w:tc>
      </w:tr>
      <w:tr w:rsidR="0090768F" w14:paraId="03CFE572" w14:textId="77777777">
        <w:tc>
          <w:tcPr>
            <w:tcW w:w="0" w:type="auto"/>
          </w:tcPr>
          <w:p w14:paraId="19A34DBF" w14:textId="77777777" w:rsidR="0090768F" w:rsidRDefault="00000000">
            <w:pPr>
              <w:pStyle w:val="Compact"/>
            </w:pPr>
            <w:r>
              <w:rPr>
                <w:b/>
                <w:bCs/>
              </w:rPr>
              <w:t>Niedersachsen</w:t>
            </w:r>
          </w:p>
        </w:tc>
        <w:tc>
          <w:tcPr>
            <w:tcW w:w="0" w:type="auto"/>
          </w:tcPr>
          <w:p w14:paraId="28EA5A1A" w14:textId="77777777" w:rsidR="0090768F" w:rsidRDefault="00000000">
            <w:pPr>
              <w:pStyle w:val="Compact"/>
            </w:pPr>
            <w:r>
              <w:rPr>
                <w:b/>
                <w:bCs/>
              </w:rPr>
              <w:t>§ 31 NSchG</w:t>
            </w:r>
            <w:r>
              <w:t>, einschl. Abs. 5</w:t>
            </w:r>
          </w:p>
        </w:tc>
        <w:tc>
          <w:tcPr>
            <w:tcW w:w="0" w:type="auto"/>
          </w:tcPr>
          <w:p w14:paraId="418F5663" w14:textId="77777777" w:rsidR="0090768F" w:rsidRDefault="00000000">
            <w:pPr>
              <w:pStyle w:val="Compact"/>
            </w:pPr>
            <w:r>
              <w:t>keine eigene Verordnung gefunden</w:t>
            </w:r>
          </w:p>
        </w:tc>
        <w:tc>
          <w:tcPr>
            <w:tcW w:w="0" w:type="auto"/>
          </w:tcPr>
          <w:p w14:paraId="32F1DD9F" w14:textId="77777777" w:rsidR="0090768F" w:rsidRDefault="00000000">
            <w:pPr>
              <w:pStyle w:val="Compact"/>
            </w:pPr>
            <w:r>
              <w:t>wörtlich verifiziert</w:t>
            </w:r>
          </w:p>
        </w:tc>
      </w:tr>
      <w:tr w:rsidR="0090768F" w14:paraId="112E8001" w14:textId="77777777">
        <w:tc>
          <w:tcPr>
            <w:tcW w:w="0" w:type="auto"/>
          </w:tcPr>
          <w:p w14:paraId="59A2013B" w14:textId="77777777" w:rsidR="0090768F" w:rsidRDefault="00000000">
            <w:pPr>
              <w:pStyle w:val="Compact"/>
            </w:pPr>
            <w:r>
              <w:rPr>
                <w:b/>
                <w:bCs/>
              </w:rPr>
              <w:t>Hessen</w:t>
            </w:r>
          </w:p>
        </w:tc>
        <w:tc>
          <w:tcPr>
            <w:tcW w:w="0" w:type="auto"/>
          </w:tcPr>
          <w:p w14:paraId="371624D4" w14:textId="77777777" w:rsidR="0090768F" w:rsidRDefault="00000000">
            <w:pPr>
              <w:pStyle w:val="Compact"/>
            </w:pPr>
            <w:r>
              <w:t>§§ 83, 83a, 83b HSchG</w:t>
            </w:r>
          </w:p>
        </w:tc>
        <w:tc>
          <w:tcPr>
            <w:tcW w:w="0" w:type="auto"/>
          </w:tcPr>
          <w:p w14:paraId="678F9E2C" w14:textId="77777777" w:rsidR="0090768F" w:rsidRDefault="00000000">
            <w:pPr>
              <w:pStyle w:val="Compact"/>
            </w:pPr>
            <w:r>
              <w:rPr>
                <w:b/>
                <w:bCs/>
              </w:rPr>
              <w:t>SchulDSVO</w:t>
            </w:r>
            <w:r>
              <w:t xml:space="preserve"> (Volltitel einschließlich </w:t>
            </w:r>
            <w:r>
              <w:rPr>
                <w:i/>
                <w:iCs/>
              </w:rPr>
              <w:t>„und statistische Erhebungen an Schulen”</w:t>
            </w:r>
            <w:r>
              <w:t>)</w:t>
            </w:r>
          </w:p>
        </w:tc>
        <w:tc>
          <w:tcPr>
            <w:tcW w:w="0" w:type="auto"/>
          </w:tcPr>
          <w:p w14:paraId="0BB3F0EE" w14:textId="77777777" w:rsidR="0090768F" w:rsidRDefault="00000000">
            <w:pPr>
              <w:pStyle w:val="Compact"/>
            </w:pPr>
            <w:r>
              <w:t>Name und Paragraphen mittelbar bestätigt</w:t>
            </w:r>
          </w:p>
        </w:tc>
      </w:tr>
      <w:tr w:rsidR="0090768F" w14:paraId="4484FF98" w14:textId="77777777">
        <w:tc>
          <w:tcPr>
            <w:tcW w:w="0" w:type="auto"/>
          </w:tcPr>
          <w:p w14:paraId="3FF159EA" w14:textId="77777777" w:rsidR="0090768F" w:rsidRDefault="00000000">
            <w:pPr>
              <w:pStyle w:val="Compact"/>
            </w:pPr>
            <w:r>
              <w:t>Berlin, RLP, Sachsen, Saarland, SH, HH, HB, BB, MV, ST, TH</w:t>
            </w:r>
          </w:p>
        </w:tc>
        <w:tc>
          <w:tcPr>
            <w:tcW w:w="0" w:type="auto"/>
          </w:tcPr>
          <w:p w14:paraId="29133EA6" w14:textId="77777777" w:rsidR="0090768F" w:rsidRDefault="00000000">
            <w:pPr>
              <w:pStyle w:val="Compact"/>
            </w:pPr>
            <w:r>
              <w:t>—</w:t>
            </w:r>
          </w:p>
        </w:tc>
        <w:tc>
          <w:tcPr>
            <w:tcW w:w="0" w:type="auto"/>
          </w:tcPr>
          <w:p w14:paraId="62573B92" w14:textId="77777777" w:rsidR="0090768F" w:rsidRDefault="00000000">
            <w:pPr>
              <w:pStyle w:val="Compact"/>
            </w:pPr>
            <w:r>
              <w:t>—</w:t>
            </w:r>
          </w:p>
        </w:tc>
        <w:tc>
          <w:tcPr>
            <w:tcW w:w="0" w:type="auto"/>
          </w:tcPr>
          <w:p w14:paraId="47954501" w14:textId="77777777" w:rsidR="0090768F" w:rsidRDefault="00000000">
            <w:pPr>
              <w:pStyle w:val="Compact"/>
            </w:pPr>
            <w:r>
              <w:rPr>
                <w:b/>
                <w:bCs/>
              </w:rPr>
              <w:t>nicht verifiziert — Paragraphen dieser zehn Länder nicht aus diesem Papier zitieren</w:t>
            </w:r>
          </w:p>
        </w:tc>
      </w:tr>
    </w:tbl>
    <w:p w14:paraId="3D4E47F4" w14:textId="77777777" w:rsidR="0090768F" w:rsidRDefault="00000000">
      <w:pPr>
        <w:pStyle w:val="BodyText"/>
      </w:pPr>
      <w:r>
        <w:rPr>
          <w:b/>
          <w:bCs/>
        </w:rPr>
        <w:t>Was die Verordnungen tatsächlich verlangen</w:t>
      </w:r>
      <w:r>
        <w:t>, anhand des verifizierten NRW-Texts:</w:t>
      </w:r>
    </w:p>
    <w:p w14:paraId="7F2B3E65" w14:textId="77777777" w:rsidR="0090768F" w:rsidRDefault="00000000">
      <w:pPr>
        <w:pStyle w:val="Compact"/>
        <w:numPr>
          <w:ilvl w:val="0"/>
          <w:numId w:val="32"/>
        </w:numPr>
      </w:pPr>
      <w:r>
        <w:t xml:space="preserve">Ein </w:t>
      </w:r>
      <w:r>
        <w:rPr>
          <w:b/>
          <w:bCs/>
        </w:rPr>
        <w:t>abschließender Katalog</w:t>
      </w:r>
      <w:r>
        <w:t xml:space="preserve"> zulässiger Daten (VO-DV I § 1 Abs. 2: </w:t>
      </w:r>
      <w:r>
        <w:rPr>
          <w:i/>
          <w:iCs/>
        </w:rPr>
        <w:t>„Die zur Verarbeitung zugelassenen Daten sind in den Anlagen genannt.”</w:t>
      </w:r>
      <w:r>
        <w:t>).</w:t>
      </w:r>
    </w:p>
    <w:p w14:paraId="390591F7" w14:textId="77777777" w:rsidR="0090768F" w:rsidRDefault="00000000">
      <w:pPr>
        <w:pStyle w:val="Compact"/>
        <w:numPr>
          <w:ilvl w:val="0"/>
          <w:numId w:val="32"/>
        </w:numPr>
      </w:pPr>
      <w:r>
        <w:t xml:space="preserve">Eine </w:t>
      </w:r>
      <w:r>
        <w:rPr>
          <w:b/>
          <w:bCs/>
        </w:rPr>
        <w:t>schriftliche Genehmigung der Schulleitung für die Verarbeitung auf privaten Geräten</w:t>
      </w:r>
      <w:r>
        <w:t xml:space="preserve">, einschließlich Verzeichnis der Verarbeitungstätigkeiten — und, entscheidend, </w:t>
      </w:r>
      <w:r>
        <w:rPr>
          <w:i/>
          <w:iCs/>
        </w:rPr>
        <w:t>„ist die Schule Verantwortlicher im Sinne des Artikels 4 Nummer 7 der Datenschutz-Grundverordnung”</w:t>
      </w:r>
      <w:r>
        <w:t xml:space="preserve"> auch für diese Verarbeitung. Die Genehmigung darf bei ausgegebenem Dienstgerät nicht erteilt werden und erlischt mit dessen Ausgabe.</w:t>
      </w:r>
    </w:p>
    <w:p w14:paraId="25BD9284" w14:textId="77777777" w:rsidR="0090768F" w:rsidRDefault="00000000">
      <w:pPr>
        <w:pStyle w:val="Compact"/>
        <w:numPr>
          <w:ilvl w:val="0"/>
          <w:numId w:val="32"/>
        </w:numPr>
      </w:pPr>
      <w:r>
        <w:rPr>
          <w:b/>
          <w:bCs/>
        </w:rPr>
        <w:t>Auftragsverarbeitung</w:t>
      </w:r>
      <w:r>
        <w:t xml:space="preserve"> nur unter Beachtung des Art. 28 und nur nach Weisung der Schule oder der Schulaufsichtsbehörden.</w:t>
      </w:r>
    </w:p>
    <w:p w14:paraId="74AA8700" w14:textId="77777777" w:rsidR="0090768F" w:rsidRDefault="00000000">
      <w:pPr>
        <w:pStyle w:val="FirstParagraph"/>
      </w:pPr>
      <w:r>
        <w:rPr>
          <w:b/>
          <w:bCs/>
        </w:rPr>
        <w:t>Ein Detail, das eine gezielte Anfrage verdient.</w:t>
      </w:r>
      <w:r>
        <w:t xml:space="preserve"> Anlage 3 Nr. 10 VO-DV I erlaubt der Lehrkraft auf dem Privatgerät </w:t>
      </w:r>
      <w:r>
        <w:rPr>
          <w:i/>
          <w:iCs/>
        </w:rPr>
        <w:t>„Leistungsbewertungen … einschließlich digital von diesen erstellter Leistungsnachweise”</w:t>
      </w:r>
      <w:r>
        <w:t xml:space="preserve">. Eine </w:t>
      </w:r>
      <w:r>
        <w:rPr>
          <w:b/>
          <w:bCs/>
        </w:rPr>
        <w:t xml:space="preserve">eingescannte handschriftliche Arbeit ist kein </w:t>
      </w:r>
      <w:r>
        <w:rPr>
          <w:b/>
          <w:bCs/>
          <w:i/>
          <w:iCs/>
        </w:rPr>
        <w:t>digital erstellter</w:t>
      </w:r>
      <w:r>
        <w:rPr>
          <w:b/>
          <w:bCs/>
        </w:rPr>
        <w:t xml:space="preserve"> Leistungsnachweis</w:t>
      </w:r>
      <w:r>
        <w:t xml:space="preserve"> — sie ist das Abbild eines Papierdokuments. Es ist ernsthaft vertretbar, dass der abschließende Katalog unseren Kerninput auf dem Privatgerät gar </w:t>
      </w:r>
      <w:r>
        <w:lastRenderedPageBreak/>
        <w:t>nicht erfasst. Das sollte vor jedem NRW-Pilot schriftlich beim MSB NRW / der LDI NRW geklärt werden, und es stärkt den Fall für Dienstgeräte- oder On-Premise-Betrieb gegenüber einem BYOD-Modell.</w:t>
      </w:r>
    </w:p>
    <w:p w14:paraId="4D09FBEB" w14:textId="77777777" w:rsidR="0090768F" w:rsidRDefault="00000000">
      <w:pPr>
        <w:pStyle w:val="Heading3"/>
      </w:pPr>
      <w:bookmarkStart w:id="139" w:name="X3fd449f80970ef1f1c67cacd227c275ee80ca24"/>
      <w:bookmarkEnd w:id="138"/>
      <w:r>
        <w:t>5.6 Aufsichtsbehörden — und das ungünstigste Dokument der Akte</w:t>
      </w:r>
    </w:p>
    <w:p w14:paraId="13123606" w14:textId="77777777" w:rsidR="0090768F" w:rsidRDefault="00000000">
      <w:pPr>
        <w:pStyle w:val="FirstParagraph"/>
      </w:pPr>
      <w:r>
        <w:rPr>
          <w:b/>
          <w:bCs/>
        </w:rPr>
        <w:t>Veröffentlicht und verifiziert:</w:t>
      </w:r>
    </w:p>
    <w:p w14:paraId="3CAF3AE1" w14:textId="77777777" w:rsidR="0090768F" w:rsidRDefault="00000000">
      <w:pPr>
        <w:pStyle w:val="Compact"/>
        <w:numPr>
          <w:ilvl w:val="0"/>
          <w:numId w:val="33"/>
        </w:numPr>
      </w:pPr>
      <w:r>
        <w:rPr>
          <w:b/>
          <w:bCs/>
        </w:rPr>
        <w:t>DSK</w:t>
      </w:r>
      <w:r>
        <w:t xml:space="preserve">, </w:t>
      </w:r>
      <w:r>
        <w:rPr>
          <w:i/>
          <w:iCs/>
        </w:rPr>
        <w:t>Orientierungshilfe Künstliche Intelligenz und Datenschutz</w:t>
      </w:r>
      <w:r>
        <w:t xml:space="preserve">, V 1.0, 06.05.2024 — eine V 2.0 existiert nicht. Der für uns tragende Satz: </w:t>
      </w:r>
      <w:r>
        <w:rPr>
          <w:i/>
          <w:iCs/>
        </w:rPr>
        <w:t>„muss das Verfahren so gestaltet werden, dass dem entscheidenden Menschen ein tatsächlicher Entscheidungsspielraum zukommt und nicht maßgeblich aufgrund des KI-Vorschlags entschieden wird. … Eine lediglich formelle Beteiligung eines Menschen im Entscheidungsprozess ist nicht ausreichend.”</w:t>
      </w:r>
    </w:p>
    <w:p w14:paraId="29729425" w14:textId="77777777" w:rsidR="0090768F" w:rsidRDefault="00000000">
      <w:pPr>
        <w:pStyle w:val="Compact"/>
        <w:numPr>
          <w:ilvl w:val="0"/>
          <w:numId w:val="33"/>
        </w:numPr>
      </w:pPr>
      <w:r>
        <w:rPr>
          <w:b/>
          <w:bCs/>
        </w:rPr>
        <w:t>DSK</w:t>
      </w:r>
      <w:r>
        <w:t xml:space="preserve">, </w:t>
      </w:r>
      <w:r>
        <w:rPr>
          <w:i/>
          <w:iCs/>
        </w:rPr>
        <w:t>Technische und organisatorische Maßnahmen bei KI-Systemen</w:t>
      </w:r>
      <w:r>
        <w:t xml:space="preserve"> (06/2025) und </w:t>
      </w:r>
      <w:r>
        <w:rPr>
          <w:i/>
          <w:iCs/>
        </w:rPr>
        <w:t>Datenschutzrechtliche Besonderheiten generativer KI-Systeme mit RAG-Methode</w:t>
      </w:r>
      <w:r>
        <w:t xml:space="preserve"> (10/2025).</w:t>
      </w:r>
    </w:p>
    <w:p w14:paraId="2BAA1115" w14:textId="77777777" w:rsidR="0090768F" w:rsidRDefault="00000000">
      <w:pPr>
        <w:pStyle w:val="Compact"/>
        <w:numPr>
          <w:ilvl w:val="0"/>
          <w:numId w:val="33"/>
        </w:numPr>
      </w:pPr>
      <w:r>
        <w:rPr>
          <w:b/>
          <w:bCs/>
        </w:rPr>
        <w:t>DSK</w:t>
      </w:r>
      <w:r>
        <w:t xml:space="preserve">, </w:t>
      </w:r>
      <w:r>
        <w:rPr>
          <w:i/>
          <w:iCs/>
        </w:rPr>
        <w:t>Orientierungshilfe Online-Lernplattformen im Schulunterricht</w:t>
      </w:r>
      <w:r>
        <w:t>, 26.04.2018 — das für Frage 5 unmittelbar einschlägigste Dokument (§7).</w:t>
      </w:r>
    </w:p>
    <w:p w14:paraId="365E0A9A" w14:textId="77777777" w:rsidR="0090768F" w:rsidRDefault="00000000">
      <w:pPr>
        <w:pStyle w:val="Compact"/>
        <w:numPr>
          <w:ilvl w:val="0"/>
          <w:numId w:val="33"/>
        </w:numPr>
      </w:pPr>
      <w:r>
        <w:rPr>
          <w:b/>
          <w:bCs/>
        </w:rPr>
        <w:t>LfDI Baden-Württemberg</w:t>
      </w:r>
      <w:r>
        <w:t xml:space="preserve">, </w:t>
      </w:r>
      <w:r>
        <w:rPr>
          <w:i/>
          <w:iCs/>
        </w:rPr>
        <w:t>Diskussionspapier Rechtsgrundlagen im Datenschutz beim Einsatz von KI</w:t>
      </w:r>
      <w:r>
        <w:t xml:space="preserve">, </w:t>
      </w:r>
      <w:r>
        <w:rPr>
          <w:b/>
          <w:bCs/>
        </w:rPr>
        <w:t>V 2.0, 17.10.2024</w:t>
      </w:r>
      <w:r>
        <w:t xml:space="preserve"> — laut Ankündigung ergänzt um </w:t>
      </w:r>
      <w:r>
        <w:rPr>
          <w:i/>
          <w:iCs/>
        </w:rPr>
        <w:t>Rechtsgrundlagen für Schulen</w:t>
      </w:r>
      <w:r>
        <w:t xml:space="preserve">. </w:t>
      </w:r>
      <w:r>
        <w:rPr>
          <w:b/>
          <w:bCs/>
        </w:rPr>
        <w:t>Vollständig beschaffen und lesen; nach dem bayerischen Handlungsleitfaden das wichtigste offene Dokument.</w:t>
      </w:r>
    </w:p>
    <w:p w14:paraId="50C983B8" w14:textId="77777777" w:rsidR="0090768F" w:rsidRDefault="00000000">
      <w:pPr>
        <w:pStyle w:val="Compact"/>
        <w:numPr>
          <w:ilvl w:val="0"/>
          <w:numId w:val="33"/>
        </w:numPr>
      </w:pPr>
      <w:r>
        <w:rPr>
          <w:b/>
          <w:bCs/>
        </w:rPr>
        <w:t>HmbBfDI</w:t>
      </w:r>
      <w:r>
        <w:t xml:space="preserve">, </w:t>
      </w:r>
      <w:r>
        <w:rPr>
          <w:i/>
          <w:iCs/>
        </w:rPr>
        <w:t>Diskussionspapier: Large Language Models und personenbezogene Daten</w:t>
      </w:r>
      <w:r>
        <w:t>, 15.07.2024 (ob aktualisiert: nicht bestätigt).</w:t>
      </w:r>
    </w:p>
    <w:p w14:paraId="5DCF1883" w14:textId="77777777" w:rsidR="0090768F" w:rsidRDefault="00000000">
      <w:pPr>
        <w:pStyle w:val="Compact"/>
        <w:numPr>
          <w:ilvl w:val="0"/>
          <w:numId w:val="33"/>
        </w:numPr>
      </w:pPr>
      <w:r>
        <w:rPr>
          <w:b/>
          <w:bCs/>
        </w:rPr>
        <w:t>BfDI</w:t>
      </w:r>
      <w:r>
        <w:t xml:space="preserve">, </w:t>
      </w:r>
      <w:r>
        <w:rPr>
          <w:i/>
          <w:iCs/>
        </w:rPr>
        <w:t>Handreichung KI</w:t>
      </w:r>
      <w:r>
        <w:t>, 22.12.2025 (aufgefunden, nicht gelesen).</w:t>
      </w:r>
    </w:p>
    <w:p w14:paraId="6CEC3E4B" w14:textId="77777777" w:rsidR="0090768F" w:rsidRDefault="00000000">
      <w:pPr>
        <w:pStyle w:val="FirstParagraph"/>
      </w:pPr>
      <w:r>
        <w:rPr>
          <w:b/>
          <w:bCs/>
        </w:rPr>
        <w:t>Keine deutsche Aufsichtsbehörde hat eine Position speziell zu KI-erzeugten Noten veröffentlicht.</w:t>
      </w:r>
      <w:r>
        <w:t xml:space="preserve"> Das ist ein Negativbefund aus einer abgebrochenen Recherche, keine bestätigte Abwesenheit.</w:t>
      </w:r>
    </w:p>
    <w:p w14:paraId="3E1EA1E2" w14:textId="77777777" w:rsidR="0090768F" w:rsidRDefault="00000000">
      <w:pPr>
        <w:pStyle w:val="BodyText"/>
      </w:pPr>
      <w:r>
        <w:rPr>
          <w:b/>
          <w:bCs/>
        </w:rPr>
        <w:t>Das ungünstigste glaubwürdige Dokument stammt nicht von einer Behörde.</w:t>
      </w:r>
      <w:r>
        <w:t xml:space="preserve"> Das </w:t>
      </w:r>
      <w:r>
        <w:rPr>
          <w:b/>
          <w:bCs/>
        </w:rPr>
        <w:t>DKJS-Memorandum</w:t>
      </w:r>
      <w:r>
        <w:t xml:space="preserve"> </w:t>
      </w:r>
      <w:r>
        <w:rPr>
          <w:i/>
          <w:iCs/>
        </w:rPr>
        <w:t>Zum Einsatz von generativer KI in der schulischen Leistungsbewertung</w:t>
      </w:r>
      <w:r>
        <w:t xml:space="preserve"> (Spirit Legal, Mai 2025) kommt berichteten Angaben zufolge zu dem Ergebnis, dass KI-basierte Bewertung von Schülerarbeiten nach geltendem deutschen und europäischen Recht grundsätzlich unzulässig sei; dass Leistungsdaten auch bei Pseudonymisierung im Verarbeitungsprozess personenbezogen blieben, weil die Lehrkraft bei der Notenvergabe re-identifiziere; dass keine taugliche Rechtsgrundlage nach Art. 6 bestehe, weil der allgemeine Bildungsauftrag nicht „objektiv unerlässlich” sei; dass Art. 22 einschlägig sei; und dass Leistungsdaten Gesundheitsinformationen etwa zu Lese-Rechtschreib- oder Lernschwächen offenbaren könnten. </w:t>
      </w:r>
      <w:r>
        <w:rPr>
          <w:b/>
          <w:bCs/>
        </w:rPr>
        <w:t>Verifikationsvorbehalt: Der DKJS-Server hat den Abruf blockiert; die Angaben stammen aus einer Drittzusammenfassung. Das Original beschaffen und lesen, bevor es irgendwo zitiert wird.</w:t>
      </w:r>
    </w:p>
    <w:p w14:paraId="38351E77" w14:textId="77777777" w:rsidR="0090768F" w:rsidRDefault="00000000">
      <w:pPr>
        <w:pStyle w:val="BodyText"/>
      </w:pPr>
      <w:r>
        <w:rPr>
          <w:b/>
          <w:bCs/>
        </w:rPr>
        <w:t>Bewertung.</w:t>
      </w:r>
      <w:r>
        <w:t xml:space="preserve"> Es handelt sich um ein stiftungsfinanziertes Anwaltsgutachten, nicht um eine Aufsichtsposition, und es adressiert offenbar KI-Bewertung im starken Sinne — die auch die KMK ablehnt und die niemand bestreitet. Der Abstand zwischen </w:t>
      </w:r>
      <w:r>
        <w:rPr>
          <w:i/>
          <w:iCs/>
        </w:rPr>
        <w:t xml:space="preserve">„die KI entscheidet über </w:t>
      </w:r>
      <w:r>
        <w:rPr>
          <w:i/>
          <w:iCs/>
        </w:rPr>
        <w:lastRenderedPageBreak/>
        <w:t>die Note”</w:t>
      </w:r>
      <w:r>
        <w:t xml:space="preserve"> und </w:t>
      </w:r>
      <w:r>
        <w:rPr>
          <w:i/>
          <w:iCs/>
        </w:rPr>
        <w:t>„die KI schlägt vor, die Lehrkraft entscheidet anhand eines selbst erstellten Rasters nach vollständiger Kenntnisnahme der Arbeit und mit Prüfpfad”</w:t>
      </w:r>
      <w:r>
        <w:t xml:space="preserve"> — der </w:t>
      </w:r>
      <w:r>
        <w:rPr>
          <w:i/>
          <w:iCs/>
        </w:rPr>
        <w:t>Korrekturassistenz</w:t>
      </w:r>
      <w:r>
        <w:t xml:space="preserve"> der KMK — ist der Raum, in dem wir stehen, und die Begründung des Memorandums schließt ihn nicht ersichtlich. </w:t>
      </w:r>
      <w:r>
        <w:rPr>
          <w:b/>
          <w:bCs/>
        </w:rPr>
        <w:t>Das Feld nicht räumen; ein Gegengutachten beauftragen, das Punkt für Punkt darauf eingeht.</w:t>
      </w:r>
      <w:r>
        <w:t xml:space="preserve"> Das ist ein benannter Budgetposten.</w:t>
      </w:r>
    </w:p>
    <w:p w14:paraId="68DE7A05" w14:textId="77777777" w:rsidR="0090768F" w:rsidRDefault="00000000">
      <w:pPr>
        <w:pStyle w:val="Heading3"/>
      </w:pPr>
      <w:bookmarkStart w:id="140" w:name="Xa3b8def0bf5e533aa586ace9d9e975d451f46e1"/>
      <w:bookmarkEnd w:id="139"/>
      <w:r>
        <w:t>5.7 Was die Länder-Handreichungen sagen — der härteste Befund</w:t>
      </w:r>
    </w:p>
    <w:tbl>
      <w:tblPr>
        <w:tblStyle w:val="Table"/>
        <w:tblW w:w="5000" w:type="pct"/>
        <w:tblLook w:val="0020" w:firstRow="1" w:lastRow="0" w:firstColumn="0" w:lastColumn="0" w:noHBand="0" w:noVBand="0"/>
      </w:tblPr>
      <w:tblGrid>
        <w:gridCol w:w="1798"/>
        <w:gridCol w:w="5229"/>
        <w:gridCol w:w="2333"/>
      </w:tblGrid>
      <w:tr w:rsidR="0090768F" w14:paraId="4E768C2F"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39FBF3E6" w14:textId="77777777" w:rsidR="0090768F" w:rsidRDefault="00000000">
            <w:pPr>
              <w:pStyle w:val="Compact"/>
            </w:pPr>
            <w:r>
              <w:t>Land</w:t>
            </w:r>
          </w:p>
        </w:tc>
        <w:tc>
          <w:tcPr>
            <w:tcW w:w="0" w:type="auto"/>
          </w:tcPr>
          <w:p w14:paraId="11C88F7B" w14:textId="77777777" w:rsidR="0090768F" w:rsidRDefault="00000000">
            <w:pPr>
              <w:pStyle w:val="Compact"/>
            </w:pPr>
            <w:r>
              <w:t>Wortlaut</w:t>
            </w:r>
          </w:p>
        </w:tc>
        <w:tc>
          <w:tcPr>
            <w:tcW w:w="0" w:type="auto"/>
          </w:tcPr>
          <w:p w14:paraId="56351BC1" w14:textId="77777777" w:rsidR="0090768F" w:rsidRDefault="00000000">
            <w:pPr>
              <w:pStyle w:val="Compact"/>
            </w:pPr>
            <w:r>
              <w:t>Wirkung auf uns</w:t>
            </w:r>
          </w:p>
        </w:tc>
      </w:tr>
      <w:tr w:rsidR="0090768F" w14:paraId="560FA7CD" w14:textId="77777777">
        <w:tc>
          <w:tcPr>
            <w:tcW w:w="0" w:type="auto"/>
          </w:tcPr>
          <w:p w14:paraId="34ECD572" w14:textId="77777777" w:rsidR="0090768F" w:rsidRDefault="00000000">
            <w:pPr>
              <w:pStyle w:val="Compact"/>
            </w:pPr>
            <w:r>
              <w:rPr>
                <w:b/>
                <w:bCs/>
              </w:rPr>
              <w:t>Baden-Württemberg</w:t>
            </w:r>
          </w:p>
        </w:tc>
        <w:tc>
          <w:tcPr>
            <w:tcW w:w="0" w:type="auto"/>
          </w:tcPr>
          <w:p w14:paraId="7CC53F3E" w14:textId="77777777" w:rsidR="0090768F" w:rsidRDefault="00000000">
            <w:pPr>
              <w:pStyle w:val="Compact"/>
            </w:pPr>
            <w:r>
              <w:rPr>
                <w:i/>
                <w:iCs/>
              </w:rPr>
              <w:t xml:space="preserve">„Auch dürfen </w:t>
            </w:r>
            <w:r>
              <w:rPr>
                <w:b/>
                <w:bCs/>
                <w:i/>
                <w:iCs/>
              </w:rPr>
              <w:t>KI-Anwendungen keine Noten vergeben</w:t>
            </w:r>
            <w:r>
              <w:rPr>
                <w:i/>
                <w:iCs/>
              </w:rPr>
              <w:t xml:space="preserve"> oder andere wesentlichen schulischen Entscheidungen treffen.”</w:t>
            </w:r>
            <w:r>
              <w:t xml:space="preserve"> / </w:t>
            </w:r>
            <w:r>
              <w:rPr>
                <w:i/>
                <w:iCs/>
              </w:rPr>
              <w:t>„Die abschließende Bewertung … bleibt also weiterhin den Lehrkräften vorbehalten.”</w:t>
            </w:r>
          </w:p>
        </w:tc>
        <w:tc>
          <w:tcPr>
            <w:tcW w:w="0" w:type="auto"/>
          </w:tcPr>
          <w:p w14:paraId="36181CA5" w14:textId="77777777" w:rsidR="0090768F" w:rsidRDefault="00000000">
            <w:pPr>
              <w:pStyle w:val="Compact"/>
            </w:pPr>
            <w:r>
              <w:t>Mit unserer Architektur vereinbar — wir schlagen vor, die Lehrkraft vergibt</w:t>
            </w:r>
          </w:p>
        </w:tc>
      </w:tr>
      <w:tr w:rsidR="0090768F" w14:paraId="0D4C22E7" w14:textId="77777777">
        <w:tc>
          <w:tcPr>
            <w:tcW w:w="0" w:type="auto"/>
          </w:tcPr>
          <w:p w14:paraId="31A556B7" w14:textId="77777777" w:rsidR="0090768F" w:rsidRDefault="00000000">
            <w:pPr>
              <w:pStyle w:val="Compact"/>
            </w:pPr>
            <w:r>
              <w:rPr>
                <w:b/>
                <w:bCs/>
              </w:rPr>
              <w:t>Hessen</w:t>
            </w:r>
          </w:p>
        </w:tc>
        <w:tc>
          <w:tcPr>
            <w:tcW w:w="0" w:type="auto"/>
          </w:tcPr>
          <w:p w14:paraId="2EFC6BE5" w14:textId="77777777" w:rsidR="0090768F" w:rsidRDefault="00000000">
            <w:pPr>
              <w:pStyle w:val="Compact"/>
            </w:pPr>
            <w:r>
              <w:rPr>
                <w:i/>
                <w:iCs/>
              </w:rPr>
              <w:t xml:space="preserve">„…dass im Rahmen einer Nutzung </w:t>
            </w:r>
            <w:r>
              <w:rPr>
                <w:b/>
                <w:bCs/>
                <w:i/>
                <w:iCs/>
              </w:rPr>
              <w:t>keine Eingabe personenbezogener Daten von Schülerinnen und Schülern</w:t>
            </w:r>
            <w:r>
              <w:rPr>
                <w:i/>
                <w:iCs/>
              </w:rPr>
              <w:t xml:space="preserve"> erfolgt”</w:t>
            </w:r>
            <w:r>
              <w:t xml:space="preserve"> (Handreichung, Juli 2023)</w:t>
            </w:r>
          </w:p>
        </w:tc>
        <w:tc>
          <w:tcPr>
            <w:tcW w:w="0" w:type="auto"/>
          </w:tcPr>
          <w:p w14:paraId="24C3F9A0" w14:textId="77777777" w:rsidR="0090768F" w:rsidRDefault="00000000">
            <w:pPr>
              <w:pStyle w:val="Compact"/>
            </w:pPr>
            <w:r>
              <w:rPr>
                <w:b/>
                <w:bCs/>
              </w:rPr>
              <w:t>Erfasst unseren Kernprozess unmittelbar</w:t>
            </w:r>
            <w:r>
              <w:t>, unabhängig davon, wer entscheidet</w:t>
            </w:r>
          </w:p>
        </w:tc>
      </w:tr>
      <w:tr w:rsidR="0090768F" w14:paraId="482BE1E6" w14:textId="77777777">
        <w:tc>
          <w:tcPr>
            <w:tcW w:w="0" w:type="auto"/>
          </w:tcPr>
          <w:p w14:paraId="3CE3BF1A" w14:textId="77777777" w:rsidR="0090768F" w:rsidRDefault="00000000">
            <w:pPr>
              <w:pStyle w:val="Compact"/>
            </w:pPr>
            <w:r>
              <w:rPr>
                <w:b/>
                <w:bCs/>
              </w:rPr>
              <w:t>NRW</w:t>
            </w:r>
          </w:p>
        </w:tc>
        <w:tc>
          <w:tcPr>
            <w:tcW w:w="0" w:type="auto"/>
          </w:tcPr>
          <w:p w14:paraId="0827115B" w14:textId="77777777" w:rsidR="0090768F" w:rsidRDefault="00000000">
            <w:pPr>
              <w:pStyle w:val="Compact"/>
            </w:pPr>
            <w:r>
              <w:rPr>
                <w:i/>
                <w:iCs/>
              </w:rPr>
              <w:t xml:space="preserve">„…dass </w:t>
            </w:r>
            <w:r>
              <w:rPr>
                <w:b/>
                <w:bCs/>
                <w:i/>
                <w:iCs/>
              </w:rPr>
              <w:t>keine personenbezogenen Daten der Schülerinnen und Schüler übertragen werden</w:t>
            </w:r>
            <w:r>
              <w:rPr>
                <w:i/>
                <w:iCs/>
              </w:rPr>
              <w:t>”</w:t>
            </w:r>
            <w:r>
              <w:t xml:space="preserve"> / </w:t>
            </w:r>
            <w:r>
              <w:rPr>
                <w:i/>
                <w:iCs/>
              </w:rPr>
              <w:t>„Die Verantwortung für die Einhaltung des schulischen Datenschutzes trägt die Leiterin oder der Leiter der jeweiligen Schule.”</w:t>
            </w:r>
            <w:r>
              <w:t xml:space="preserve"> (Handlungsleitfaden, 02/2023)</w:t>
            </w:r>
          </w:p>
        </w:tc>
        <w:tc>
          <w:tcPr>
            <w:tcW w:w="0" w:type="auto"/>
          </w:tcPr>
          <w:p w14:paraId="5DD1796B" w14:textId="77777777" w:rsidR="0090768F" w:rsidRDefault="00000000">
            <w:pPr>
              <w:pStyle w:val="Compact"/>
            </w:pPr>
            <w:r>
              <w:rPr>
                <w:b/>
                <w:bCs/>
              </w:rPr>
              <w:t>Ebenso</w:t>
            </w:r>
          </w:p>
        </w:tc>
      </w:tr>
      <w:tr w:rsidR="0090768F" w14:paraId="171C0E78" w14:textId="77777777">
        <w:tc>
          <w:tcPr>
            <w:tcW w:w="0" w:type="auto"/>
          </w:tcPr>
          <w:p w14:paraId="56862133" w14:textId="77777777" w:rsidR="0090768F" w:rsidRDefault="00000000">
            <w:pPr>
              <w:pStyle w:val="Compact"/>
            </w:pPr>
            <w:r>
              <w:rPr>
                <w:b/>
                <w:bCs/>
              </w:rPr>
              <w:t>Bayern</w:t>
            </w:r>
          </w:p>
        </w:tc>
        <w:tc>
          <w:tcPr>
            <w:tcW w:w="0" w:type="auto"/>
          </w:tcPr>
          <w:p w14:paraId="72B489E6" w14:textId="77777777" w:rsidR="0090768F" w:rsidRDefault="00000000">
            <w:pPr>
              <w:pStyle w:val="Compact"/>
            </w:pPr>
            <w:r>
              <w:t xml:space="preserve">Aktuelles Instrument: </w:t>
            </w:r>
            <w:r>
              <w:rPr>
                <w:i/>
                <w:iCs/>
              </w:rPr>
              <w:t>Handlungsleitfaden „Künstliche Intelligenz in der pädagogischen Praxis”</w:t>
            </w:r>
            <w:r>
              <w:t xml:space="preserve">, Fassung 19.05.2026. Bayern stellt sanktionierte Werkzeuge kostenfrei bereit (KI-Funktionen der ByCS-Lernplattform, AIS.chat). Veröffentlichtes Prüfungsmaterial betrifft </w:t>
            </w:r>
            <w:r>
              <w:rPr>
                <w:b/>
                <w:bCs/>
              </w:rPr>
              <w:t>Unterschleif durch Schüler</w:t>
            </w:r>
            <w:r>
              <w:t>, nicht die Korrektur.</w:t>
            </w:r>
          </w:p>
        </w:tc>
        <w:tc>
          <w:tcPr>
            <w:tcW w:w="0" w:type="auto"/>
          </w:tcPr>
          <w:p w14:paraId="131B3DBC" w14:textId="77777777" w:rsidR="0090768F" w:rsidRDefault="00000000">
            <w:pPr>
              <w:pStyle w:val="Compact"/>
            </w:pPr>
            <w:r>
              <w:rPr>
                <w:b/>
                <w:bCs/>
              </w:rPr>
              <w:t>Inhalt ungelesen — angesichts der Marktgröße das wichtigste offene Dokument</w:t>
            </w:r>
          </w:p>
        </w:tc>
      </w:tr>
    </w:tbl>
    <w:p w14:paraId="2A63DBC6" w14:textId="77777777" w:rsidR="0090768F" w:rsidRDefault="00000000">
      <w:pPr>
        <w:pStyle w:val="BodyText"/>
      </w:pPr>
      <w:r>
        <w:rPr>
          <w:b/>
          <w:bCs/>
        </w:rPr>
        <w:t>Kernaussage: Die Lage ist ungünstiger, als das Deck annimmt — aber nicht aus dem erwarteten Grund.</w:t>
      </w:r>
      <w:r>
        <w:t xml:space="preserve"> Das Problem in Hessen und NRW ist keine Regel zum KI-Bewerten, sondern ein pauschales Verbot, personenbezogene Schülerdaten in KI-Anwendungen einzugeben. Das ist weiter und erfasst uns unabhängig von der Entscheidungsarchitektur. Beide Dokumente stammen aus dem Frühjahr 2023 und liegen </w:t>
      </w:r>
      <w:r>
        <w:rPr>
          <w:b/>
          <w:bCs/>
        </w:rPr>
        <w:t>vor</w:t>
      </w:r>
      <w:r>
        <w:t xml:space="preserve"> der KMK-Befürwortung der </w:t>
      </w:r>
      <w:r>
        <w:rPr>
          <w:i/>
          <w:iCs/>
        </w:rPr>
        <w:t>Korrekturassistenz</w:t>
      </w:r>
      <w:r>
        <w:t xml:space="preserve"> vom Oktober 2024 — das ist der Ansatzpunkt, beide Ministerien um eine Überprüfung zu bitten.</w:t>
      </w:r>
    </w:p>
    <w:p w14:paraId="53F30E06" w14:textId="77777777" w:rsidR="0090768F" w:rsidRDefault="00000000">
      <w:pPr>
        <w:pStyle w:val="BodyText"/>
      </w:pPr>
      <w:r>
        <w:rPr>
          <w:b/>
          <w:bCs/>
        </w:rPr>
        <w:t>Warnung zu Sekundärquellen.</w:t>
      </w:r>
      <w:r>
        <w:t xml:space="preserve"> Weit verbreitete Ländervergleichstabellen (paukki.de, lehrerki.de) stimmen nicht verlässlich mit den Primärdokumenten überein; mehrere geprüfte Einträge stimmten nicht. </w:t>
      </w:r>
      <w:r>
        <w:rPr>
          <w:b/>
          <w:bCs/>
        </w:rPr>
        <w:t>Nicht zitieren.</w:t>
      </w:r>
    </w:p>
    <w:p w14:paraId="2E6DE6E1" w14:textId="77777777" w:rsidR="0090768F" w:rsidRDefault="00000000">
      <w:pPr>
        <w:pStyle w:val="Heading3"/>
      </w:pPr>
      <w:bookmarkStart w:id="141" w:name="Xac5e36f73fa17b33d85254315d19a4863ecc785"/>
      <w:bookmarkEnd w:id="140"/>
      <w:r>
        <w:lastRenderedPageBreak/>
        <w:t>5.8 Personalvertretung — der übersehene Blocker</w:t>
      </w:r>
    </w:p>
    <w:p w14:paraId="493F1264" w14:textId="77777777" w:rsidR="0090768F" w:rsidRDefault="00000000">
      <w:pPr>
        <w:pStyle w:val="FirstParagraph"/>
      </w:pPr>
      <w:r>
        <w:t xml:space="preserve">Die Mitbestimmungsnorm ist </w:t>
      </w:r>
      <w:r>
        <w:rPr>
          <w:b/>
          <w:bCs/>
        </w:rPr>
        <w:t>§ 80 Abs. 1 Nr. 21 BPersVG</w:t>
      </w:r>
      <w:r>
        <w:t xml:space="preserve"> (nicht § 75, der 2021 neu gefasst wurde): Der Personalrat bestimmt mit über </w:t>
      </w:r>
      <w:r>
        <w:rPr>
          <w:i/>
          <w:iCs/>
        </w:rPr>
        <w:t>„die Einführung und Anwendung technischer Einrichtungen, die dazu bestimmt sind, das Verhalten oder die Leistung der Beschäftigten zu überwachen”</w:t>
      </w:r>
      <w:r>
        <w:t>. Die Landespersonalvertretungsgesetze entsprechen dem (</w:t>
      </w:r>
      <w:r>
        <w:rPr>
          <w:b/>
          <w:bCs/>
        </w:rPr>
        <w:t>einzelne Landesnormen nicht verifiziert</w:t>
      </w:r>
      <w:r>
        <w:t>).</w:t>
      </w:r>
    </w:p>
    <w:p w14:paraId="13B15934" w14:textId="77777777" w:rsidR="0090768F" w:rsidRDefault="00000000">
      <w:pPr>
        <w:pStyle w:val="BodyText"/>
      </w:pPr>
      <w:r>
        <w:rPr>
          <w:b/>
          <w:bCs/>
        </w:rPr>
        <w:t>Uns trifft das härter als die meisten EdTech-Produkte</w:t>
      </w:r>
      <w:r>
        <w:t xml:space="preserve">, weil ein Korrekturassistenzsystem zwangsläufig Durchsatz je Lehrkraft, Bearbeitungszeiten und — am gefährlichsten — </w:t>
      </w:r>
      <w:r>
        <w:rPr>
          <w:b/>
          <w:bCs/>
        </w:rPr>
        <w:t>Abweichungsquoten zwischen Lehrkraftnote und Modellvorschlag</w:t>
      </w:r>
      <w:r>
        <w:t xml:space="preserve"> erzeugt. Letzteres ist ein unmittelbares, quantifiziertes Maß der Arbeitsleistung. Nach herrschender Auslegung genügt die objektive </w:t>
      </w:r>
      <w:r>
        <w:rPr>
          <w:i/>
          <w:iCs/>
        </w:rPr>
        <w:t>Eignung</w:t>
      </w:r>
      <w:r>
        <w:t xml:space="preserve"> zur Überwachung; Absicht ist nicht erforderlich. Wir sind in jedem Land sehr wahrscheinlich mitbestimmungspflichtig.</w:t>
      </w:r>
    </w:p>
    <w:p w14:paraId="15B7CF53" w14:textId="77777777" w:rsidR="0090768F" w:rsidRDefault="00000000">
      <w:pPr>
        <w:pStyle w:val="BodyText"/>
      </w:pPr>
      <w:r>
        <w:rPr>
          <w:b/>
          <w:bCs/>
        </w:rPr>
        <w:t>Die Abhilfe jetzt einbauen, nicht später:</w:t>
      </w:r>
      <w:r>
        <w:t xml:space="preserve"> keine Aggregation je Lehrkraft in administrativen Ansichten als Standard; Abweichungsstatistiken nur aggregiert, k-anonymisiert und bei der Einführung abschaltbar; und eine mitgelieferte </w:t>
      </w:r>
      <w:r>
        <w:rPr>
          <w:b/>
          <w:bCs/>
        </w:rPr>
        <w:t>Muster-Dienstvereinbarung</w:t>
      </w:r>
      <w:r>
        <w:t xml:space="preserve">. Personalräte stimmen einem Entwurf weit schneller zu als einem leeren Blatt. Zu beachten ist die Spannung zu §3.5: Wir brauchen den Abweichungsnachweis für das Argument zu Art. 22 </w:t>
      </w:r>
      <w:r>
        <w:rPr>
          <w:i/>
          <w:iCs/>
        </w:rPr>
        <w:t>und</w:t>
      </w:r>
      <w:r>
        <w:t xml:space="preserve"> dürfen ihn nicht je Lehrkraft offenlegen. Die Auflösung liegt in ausschließlich aggregierter Berichterstattung bei gleichzeitig arbeitsbezogenen Prüfpfaden, die der Schule nur auf definierter, protokollierter Grundlage zugänglich sind.</w:t>
      </w:r>
    </w:p>
    <w:p w14:paraId="479955CE" w14:textId="77777777" w:rsidR="0090768F" w:rsidRDefault="00000000">
      <w:pPr>
        <w:pStyle w:val="Heading3"/>
      </w:pPr>
      <w:bookmarkStart w:id="142" w:name="X77ae6e1fd0f4d00fc9181a5f3c7d9207754ee8c"/>
      <w:bookmarkEnd w:id="141"/>
      <w:r>
        <w:t>5.9 Hochschulen — ein eigenes und saubereres Regime</w:t>
      </w:r>
    </w:p>
    <w:p w14:paraId="607D9195" w14:textId="77777777" w:rsidR="0090768F" w:rsidRDefault="00000000">
      <w:pPr>
        <w:pStyle w:val="FirstParagraph"/>
      </w:pPr>
      <w:r>
        <w:t xml:space="preserve">Die maßgebliche Regel folgt aus dem Gesetzesvorbehalt des Art. 12 Abs. 1 Satz 2 GG: </w:t>
      </w:r>
      <w:r>
        <w:rPr>
          <w:i/>
          <w:iCs/>
        </w:rPr>
        <w:t>„Regelungen über das Verfahren der Bewertung der Prüfungsleistungen, die Bestehensvoraussetzungen und die Notenvergabe”</w:t>
      </w:r>
      <w:r>
        <w:t xml:space="preserve"> müssen rechtssatzmäßig festgelegt werden — für Staatsprüfungen in einer Rechtsverordnung, </w:t>
      </w:r>
      <w:r>
        <w:rPr>
          <w:b/>
          <w:bCs/>
        </w:rPr>
        <w:t>für Hochschulprüfungen in einer Satzung der Hochschule</w:t>
      </w:r>
      <w:r>
        <w:t xml:space="preserve"> (BVerwG 10.04.2019 – 6 C 19.18).</w:t>
      </w:r>
    </w:p>
    <w:p w14:paraId="4C46E17C" w14:textId="77777777" w:rsidR="0090768F" w:rsidRDefault="00000000">
      <w:pPr>
        <w:pStyle w:val="BodyText"/>
      </w:pPr>
      <w:r>
        <w:rPr>
          <w:b/>
          <w:bCs/>
        </w:rPr>
        <w:t>Muss eine Prüfungsordnung geändert werden? Wahrscheinlich — es hängt von der Positionierung ab.</w:t>
      </w:r>
      <w:r>
        <w:t xml:space="preserve"> Das BVerwG hat entschieden, dass die </w:t>
      </w:r>
      <w:r>
        <w:rPr>
          <w:b/>
          <w:bCs/>
        </w:rPr>
        <w:t>Zahl der Prüfer</w:t>
      </w:r>
      <w:r>
        <w:t xml:space="preserve"> und das </w:t>
      </w:r>
      <w:r>
        <w:rPr>
          <w:b/>
          <w:bCs/>
        </w:rPr>
        <w:t>Verfahren zur Auflösung von Bewertungsdivergenzen</w:t>
      </w:r>
      <w:r>
        <w:t xml:space="preserve"> vorab festzulegen sind, weil das Ergebnis maßgeblich von der nur eingeschränkt überprüfbaren Ausübung des Beurteilungsspielraums abhängt. </w:t>
      </w:r>
      <w:r>
        <w:rPr>
          <w:b/>
          <w:bCs/>
        </w:rPr>
        <w:t>Wird GRADIAS je funktional als weiterer Beurteiler eingeordnet, fällt es unter diese Regel und erfordert eine Satzungsänderung.</w:t>
      </w:r>
      <w:r>
        <w:t xml:space="preserve"> Daher: nie als „Zweitkorrektor” bezeichnen, die Ausgabe nie als </w:t>
      </w:r>
      <w:r>
        <w:rPr>
          <w:i/>
          <w:iCs/>
        </w:rPr>
        <w:t>Zweitkorrektur</w:t>
      </w:r>
      <w:r>
        <w:t xml:space="preserve"> präsentieren und keine Divergenzregel einer Prüfungsordnung darauf anwenden lassen. Als internes Arbeitsmittel eines einzelnen Prüfers positioniert — wie eine Lösungsskizze, ein Taschenrechner oder eine Vorsortierung durch eine studentische Hilfskraft — ist vertretbar, dass die Satzung unverändert bleiben kann.</w:t>
      </w:r>
    </w:p>
    <w:p w14:paraId="56454283" w14:textId="77777777" w:rsidR="0090768F" w:rsidRDefault="00000000">
      <w:pPr>
        <w:pStyle w:val="BodyText"/>
      </w:pPr>
      <w:r>
        <w:rPr>
          <w:b/>
          <w:bCs/>
        </w:rPr>
        <w:t>Kommerziell sind Hochschulen wahrscheinlich der leichtere Einstieg.</w:t>
      </w:r>
      <w:r>
        <w:t xml:space="preserve"> Sie sind autonom; es gibt keinen Ministeriumsgatekeeper, kein Länder-Handreichungsproblem und </w:t>
      </w:r>
      <w:r>
        <w:lastRenderedPageBreak/>
        <w:t xml:space="preserve">einen Verantwortlichen, der einen Auftragsverarbeitungsvertrag tatsächlich unterzeichnen kann. Der Preis ist ein langer, betreuungsintensiver Einzelverkauf mit Gremienbeteiligung und ohne Landesschalter. </w:t>
      </w:r>
      <w:r>
        <w:rPr>
          <w:i/>
          <w:iCs/>
        </w:rPr>
        <w:t>(Positionen der HRK — das Projekt KI-LOTSE und das Papier vom November 2024 — konnten nicht geöffnet werden; keine HRK-Position behaupten, ohne sie gelesen zu haben.)</w:t>
      </w:r>
    </w:p>
    <w:p w14:paraId="3A158E15" w14:textId="77777777" w:rsidR="0090768F" w:rsidRDefault="00000000">
      <w:pPr>
        <w:pStyle w:val="Heading3"/>
      </w:pPr>
      <w:bookmarkStart w:id="143" w:name="die-bundesebene-die-uns-bindet"/>
      <w:bookmarkEnd w:id="142"/>
      <w:r>
        <w:t>5.10 Die Bundesebene, die uns bindet</w:t>
      </w:r>
    </w:p>
    <w:p w14:paraId="67F88415" w14:textId="77777777" w:rsidR="0090768F" w:rsidRDefault="00000000">
      <w:pPr>
        <w:pStyle w:val="FirstParagraph"/>
      </w:pPr>
      <w:r>
        <w:t xml:space="preserve">Schulen sind ausschließlich Ländersache (Art. 30, 70 GG); der Bund kann den Einsatz unseres Produkts an Schulen nicht freigeben. Was der Bund steuert, bindet uns als </w:t>
      </w:r>
      <w:r>
        <w:rPr>
          <w:b/>
          <w:bCs/>
        </w:rPr>
        <w:t>Anbieter</w:t>
      </w:r>
      <w:r>
        <w:t>:</w:t>
      </w:r>
    </w:p>
    <w:p w14:paraId="43F00C45" w14:textId="77777777" w:rsidR="0090768F" w:rsidRDefault="00000000">
      <w:pPr>
        <w:pStyle w:val="Compact"/>
        <w:numPr>
          <w:ilvl w:val="0"/>
          <w:numId w:val="34"/>
        </w:numPr>
      </w:pPr>
      <w:r>
        <w:rPr>
          <w:b/>
          <w:bCs/>
        </w:rPr>
        <w:t>KI-MIG — Gesetz zur Marktüberwachung und Innovationsförderung von künstlicher Intelligenz</w:t>
      </w:r>
      <w:r>
        <w:t>, ausgefertigt am 22.07.2026, BGBl. 2026 I Nr. 223, in Kraft seit 29.07.2026. Deutschlands Durchführungsgesetz zur KI-VO, jünger als der größte Teil unserer internen Unterlagen.</w:t>
      </w:r>
    </w:p>
    <w:p w14:paraId="6B138975" w14:textId="77777777" w:rsidR="0090768F" w:rsidRDefault="00000000">
      <w:pPr>
        <w:pStyle w:val="Compact"/>
        <w:numPr>
          <w:ilvl w:val="1"/>
          <w:numId w:val="35"/>
        </w:numPr>
      </w:pPr>
      <w:r>
        <w:rPr>
          <w:b/>
          <w:bCs/>
        </w:rPr>
        <w:t>§ 2 Abs. 1: Die Bundesnetzagentur ist Marktüberwachungsbehörde</w:t>
      </w:r>
      <w:r>
        <w:t xml:space="preserve"> für die Verordnung (EU) 2024/1689, soweit nichts anderes bestimmt ist.</w:t>
      </w:r>
    </w:p>
    <w:p w14:paraId="678D37E6" w14:textId="77777777" w:rsidR="0090768F" w:rsidRDefault="00000000">
      <w:pPr>
        <w:pStyle w:val="Compact"/>
        <w:numPr>
          <w:ilvl w:val="1"/>
          <w:numId w:val="35"/>
        </w:numPr>
      </w:pPr>
      <w:r>
        <w:rPr>
          <w:b/>
          <w:bCs/>
        </w:rPr>
        <w:t xml:space="preserve">§ 2 Abs. 6: Bringen öffentliche Stellen der Länder KI-Systeme in Verkehr, nehmen sie in Betrieb oder </w:t>
      </w:r>
      <w:r>
        <w:rPr>
          <w:b/>
          <w:bCs/>
          <w:i/>
          <w:iCs/>
        </w:rPr>
        <w:t>verwenden</w:t>
      </w:r>
      <w:r>
        <w:rPr>
          <w:b/>
          <w:bCs/>
        </w:rPr>
        <w:t xml:space="preserve"> sie sie, obliegt die Marktüberwachung den nach Landesrecht zuständigen Behörden.</w:t>
      </w:r>
      <w:r>
        <w:t xml:space="preserve"> </w:t>
      </w:r>
      <w:r>
        <w:rPr>
          <w:b/>
          <w:bCs/>
        </w:rPr>
        <w:t>Wir</w:t>
      </w:r>
      <w:r>
        <w:t xml:space="preserve"> stehen also der BNetzA gegenüber, </w:t>
      </w:r>
      <w:r>
        <w:rPr>
          <w:b/>
          <w:bCs/>
        </w:rPr>
        <w:t>unsere Kunden</w:t>
      </w:r>
      <w:r>
        <w:t xml:space="preserve"> sechzehn verschiedenen Landesaufsichten. Beides einplanen.</w:t>
      </w:r>
    </w:p>
    <w:p w14:paraId="2FA67010" w14:textId="77777777" w:rsidR="0090768F" w:rsidRDefault="00000000">
      <w:pPr>
        <w:pStyle w:val="Compact"/>
        <w:numPr>
          <w:ilvl w:val="1"/>
          <w:numId w:val="35"/>
        </w:numPr>
      </w:pPr>
      <w:r>
        <w:rPr>
          <w:b/>
          <w:bCs/>
        </w:rPr>
        <w:t>§ 13: Die BNetzA hat mindestens ein KI-Reallabor</w:t>
      </w:r>
      <w:r>
        <w:t xml:space="preserve"> nach Art. 57/58 KI-VO einzurichten, unter Beteiligung der zuständigen Datenschutzaufsicht für die Bewertung nach Art. 59. </w:t>
      </w:r>
      <w:r>
        <w:rPr>
          <w:b/>
          <w:bCs/>
        </w:rPr>
        <w:t>Das ist ein konkreter, benannter, derzeit offener Weg zu regulatorischer Befassung statt Mutmaßung — wohl der handlungsrelevanteste Einzelpunkt dieses Papiers.</w:t>
      </w:r>
    </w:p>
    <w:p w14:paraId="1F25D2CE" w14:textId="77777777" w:rsidR="0090768F" w:rsidRDefault="00000000">
      <w:pPr>
        <w:pStyle w:val="Compact"/>
        <w:numPr>
          <w:ilvl w:val="1"/>
          <w:numId w:val="35"/>
        </w:numPr>
      </w:pPr>
      <w:r>
        <w:rPr>
          <w:b/>
          <w:bCs/>
        </w:rPr>
        <w:t>§ 14</w:t>
      </w:r>
      <w:r>
        <w:t xml:space="preserve"> macht das Unterlassen der Grundrechte-Folgenabschätzung nach Art. 27 bußgeldbewehrt — womit unsere vorausgefüllte Vorlage eine Antwort auf die Haftung des Kunden ist, nicht bloß eine Bequemlichkeit.</w:t>
      </w:r>
    </w:p>
    <w:p w14:paraId="0914FD22" w14:textId="77777777" w:rsidR="0090768F" w:rsidRDefault="00000000">
      <w:pPr>
        <w:pStyle w:val="Compact"/>
        <w:numPr>
          <w:ilvl w:val="0"/>
          <w:numId w:val="34"/>
        </w:numPr>
      </w:pPr>
      <w:r>
        <w:t xml:space="preserve">Der Wissenschaftliche Dienst des Bundestages bestätigt die Einstufung: </w:t>
      </w:r>
      <w:r>
        <w:rPr>
          <w:i/>
          <w:iCs/>
        </w:rPr>
        <w:t>„der gesamte Anwendungsbereich Bildung als ‚hochrisikoreich’ eingestuft wurde … betrifft die Regulierung auch automatisierte Bewertungen von Lernergebnissen, etwa durch Lernplattformen oder KI-gestützte Korrektursysteme”</w:t>
      </w:r>
      <w:r>
        <w:t xml:space="preserve"> (WD 8 – 3000 – 004/25, 28.02.2025).</w:t>
      </w:r>
    </w:p>
    <w:p w14:paraId="053FC218" w14:textId="77777777" w:rsidR="0090768F" w:rsidRDefault="00000000">
      <w:pPr>
        <w:pStyle w:val="Heading3"/>
      </w:pPr>
      <w:bookmarkStart w:id="144" w:name="kmk-was-sie-ist-und-was-sie-kann"/>
      <w:bookmarkEnd w:id="143"/>
      <w:r>
        <w:t>5.11 KMK — was sie ist und was sie kann</w:t>
      </w:r>
    </w:p>
    <w:p w14:paraId="7A05C3CB" w14:textId="77777777" w:rsidR="0090768F" w:rsidRDefault="00000000">
      <w:pPr>
        <w:pStyle w:val="FirstParagraph"/>
      </w:pPr>
      <w:r>
        <w:t xml:space="preserve">Die </w:t>
      </w:r>
      <w:r>
        <w:rPr>
          <w:b/>
          <w:bCs/>
        </w:rPr>
        <w:t>Kultusministerkonferenz</w:t>
      </w:r>
      <w:r>
        <w:t xml:space="preserve"> bleibt der Dachname; seit dem </w:t>
      </w:r>
      <w:r>
        <w:rPr>
          <w:b/>
          <w:bCs/>
        </w:rPr>
        <w:t>1. Juli 2024</w:t>
      </w:r>
      <w:r>
        <w:t xml:space="preserve"> bestehen darunter drei eigenständige Konferenzen — </w:t>
      </w:r>
      <w:r>
        <w:rPr>
          <w:b/>
          <w:bCs/>
        </w:rPr>
        <w:t>Bildungsministerkonferenz</w:t>
      </w:r>
      <w:r>
        <w:t xml:space="preserve">, Wissenschaftsministerkonferenz, Kulturministerkonferenz. Die KI-Empfehlung vom Oktober 2024 ist korrekt als </w:t>
      </w:r>
      <w:r>
        <w:rPr>
          <w:i/>
          <w:iCs/>
        </w:rPr>
        <w:t>Beschluss der Bildungsministerkonferenz vom 10.10.2024</w:t>
      </w:r>
      <w:r>
        <w:t xml:space="preserve"> zu zitieren, veröffentlicht durch das Sekretariat der Kultusministerkonferenz. Das richtig zu machen, signalisiert Ministeriumslesern Kompetenz.</w:t>
      </w:r>
    </w:p>
    <w:p w14:paraId="4A3541F9" w14:textId="77777777" w:rsidR="0090768F" w:rsidRDefault="00000000">
      <w:pPr>
        <w:pStyle w:val="BodyText"/>
      </w:pPr>
      <w:r>
        <w:rPr>
          <w:b/>
          <w:bCs/>
        </w:rPr>
        <w:t>Die vollständige tragende Passage</w:t>
      </w:r>
      <w:r>
        <w:t xml:space="preserve"> (S. 6), über den in §5.1 zitierten Satz hinaus:</w:t>
      </w:r>
    </w:p>
    <w:p w14:paraId="7830D7C7" w14:textId="77777777" w:rsidR="0090768F" w:rsidRDefault="00000000">
      <w:pPr>
        <w:pStyle w:val="BlockText"/>
      </w:pPr>
      <w:r>
        <w:rPr>
          <w:i/>
          <w:iCs/>
        </w:rPr>
        <w:lastRenderedPageBreak/>
        <w:t>„KI-Anwendungen können den Lehrkräften aber durchaus Unterstützungspotenziale im Korrektur- und Bewertungsprozess bieten (</w:t>
      </w:r>
      <w:r>
        <w:rPr>
          <w:b/>
          <w:bCs/>
          <w:i/>
          <w:iCs/>
        </w:rPr>
        <w:t>Vorkorrektur, Korrekturassistenz</w:t>
      </w:r>
      <w:r>
        <w:rPr>
          <w:i/>
          <w:iCs/>
        </w:rPr>
        <w:t xml:space="preserve"> und anschließende adaptive Lernunterstützung) … Herausforderungen im Einsatz von KI-Anwendungen als Korrekturassistenz liegen u. a. in </w:t>
      </w:r>
      <w:r>
        <w:rPr>
          <w:b/>
          <w:bCs/>
          <w:i/>
          <w:iCs/>
        </w:rPr>
        <w:t>Datenschutz und Datensicherheit, fehlender Transparenz und Nachvollziehbarkeit der Entscheidungsfindung sowie der Gefahr von Diskriminierung durch Bias</w:t>
      </w:r>
      <w:r>
        <w:rPr>
          <w:i/>
          <w:iCs/>
        </w:rPr>
        <w:t xml:space="preserve">. Um die Potenziale … rechtlich und ethisch einwandfrei zu realisieren, </w:t>
      </w:r>
      <w:r>
        <w:rPr>
          <w:b/>
          <w:bCs/>
          <w:i/>
          <w:iCs/>
        </w:rPr>
        <w:t>bedarf es länderseits entsprechender Regelungen über einen Einsatz als Entscheidungsunterstützungssystem. Die abschließende Leistungsbewertung bleibt den Prüfenden vorbehalten.</w:t>
      </w:r>
      <w:r>
        <w:rPr>
          <w:i/>
          <w:iCs/>
        </w:rPr>
        <w:t>”</w:t>
      </w:r>
    </w:p>
    <w:p w14:paraId="04D2E3D5" w14:textId="77777777" w:rsidR="0090768F" w:rsidRDefault="00000000">
      <w:pPr>
        <w:pStyle w:val="FirstParagraph"/>
      </w:pPr>
      <w:r>
        <w:t xml:space="preserve">Drei Dinge geschehen darin zugleich: Der automatisierte Notenweg wird geschlossen und die beiden Gründe werden benannt; der assistive Weg wird </w:t>
      </w:r>
      <w:r>
        <w:rPr>
          <w:b/>
          <w:bCs/>
        </w:rPr>
        <w:t>namentlich</w:t>
      </w:r>
      <w:r>
        <w:t xml:space="preserve"> geöffnet; und der Preis des Markteintritts wird festgelegt — faktisch ein vom Käufer geschriebenes Lastenheft.</w:t>
      </w:r>
    </w:p>
    <w:p w14:paraId="297B23A5" w14:textId="77777777" w:rsidR="0090768F" w:rsidRDefault="00000000">
      <w:pPr>
        <w:pStyle w:val="BodyText"/>
      </w:pPr>
      <w:r>
        <w:t xml:space="preserve">Zwei weitere Passagen sind kommerziell erheblich. Die Länder wollen </w:t>
      </w:r>
      <w:r>
        <w:rPr>
          <w:b/>
          <w:bCs/>
        </w:rPr>
        <w:t>eigene</w:t>
      </w:r>
      <w:r>
        <w:t xml:space="preserve"> Infrastruktur aufbauen: eine </w:t>
      </w:r>
      <w:r>
        <w:rPr>
          <w:i/>
          <w:iCs/>
        </w:rPr>
        <w:t>„ländergemeinsame Schnittstellenlösung zum datenschutzkonformen und kostenfreien Zugang zu LLM im schulischen Bereich”</w:t>
      </w:r>
      <w:r>
        <w:t xml:space="preserve">, damit Schulen </w:t>
      </w:r>
      <w:r>
        <w:rPr>
          <w:i/>
          <w:iCs/>
        </w:rPr>
        <w:t>„von größeren Prüfaufwänden befreit”</w:t>
      </w:r>
      <w:r>
        <w:t xml:space="preserve"> werden, und ein </w:t>
      </w:r>
      <w:r>
        <w:rPr>
          <w:i/>
          <w:iCs/>
        </w:rPr>
        <w:t xml:space="preserve">„hoheitlich betreibbares, datenschutzkonformes, für pädagogische Zwecke trainiertes … LLM (z. B. beim FWU)“. </w:t>
      </w:r>
      <w:r>
        <w:rPr>
          <w:b/>
          <w:bCs/>
          <w:i/>
          <w:iCs/>
        </w:rPr>
        <w:t>Das ist zugleich Wettbewerbsbedrohung und Kanalchance: Der Staat will die Modellebene selbst stellen. Unsere verteidigbare Position ist die Workflow- und Nachweisebene darüber — modellagnostisch und lauffähig gegen das LLM des Landes.</w:t>
      </w:r>
      <w:r>
        <w:rPr>
          <w:i/>
          <w:iCs/>
        </w:rPr>
        <w:t xml:space="preserve"> Und zu Prüfungsformaten: „Nach erfolgreicher Erprobung sind die Länderverordnungen zu Leistungsnachweisen und … Abschlussprüfungen entsprechend anzupassen.”</w:t>
      </w:r>
      <w:r>
        <w:t xml:space="preserve"> Die KMK denkt die Verordnungsanpassung bereits mit.</w:t>
      </w:r>
    </w:p>
    <w:p w14:paraId="74132C6E" w14:textId="77777777" w:rsidR="0090768F" w:rsidRDefault="00000000">
      <w:pPr>
        <w:pStyle w:val="BodyText"/>
      </w:pPr>
      <w:r>
        <w:rPr>
          <w:b/>
          <w:bCs/>
        </w:rPr>
        <w:t>Rechtliche Bindungswirkung: keine.</w:t>
      </w:r>
      <w:r>
        <w:t xml:space="preserve"> Die KMK sagt über sich selbst, sie </w:t>
      </w:r>
      <w:r>
        <w:rPr>
          <w:i/>
          <w:iCs/>
        </w:rPr>
        <w:t>„fasst … keine Beschlüsse als Verfassungsorgan mit der daraus folgenden Rechtswirkung”</w:t>
      </w:r>
      <w:r>
        <w:t>; ihre Beschlüsse wirken als politische Verpflichtung und Richtschnur. Eine KMK-Empfehlung schafft Deckung, keine Zulassung. Das ist die direkte Antwort auf die Hälfte von Frage 6.</w:t>
      </w:r>
    </w:p>
    <w:p w14:paraId="1E9C80B5" w14:textId="77777777" w:rsidR="0090768F" w:rsidRDefault="00000000">
      <w:pPr>
        <w:pStyle w:val="Heading2"/>
      </w:pPr>
      <w:bookmarkStart w:id="145" w:name="X2d973275da54ff4688459fdaffe2ba2ef0733a4"/>
      <w:bookmarkStart w:id="146" w:name="_Toc240060419"/>
      <w:bookmarkEnd w:id="132"/>
      <w:bookmarkEnd w:id="144"/>
      <w:r>
        <w:t>6. Frage 4 — Warum ist KI-Verarbeitung rechtlich etwas anderes als normale Datenverarbeitung?</w:t>
      </w:r>
      <w:bookmarkEnd w:id="146"/>
    </w:p>
    <w:p w14:paraId="75026642" w14:textId="77777777" w:rsidR="0090768F" w:rsidRDefault="00000000">
      <w:pPr>
        <w:pStyle w:val="FirstParagraph"/>
      </w:pPr>
      <w:r>
        <w:t xml:space="preserve">Der zu erwartende Einwand aus dem Engineering und von skeptischen Käufern lautet: </w:t>
      </w:r>
      <w:r>
        <w:rPr>
          <w:i/>
          <w:iCs/>
        </w:rPr>
        <w:t>Wir lassen seit dreißig Jahren Tabellenkalkulationen Noten rechnen — was ist eigentlich neu?</w:t>
      </w:r>
      <w:r>
        <w:t xml:space="preserve"> Sieben Antworten.</w:t>
      </w:r>
    </w:p>
    <w:p w14:paraId="7819EF41" w14:textId="77777777" w:rsidR="0090768F" w:rsidRDefault="00000000">
      <w:pPr>
        <w:pStyle w:val="BodyText"/>
      </w:pPr>
      <w:r>
        <w:rPr>
          <w:b/>
          <w:bCs/>
        </w:rPr>
        <w:t>(i) Art. 22 DSGVO hat eine Schwelle, die bloßes Rechnen nie überschreitet.</w:t>
      </w:r>
      <w:r>
        <w:t xml:space="preserve"> Eine Tabelle, die von der Lehrkraft eingegebene Punkte summiert, ist keine ausschließlich automatisierte Entscheidung: Der Mensch hat jeden Eingabewert erzeugt, und Arithmetik ist keine Bewertung. Ein Modell, das eine Freitextantwort liest und </w:t>
      </w:r>
      <w:r>
        <w:rPr>
          <w:i/>
          <w:iCs/>
        </w:rPr>
        <w:t>beurteilt</w:t>
      </w:r>
      <w:r>
        <w:t xml:space="preserve">, erzeugt den Bewertungsgehalt selbst. Das Regime ist </w:t>
      </w:r>
      <w:r>
        <w:rPr>
          <w:b/>
          <w:bCs/>
        </w:rPr>
        <w:t>diskontinuierlich, nicht graduell</w:t>
      </w:r>
      <w:r>
        <w:t xml:space="preserve"> — deshalb ist „das ist nur ein besserer Taschenrechner” rechtlich falsch, was immer es technisch taugt. Und </w:t>
      </w:r>
      <w:r>
        <w:rPr>
          <w:i/>
          <w:iCs/>
        </w:rPr>
        <w:t>SCHUFA</w:t>
      </w:r>
      <w:r>
        <w:t xml:space="preserve"> bedeutet, dass man die Schwelle nicht durch Einschieben eines nominellen </w:t>
      </w:r>
      <w:r>
        <w:lastRenderedPageBreak/>
        <w:t xml:space="preserve">Menschen rückwärts überschreiten kann: Der Maßstab ist verhaltensbezogen, mithin bestimmt die </w:t>
      </w:r>
      <w:r>
        <w:rPr>
          <w:i/>
          <w:iCs/>
        </w:rPr>
        <w:t>Wirksamkeit</w:t>
      </w:r>
      <w:r>
        <w:t xml:space="preserve"> des Werkzeugs die </w:t>
      </w:r>
      <w:r>
        <w:rPr>
          <w:i/>
          <w:iCs/>
        </w:rPr>
        <w:t>Anwendbarkeit</w:t>
      </w:r>
      <w:r>
        <w:t xml:space="preserve"> des Regimes.</w:t>
      </w:r>
    </w:p>
    <w:p w14:paraId="15FC856E" w14:textId="77777777" w:rsidR="0090768F" w:rsidRDefault="00000000">
      <w:pPr>
        <w:pStyle w:val="BodyText"/>
      </w:pPr>
      <w:r>
        <w:rPr>
          <w:b/>
          <w:bCs/>
        </w:rPr>
        <w:t>(ii) Die DSFA wird vom Ermessen zur faktischen Pflicht.</w:t>
      </w:r>
      <w:r>
        <w:t xml:space="preserve"> Bei einer Tabelle endet die Vorprüfung nach Art. 35 regelmäßig mit „kein hohes Risiko”. Bei KI greifen drei Auslöser gleichzeitig (§3.6). Der Dreh- und Angelpunkt ist, dass </w:t>
      </w:r>
      <w:r>
        <w:rPr>
          <w:b/>
          <w:bCs/>
        </w:rPr>
        <w:t>Neuheit selbst ein Risikofaktor</w:t>
      </w:r>
      <w:r>
        <w:t xml:space="preserve"> des europäischen Datenschutzrechts ist — Art. 35 Abs. 1 nennt „insbesondere bei Verwendung neuer Technologien”, WP248 Kriterium 8 lautet „innovative Nutzung”. Keine andere Werkzeugkategorie wird dafür sanktioniert, neu zu sein.</w:t>
      </w:r>
    </w:p>
    <w:p w14:paraId="13978755" w14:textId="77777777" w:rsidR="0090768F" w:rsidRDefault="00000000">
      <w:pPr>
        <w:pStyle w:val="BodyText"/>
      </w:pPr>
      <w:r>
        <w:rPr>
          <w:b/>
          <w:bCs/>
        </w:rPr>
        <w:t>(iii) Ein vollständiges zweites Gesetz tritt hinzu, mit Produktsicherheitsarchitektur.</w:t>
      </w:r>
      <w:r>
        <w:t xml:space="preserve"> Das ist der größte Bruch und derjenige, der Softwareteams am meisten überrascht. Eine Tabelle unterliegt Vertrag, DSGVO und allgemeinem Deliktsrecht. Ein KI-Korrektursystem unterliegt zusätzlich einem Regime des Neuen Rechtsrahmens: Konformitätsbewertung vor dem Inverkehrbringen; eine förmliche </w:t>
      </w:r>
      <w:r>
        <w:rPr>
          <w:b/>
          <w:bCs/>
        </w:rPr>
        <w:t>EU-Konformitätserklärung</w:t>
      </w:r>
      <w:r>
        <w:t xml:space="preserve">, die das Unternehmen unterzeichnet; </w:t>
      </w:r>
      <w:r>
        <w:rPr>
          <w:b/>
          <w:bCs/>
        </w:rPr>
        <w:t>CE-Kennzeichnung</w:t>
      </w:r>
      <w:r>
        <w:t xml:space="preserve"> — dasselbe Zeichen wie auf einem Toaster oder einem Aufzug; Registrierung in einer </w:t>
      </w:r>
      <w:r>
        <w:rPr>
          <w:b/>
          <w:bCs/>
        </w:rPr>
        <w:t>öffentlichen EU-Datenbank</w:t>
      </w:r>
      <w:r>
        <w:t xml:space="preserve">; ein </w:t>
      </w:r>
      <w:r>
        <w:rPr>
          <w:b/>
          <w:bCs/>
        </w:rPr>
        <w:t>Qualitätsmanagementsystem</w:t>
      </w:r>
      <w:r>
        <w:t>; Beobachtung nach dem Inverkehrbringen und Meldung schwerwiegender Vorfälle in Fristen von 15/10/2 Tagen; und Marktüberwachungsbehörden mit der Befugnis, Unterlagen zu verlangen, zu testen und das Produkt vom Markt zu nehmen. Das ist eine organisatorische, keine juristische Änderung: Jemand muss das QMS verantworten, jemand die Erklärung unterzeichnen, und in irgendeinem Kalender muss die 15-Tage-Frist stehen.</w:t>
      </w:r>
    </w:p>
    <w:p w14:paraId="372F8E76" w14:textId="77777777" w:rsidR="0090768F" w:rsidRDefault="00000000">
      <w:pPr>
        <w:pStyle w:val="BodyText"/>
      </w:pPr>
      <w:r>
        <w:rPr>
          <w:b/>
          <w:bCs/>
        </w:rPr>
        <w:t>(iv) Trainingsdaten und Sekundärnutzung kollidieren mit der Zweckbindung.</w:t>
      </w:r>
      <w:r>
        <w:t xml:space="preserve"> Eine Tabelle lernt nicht. Ein Modell schon, und der Anreiz, es auf Kundenarbeiten zu verbessern, ist strukturell. Zweckbindung, die für Verantwortliche nach Art. 6 Abs. 1 Buchst. e verengte Vereinbarkeitsprüfung und die EDSA-Stellungnahme 28/2024 führen zusammen dazu, dass </w:t>
      </w:r>
      <w:r>
        <w:rPr>
          <w:b/>
          <w:bCs/>
        </w:rPr>
        <w:t>die natürlichste Produktverbesserungsschleife das rechtlich gefährlichste ist, was das Unternehmen tun kann</w:t>
      </w:r>
      <w:r>
        <w:t xml:space="preserve">. Art. 10 KI-VO fügt dem eine positive </w:t>
      </w:r>
      <w:r>
        <w:rPr>
          <w:i/>
          <w:iCs/>
        </w:rPr>
        <w:t>Pflicht</w:t>
      </w:r>
      <w:r>
        <w:t xml:space="preserve"> zu Herkunft, Repräsentativität und Verzerrungseigenschaften dieser Daten hinzu — ohne Entsprechung bei herkömmlicher Software.</w:t>
      </w:r>
    </w:p>
    <w:p w14:paraId="367922C1" w14:textId="77777777" w:rsidR="0090768F" w:rsidRDefault="00000000">
      <w:pPr>
        <w:pStyle w:val="BodyText"/>
      </w:pPr>
      <w:r>
        <w:rPr>
          <w:b/>
          <w:bCs/>
        </w:rPr>
        <w:t>(v) Erklärbarkeit trifft auf das Begründungserfordernis des Verwaltungs- und Prüfungsrechts.</w:t>
      </w:r>
      <w:r>
        <w:t xml:space="preserve"> Zwei Anforderungen laufen zusammen. Datenschutzrechtlich verlangt </w:t>
      </w:r>
      <w:r>
        <w:rPr>
          <w:i/>
          <w:iCs/>
        </w:rPr>
        <w:t>Dun &amp; Bradstreet</w:t>
      </w:r>
      <w:r>
        <w:t xml:space="preserve"> „das Verfahren und die Grundsätze, die tatsächlich angewandt wurden”. Prüfungsrechtlich muss der Prüfer gerichtlich überprüfbare Gründe geben und im Überdenkensverfahren — Monate später — sein Urteil </w:t>
      </w:r>
      <w:r>
        <w:rPr>
          <w:i/>
          <w:iCs/>
        </w:rPr>
        <w:t>erneut ausüben</w:t>
      </w:r>
      <w:r>
        <w:t xml:space="preserve">. Ein Modell, das „7/10” ohne Begründung ausgibt, ist daher nicht bloß wenig hilfreich; </w:t>
      </w:r>
      <w:r>
        <w:rPr>
          <w:b/>
          <w:bCs/>
        </w:rPr>
        <w:t>es hindert die einsetzende Behörde daran, ihre eigene Rechtspflicht zu erfüllen.</w:t>
      </w:r>
      <w:r>
        <w:t xml:space="preserve"> Kriterienbezogene Begründungserzeugung ist eine Rechtsanforderung an das Produkt, keine Funktion. Praktisch heißt das: ein dauerhafter, exportierbarer Prüfpfad je Arbeit — Originalscan, Rasterversion, Modellversion, Vorschlag, Änderungen der Lehrkraft, Endnote und Gründe — also genau das, was auch Art. 12 KI-VO verlangen wird.</w:t>
      </w:r>
    </w:p>
    <w:p w14:paraId="60371071" w14:textId="77777777" w:rsidR="0090768F" w:rsidRDefault="00000000">
      <w:pPr>
        <w:pStyle w:val="BodyText"/>
      </w:pPr>
      <w:r>
        <w:rPr>
          <w:b/>
          <w:bCs/>
        </w:rPr>
        <w:t>(vi) Genauigkeit und Bias werden zu gemessenen, ausgewiesenen und gepflegten Eigenschaften.</w:t>
      </w:r>
      <w:r>
        <w:t xml:space="preserve"> Die Arithmetik einer Tabelle ist richtig oder ein Fehler. Die Genauigkeit </w:t>
      </w:r>
      <w:r>
        <w:lastRenderedPageBreak/>
        <w:t xml:space="preserve">eines Modells ist eine statistische Eigenschaft und unterliegt Art. 15 KI-VO (ausgewiesene Kennzahlen in der Betriebsanleitung), Art. 10 Abs. 2 Buchst. f–g (Untersuchung und Minderung von Verzerrungen), Art. 10 Abs. 3 (repräsentative, fehlerfreie, vollständige Datensätze), Art. 10 Abs. 4 (kontextspezifische Validierung) sowie Art. 5 Abs. 1 Buchst. a und d DSGVO. </w:t>
      </w:r>
      <w:r>
        <w:rPr>
          <w:b/>
          <w:bCs/>
        </w:rPr>
        <w:t>Niemand musste je nachweisen, dass eine Tabellenkalkulation dialektneutral ist.</w:t>
      </w:r>
      <w:r>
        <w:t xml:space="preserve"> Wir werden nachweisen müssen, dass das Modell nicht systematisch strenger gegenüber nichtmuttersprachlicher Syntax, legasthener Orthographie oder unsauberer Handschrift ist — und das nach jedem Modellupdate erneut. </w:t>
      </w:r>
      <w:r>
        <w:rPr>
          <w:b/>
          <w:bCs/>
        </w:rPr>
        <w:t>Das ist eine dauerhafte, wiederkehrende Engineering-Kostenposition und gehört in den Finanzplan, nicht ins Risikoregister.</w:t>
      </w:r>
    </w:p>
    <w:p w14:paraId="3B7EA015" w14:textId="77777777" w:rsidR="0090768F" w:rsidRDefault="00000000">
      <w:pPr>
        <w:pStyle w:val="BodyText"/>
      </w:pPr>
      <w:r>
        <w:rPr>
          <w:b/>
          <w:bCs/>
        </w:rPr>
        <w:t>(vii) Automation Bias wird zum Rechts-, nicht bloß zum UX-Problem.</w:t>
      </w:r>
      <w:r>
        <w:t xml:space="preserve"> Das ist die Synthese. Derselbe menschliche Faktor — die Neigung der Lehrkraft, die Maschinenantwort zu übernehmen — erscheint in drei Instrumenten, die drei verschiedene Beteiligte binden:</w:t>
      </w:r>
    </w:p>
    <w:tbl>
      <w:tblPr>
        <w:tblStyle w:val="Table"/>
        <w:tblW w:w="5000" w:type="pct"/>
        <w:tblLook w:val="0020" w:firstRow="1" w:lastRow="0" w:firstColumn="0" w:lastColumn="0" w:noHBand="0" w:noVBand="0"/>
      </w:tblPr>
      <w:tblGrid>
        <w:gridCol w:w="3215"/>
        <w:gridCol w:w="2764"/>
        <w:gridCol w:w="3381"/>
      </w:tblGrid>
      <w:tr w:rsidR="0090768F" w14:paraId="0D03A044"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03D02817" w14:textId="77777777" w:rsidR="0090768F" w:rsidRDefault="00000000">
            <w:pPr>
              <w:pStyle w:val="Compact"/>
            </w:pPr>
            <w:r>
              <w:t>Instrument</w:t>
            </w:r>
          </w:p>
        </w:tc>
        <w:tc>
          <w:tcPr>
            <w:tcW w:w="0" w:type="auto"/>
          </w:tcPr>
          <w:p w14:paraId="639EA164" w14:textId="77777777" w:rsidR="0090768F" w:rsidRDefault="00000000">
            <w:pPr>
              <w:pStyle w:val="Compact"/>
            </w:pPr>
            <w:r>
              <w:t>Bindet</w:t>
            </w:r>
          </w:p>
        </w:tc>
        <w:tc>
          <w:tcPr>
            <w:tcW w:w="0" w:type="auto"/>
          </w:tcPr>
          <w:p w14:paraId="57A26B85" w14:textId="77777777" w:rsidR="0090768F" w:rsidRDefault="00000000">
            <w:pPr>
              <w:pStyle w:val="Compact"/>
            </w:pPr>
            <w:r>
              <w:t>Verlangt</w:t>
            </w:r>
          </w:p>
        </w:tc>
      </w:tr>
      <w:tr w:rsidR="0090768F" w14:paraId="0FC37869" w14:textId="77777777">
        <w:tc>
          <w:tcPr>
            <w:tcW w:w="0" w:type="auto"/>
          </w:tcPr>
          <w:p w14:paraId="5F280719" w14:textId="77777777" w:rsidR="0090768F" w:rsidRDefault="00000000">
            <w:pPr>
              <w:pStyle w:val="Compact"/>
            </w:pPr>
            <w:r>
              <w:t>Art. 22 DSGVO + WP251rev.01 (</w:t>
            </w:r>
            <w:r>
              <w:rPr>
                <w:i/>
                <w:iCs/>
              </w:rPr>
              <w:t>„aussagekräftig und nicht nur eine symbolische Geste”</w:t>
            </w:r>
            <w:r>
              <w:t>)</w:t>
            </w:r>
          </w:p>
        </w:tc>
        <w:tc>
          <w:tcPr>
            <w:tcW w:w="0" w:type="auto"/>
          </w:tcPr>
          <w:p w14:paraId="1DA54557" w14:textId="77777777" w:rsidR="0090768F" w:rsidRDefault="00000000">
            <w:pPr>
              <w:pStyle w:val="Compact"/>
            </w:pPr>
            <w:r>
              <w:t>den Verantwortlichen (die Schule)</w:t>
            </w:r>
          </w:p>
        </w:tc>
        <w:tc>
          <w:tcPr>
            <w:tcW w:w="0" w:type="auto"/>
          </w:tcPr>
          <w:p w14:paraId="6861ECBA" w14:textId="77777777" w:rsidR="0090768F" w:rsidRDefault="00000000">
            <w:pPr>
              <w:pStyle w:val="Compact"/>
            </w:pPr>
            <w:r>
              <w:t>dass die Prüfung echt ist</w:t>
            </w:r>
          </w:p>
        </w:tc>
      </w:tr>
      <w:tr w:rsidR="0090768F" w14:paraId="65E60F2E" w14:textId="77777777">
        <w:tc>
          <w:tcPr>
            <w:tcW w:w="0" w:type="auto"/>
          </w:tcPr>
          <w:p w14:paraId="58EF09A4" w14:textId="77777777" w:rsidR="0090768F" w:rsidRDefault="00000000">
            <w:pPr>
              <w:pStyle w:val="Compact"/>
            </w:pPr>
            <w:r>
              <w:t xml:space="preserve">EuGH C-634/21 </w:t>
            </w:r>
            <w:r>
              <w:rPr>
                <w:i/>
                <w:iCs/>
              </w:rPr>
              <w:t>SCHUFA</w:t>
            </w:r>
            <w:r>
              <w:t xml:space="preserve"> („maßgeblich”)</w:t>
            </w:r>
          </w:p>
        </w:tc>
        <w:tc>
          <w:tcPr>
            <w:tcW w:w="0" w:type="auto"/>
          </w:tcPr>
          <w:p w14:paraId="6551CCF1" w14:textId="77777777" w:rsidR="0090768F" w:rsidRDefault="00000000">
            <w:pPr>
              <w:pStyle w:val="Compact"/>
            </w:pPr>
            <w:r>
              <w:t>beide</w:t>
            </w:r>
          </w:p>
        </w:tc>
        <w:tc>
          <w:tcPr>
            <w:tcW w:w="0" w:type="auto"/>
          </w:tcPr>
          <w:p w14:paraId="0E3016C4" w14:textId="77777777" w:rsidR="0090768F" w:rsidRDefault="00000000">
            <w:pPr>
              <w:pStyle w:val="Compact"/>
            </w:pPr>
            <w:r>
              <w:t>dass die Orientierung nicht faktisch entscheidend ist</w:t>
            </w:r>
          </w:p>
        </w:tc>
      </w:tr>
      <w:tr w:rsidR="0090768F" w14:paraId="1A0D1B60" w14:textId="77777777">
        <w:tc>
          <w:tcPr>
            <w:tcW w:w="0" w:type="auto"/>
          </w:tcPr>
          <w:p w14:paraId="45E13778" w14:textId="77777777" w:rsidR="0090768F" w:rsidRDefault="00000000">
            <w:pPr>
              <w:pStyle w:val="Compact"/>
            </w:pPr>
            <w:r>
              <w:t>Art. 14 Abs. 4 Buchst. b + Art. 26 Abs. 2 KI-VO</w:t>
            </w:r>
          </w:p>
        </w:tc>
        <w:tc>
          <w:tcPr>
            <w:tcW w:w="0" w:type="auto"/>
          </w:tcPr>
          <w:p w14:paraId="6C19D5AD" w14:textId="77777777" w:rsidR="0090768F" w:rsidRDefault="00000000">
            <w:pPr>
              <w:pStyle w:val="Compact"/>
            </w:pPr>
            <w:r>
              <w:t>den Anbieter (Gestaltung) und den Betreiber (Personal)</w:t>
            </w:r>
          </w:p>
        </w:tc>
        <w:tc>
          <w:tcPr>
            <w:tcW w:w="0" w:type="auto"/>
          </w:tcPr>
          <w:p w14:paraId="36273AF2" w14:textId="77777777" w:rsidR="0090768F" w:rsidRDefault="00000000">
            <w:pPr>
              <w:pStyle w:val="Compact"/>
            </w:pPr>
            <w:r>
              <w:t xml:space="preserve">dass das System dem </w:t>
            </w:r>
            <w:r>
              <w:rPr>
                <w:i/>
                <w:iCs/>
              </w:rPr>
              <w:t>entgegengestaltet</w:t>
            </w:r>
            <w:r>
              <w:t xml:space="preserve"> ist und die Menschen kompetent und befugt sind</w:t>
            </w:r>
          </w:p>
        </w:tc>
      </w:tr>
    </w:tbl>
    <w:p w14:paraId="03DFF3F7" w14:textId="77777777" w:rsidR="0090768F" w:rsidRDefault="00000000">
      <w:pPr>
        <w:pStyle w:val="BodyText"/>
      </w:pPr>
      <w:r>
        <w:t xml:space="preserve">Eine Oberflächenentscheidung — wo die Zahl erscheint, wie viele Klicks die Übernahme kostet — ist damit zugleich der Maßstab dafür, ob die Schule innerhalb des Art. 22 steht, eine Designpflicht nach Art. 14 für uns, eine Personalpflicht nach Art. 26 Abs. 2 für die Schule und die Nachweisgrundlage nach Art. 12, die das Argument im Prüfungsfall trägt oder zerstört. </w:t>
      </w:r>
      <w:r>
        <w:rPr>
          <w:b/>
          <w:bCs/>
        </w:rPr>
        <w:t xml:space="preserve">Bei einer Tabellenkalkulation ist die Oberfläche eine Usability-Frage. Hier </w:t>
      </w:r>
      <w:r>
        <w:rPr>
          <w:b/>
          <w:bCs/>
          <w:i/>
          <w:iCs/>
        </w:rPr>
        <w:t>ist</w:t>
      </w:r>
      <w:r>
        <w:rPr>
          <w:b/>
          <w:bCs/>
        </w:rPr>
        <w:t xml:space="preserve"> die Oberfläche die Compliance-Position.</w:t>
      </w:r>
    </w:p>
    <w:p w14:paraId="419F0626" w14:textId="77777777" w:rsidR="0090768F" w:rsidRDefault="00000000">
      <w:pPr>
        <w:pStyle w:val="Heading2"/>
      </w:pPr>
      <w:bookmarkStart w:id="147" w:name="X8ebdc79177fc5e815a526d092ae55ac5406e6c9"/>
      <w:bookmarkStart w:id="148" w:name="_Toc240060420"/>
      <w:bookmarkEnd w:id="145"/>
      <w:r>
        <w:t>7. Frage 5 — Darf eine Lehrkraft den Dienst nutzen, oder muss die Schule ihn genehmigen?</w:t>
      </w:r>
      <w:bookmarkEnd w:id="148"/>
    </w:p>
    <w:p w14:paraId="0CBBBB38" w14:textId="77777777" w:rsidR="0090768F" w:rsidRDefault="00000000">
      <w:pPr>
        <w:pStyle w:val="FirstParagraph"/>
      </w:pPr>
      <w:r>
        <w:rPr>
          <w:b/>
          <w:bCs/>
        </w:rPr>
        <w:t>Kurzantwort: In keinem der drei Länder darf sich eine Lehrkraft allein anmelden. Und das Risiko trifft nicht in erster Linie uns — es trifft die Lehrkraft persönlich und die Schule. Diese Asymmetrie ist für sich genommen ein Grund, das Modell nicht zu bauen.</w:t>
      </w:r>
    </w:p>
    <w:p w14:paraId="190A1DE6" w14:textId="77777777" w:rsidR="0090768F" w:rsidRDefault="00000000">
      <w:pPr>
        <w:pStyle w:val="Heading3"/>
      </w:pPr>
      <w:bookmarkStart w:id="149" w:name="deutschland"/>
      <w:r>
        <w:lastRenderedPageBreak/>
        <w:t>7.1 Deutschland</w:t>
      </w:r>
    </w:p>
    <w:p w14:paraId="3429D021" w14:textId="77777777" w:rsidR="0090768F" w:rsidRDefault="00000000">
      <w:pPr>
        <w:pStyle w:val="FirstParagraph"/>
      </w:pPr>
      <w:r>
        <w:rPr>
          <w:b/>
          <w:bCs/>
        </w:rPr>
        <w:t>Wer ist Verantwortlicher.</w:t>
      </w:r>
      <w:r>
        <w:t xml:space="preserve"> Die Schule. NRW sagt es ausdrücklich, sogar für die Verarbeitung auf einem Privatgerät der Lehrkraft: </w:t>
      </w:r>
      <w:r>
        <w:rPr>
          <w:i/>
          <w:iCs/>
        </w:rPr>
        <w:t>„ist die Schule Verantwortlicher im Sinne des Artikels 4 Nummer 7 der DSGVO”</w:t>
      </w:r>
      <w:r>
        <w:t xml:space="preserve"> (§ 2 Abs. 2 VO-DV I); die Schulleitung trägt die datenschutzrechtliche Gesamtverantwortung. Bayern: </w:t>
      </w:r>
      <w:r>
        <w:rPr>
          <w:i/>
          <w:iCs/>
        </w:rPr>
        <w:t>„jede bayerische öffentliche Schule als datenschutzrechtlich verantwortliche Stelle”</w:t>
      </w:r>
      <w:r>
        <w:t xml:space="preserve">. Niedersachsen macht den Plattformeinsatz davon abhängig, dass </w:t>
      </w:r>
      <w:r>
        <w:rPr>
          <w:i/>
          <w:iCs/>
        </w:rPr>
        <w:t>„die Schulleitung dem Einsatz zugestimmt hat”</w:t>
      </w:r>
      <w:r>
        <w:t xml:space="preserve"> (§ 31 Abs. 5 NSchG). Die allgemeine Formel der DSK lautet: </w:t>
      </w:r>
      <w:r>
        <w:rPr>
          <w:i/>
          <w:iCs/>
        </w:rPr>
        <w:t>„Maßgeblich ist, welche Stelle über den grundsätzlichen Einsatz … und die näheren Umstände der Umsetzung verantwortlich entscheidet.”</w:t>
      </w:r>
    </w:p>
    <w:p w14:paraId="43225815" w14:textId="77777777" w:rsidR="0090768F" w:rsidRDefault="00000000">
      <w:pPr>
        <w:pStyle w:val="BodyText"/>
      </w:pPr>
      <w:r>
        <w:t xml:space="preserve">Zu beachten ist die </w:t>
      </w:r>
      <w:r>
        <w:rPr>
          <w:b/>
          <w:bCs/>
        </w:rPr>
        <w:t>Trennung zum Schulträger</w:t>
      </w:r>
      <w:r>
        <w:t xml:space="preserve">: Der Schulträger stellt die </w:t>
      </w:r>
      <w:r>
        <w:rPr>
          <w:i/>
          <w:iCs/>
        </w:rPr>
        <w:t>äußeren Schulangelegenheiten</w:t>
      </w:r>
      <w:r>
        <w:t xml:space="preserve"> — Gebäude, Hardware, Netz —, während Unterricht und Leistungsbewertung bei Schule und Land liegen. </w:t>
      </w:r>
      <w:r>
        <w:rPr>
          <w:b/>
          <w:bCs/>
        </w:rPr>
        <w:t>Wir sind eindeutig eine innere Angelegenheit; der Schulträger ist nicht unser Vertragspartner, auch wenn ihm die Geräte gehören.</w:t>
      </w:r>
      <w:r>
        <w:t xml:space="preserve"> Dies im Vertriebsgespräch zu verwechseln, ist ein häufiger und teurer Fehler.</w:t>
      </w:r>
    </w:p>
    <w:p w14:paraId="1799EC28" w14:textId="77777777" w:rsidR="0090768F" w:rsidRDefault="00000000">
      <w:pPr>
        <w:pStyle w:val="BodyText"/>
      </w:pPr>
      <w:r>
        <w:rPr>
          <w:b/>
          <w:bCs/>
        </w:rPr>
        <w:t>Die Lehrkraft steht innerhalb des Verantwortlichen, sie ist nicht Verantwortliche.</w:t>
      </w:r>
      <w:r>
        <w:t xml:space="preserve"> Eine Lehrkraft ist Beschäftigte im Sinne des Art. 29 DSGVO und handelt auf Weisung. Drei Folgen:</w:t>
      </w:r>
    </w:p>
    <w:p w14:paraId="07057BCC" w14:textId="77777777" w:rsidR="0090768F" w:rsidRDefault="00000000">
      <w:pPr>
        <w:pStyle w:val="Compact"/>
        <w:numPr>
          <w:ilvl w:val="0"/>
          <w:numId w:val="36"/>
        </w:numPr>
      </w:pPr>
      <w:r>
        <w:rPr>
          <w:b/>
          <w:bCs/>
        </w:rPr>
        <w:t>Eine Lehrkraft kann keinen Auftragsverarbeitungsvertrag schließen.</w:t>
      </w:r>
      <w:r>
        <w:t xml:space="preserve"> Ein AVV bindet den Verantwortlichen; eine Lehrkraft ohne Vertretungsmacht kann weder Schule noch Land binden. Ein per Click-Wrap akzeptierter „AVV” ist gegenüber dem Verantwortlichen unwirksam — womit die Übermittlung der Schülerdaten an uns </w:t>
      </w:r>
      <w:r>
        <w:rPr>
          <w:b/>
          <w:bCs/>
        </w:rPr>
        <w:t>überhaupt keine Grundlage nach Art. 28</w:t>
      </w:r>
      <w:r>
        <w:t xml:space="preserve"> hat, also eine unzulässige Offenlegung an einen Dritten statt einer Auftragsverarbeitung ist.</w:t>
      </w:r>
    </w:p>
    <w:p w14:paraId="786AFC99" w14:textId="77777777" w:rsidR="0090768F" w:rsidRDefault="00000000">
      <w:pPr>
        <w:pStyle w:val="Compact"/>
        <w:numPr>
          <w:ilvl w:val="0"/>
          <w:numId w:val="36"/>
        </w:numPr>
      </w:pPr>
      <w:r>
        <w:rPr>
          <w:b/>
          <w:bCs/>
        </w:rPr>
        <w:t>Verbot mit Erlaubnisvorbehalt.</w:t>
      </w:r>
      <w:r>
        <w:t xml:space="preserve"> Die Verordnungen zählen zulässige Daten und Verarbeitungen abschließend auf. Alles darüber hinaus ist ohne gesonderte Rechtfertigung untersagt, und die Lehrkraft kann sich nicht selbst ermächtigen.</w:t>
      </w:r>
    </w:p>
    <w:p w14:paraId="3B698254" w14:textId="77777777" w:rsidR="0090768F" w:rsidRDefault="00000000">
      <w:pPr>
        <w:pStyle w:val="Compact"/>
        <w:numPr>
          <w:ilvl w:val="0"/>
          <w:numId w:val="36"/>
        </w:numPr>
      </w:pPr>
      <w:r>
        <w:rPr>
          <w:b/>
          <w:bCs/>
        </w:rPr>
        <w:t>Die Verarbeitung auf Privatgeräten bedarf der schriftlichen Genehmigung</w:t>
      </w:r>
      <w:r>
        <w:t xml:space="preserve"> der Schulleitung, mit Verarbeitungsverzeichnis und angemessenem Zugangsschutz (NRW); in Bayern ist die Verarbeitung für schulische Zwecke grundsätzlich nur auf schulischen Endgeräten zulässig.</w:t>
      </w:r>
    </w:p>
    <w:p w14:paraId="59B99706" w14:textId="77777777" w:rsidR="0090768F" w:rsidRDefault="00000000">
      <w:pPr>
        <w:pStyle w:val="FirstParagraph"/>
      </w:pPr>
      <w:r>
        <w:t xml:space="preserve">Die </w:t>
      </w:r>
      <w:r>
        <w:rPr>
          <w:i/>
          <w:iCs/>
        </w:rPr>
        <w:t>Orientierungshilfe Online-Lernplattformen</w:t>
      </w:r>
      <w:r>
        <w:t xml:space="preserve"> der DSK von 2018 ist der unmittelbar einschlägigste Aufsichtstext:</w:t>
      </w:r>
    </w:p>
    <w:p w14:paraId="3FE39819" w14:textId="77777777" w:rsidR="0090768F" w:rsidRDefault="00000000">
      <w:pPr>
        <w:pStyle w:val="BlockText"/>
      </w:pPr>
      <w:r>
        <w:rPr>
          <w:i/>
          <w:iCs/>
        </w:rPr>
        <w:t>„Lehrende dürfen im Rahmen der Freiheit der Gestaltung des Unterrichts nur insoweit Online-Lernplattformen im Unterricht einsetzen, als die Schule oder die Schulaufsicht über den Einsatz der jeweiligen Online-Lernplattform entschieden hat.”</w:t>
      </w:r>
    </w:p>
    <w:p w14:paraId="194EC589" w14:textId="77777777" w:rsidR="0090768F" w:rsidRDefault="00000000">
      <w:pPr>
        <w:pStyle w:val="FirstParagraph"/>
      </w:pPr>
      <w:r>
        <w:rPr>
          <w:b/>
          <w:bCs/>
        </w:rPr>
        <w:t>Persönliches Risiko.</w:t>
      </w:r>
      <w:r>
        <w:t xml:space="preserve"> Noten und Leistungsbeurteilungen unterliegen der Amtsverschwiegenheit (§ 37 BeamtStG für Beamte, entsprechende vertragliche Pflichten im Übrigen). Die Offenlegung gegenüber einem unbefugten Dritten ist eine </w:t>
      </w:r>
      <w:r>
        <w:lastRenderedPageBreak/>
        <w:t xml:space="preserve">Dienstpflichtverletzung und am strafrechtlichen Rand ein Fall des </w:t>
      </w:r>
      <w:r>
        <w:rPr>
          <w:b/>
          <w:bCs/>
        </w:rPr>
        <w:t>§ 203 Abs. 2 StGB</w:t>
      </w:r>
      <w:r>
        <w:t>. In NRW enthält § 10 VO-DV I zusätzlich eine Ordnungswidrigkeitenregelung.</w:t>
      </w:r>
    </w:p>
    <w:p w14:paraId="7DFCD30F" w14:textId="77777777" w:rsidR="0090768F" w:rsidRDefault="00000000">
      <w:pPr>
        <w:pStyle w:val="BodyText"/>
      </w:pPr>
      <w:r>
        <w:rPr>
          <w:b/>
          <w:bCs/>
        </w:rPr>
        <w:t>Ergebnis.</w:t>
      </w:r>
      <w:r>
        <w:t xml:space="preserve"> Eine Vertriebsstrategie, die stillschweigend auf Einzelanmeldungen von Lehrkräften setzt, verlagert das Regulierungsrisiko des Unternehmens auf seine eigenen Nutzer. Das ist ein rechtliches und ein Reputationsproblem — und die Art von Sachverhalt, die öffentlich schlecht endet. </w:t>
      </w:r>
      <w:r>
        <w:rPr>
          <w:b/>
          <w:bCs/>
        </w:rPr>
        <w:t>Das Lehrkraft-Direktmodell mit echten Schülerarbeiten nicht ausliefern.</w:t>
      </w:r>
    </w:p>
    <w:p w14:paraId="6739F2CA" w14:textId="77777777" w:rsidR="0090768F" w:rsidRDefault="00000000">
      <w:pPr>
        <w:pStyle w:val="Heading3"/>
      </w:pPr>
      <w:bookmarkStart w:id="150" w:name="X551012fd2054ef86d035d20ea87039fd2bc14f0"/>
      <w:bookmarkEnd w:id="149"/>
      <w:r>
        <w:t>7.2 Rettet die Anonymisierung das Modell? Mit hoher Wahrscheinlichkeit nicht</w:t>
      </w:r>
    </w:p>
    <w:p w14:paraId="35241177" w14:textId="77777777" w:rsidR="0090768F" w:rsidRDefault="00000000">
      <w:pPr>
        <w:pStyle w:val="FirstParagraph"/>
      </w:pPr>
      <w:r>
        <w:t>Die Theorie ist tragfähig — vollständig anonymisierte Arbeiten, keine Identifikatoren, Lehrkraft als Privatperson —, aber die Umsetzung scheitert an der Handschrift.</w:t>
      </w:r>
    </w:p>
    <w:p w14:paraId="43BED327" w14:textId="77777777" w:rsidR="0090768F" w:rsidRDefault="00000000">
      <w:pPr>
        <w:pStyle w:val="Compact"/>
        <w:numPr>
          <w:ilvl w:val="0"/>
          <w:numId w:val="37"/>
        </w:numPr>
      </w:pPr>
      <w:r>
        <w:rPr>
          <w:b/>
          <w:bCs/>
        </w:rPr>
        <w:t>Handschrift ist ein dauerhaftes, individuelles, re-identifizierendes Merkmal.</w:t>
      </w:r>
      <w:r>
        <w:t xml:space="preserve"> Das Weglassen des Namens anonymisiert das Bild nicht. In einer Klasse von 25–30 identifiziert die Handschrift allein, und Empfänger der Ausgabe ist die Lehrkraft, die jede Handschrift im Raum kennt.</w:t>
      </w:r>
    </w:p>
    <w:p w14:paraId="0AB75F9B" w14:textId="77777777" w:rsidR="0090768F" w:rsidRDefault="00000000">
      <w:pPr>
        <w:pStyle w:val="Compact"/>
        <w:numPr>
          <w:ilvl w:val="0"/>
          <w:numId w:val="37"/>
        </w:numPr>
      </w:pPr>
      <w:r>
        <w:rPr>
          <w:b/>
          <w:bCs/>
        </w:rPr>
        <w:t>ErwGr. 26 fragt, ob die Identifizierung für irgendjemanden nach allgemeinem Ermessen wahrscheinlich ist, einschließlich des Empfängers.</w:t>
      </w:r>
      <w:r>
        <w:t xml:space="preserve"> Hier ist sie nicht bloß wahrscheinlich, sie ist der Zweck. Das DKJS-Memorandum trifft berichteten Angaben zufolge denselben Punkt: Die Lehrkraft re-identifiziert im Moment der Notenvergabe.</w:t>
      </w:r>
    </w:p>
    <w:p w14:paraId="37DB6805" w14:textId="77777777" w:rsidR="0090768F" w:rsidRDefault="00000000">
      <w:pPr>
        <w:pStyle w:val="Compact"/>
        <w:numPr>
          <w:ilvl w:val="0"/>
          <w:numId w:val="37"/>
        </w:numPr>
      </w:pPr>
      <w:r>
        <w:rPr>
          <w:b/>
          <w:bCs/>
        </w:rPr>
        <w:t>Der Inhalt re-identifiziert.</w:t>
      </w:r>
      <w:r>
        <w:t xml:space="preserve"> Aufsätze enthalten persönliche Details, Mathematikrechnungen individuelle Fehlermuster.</w:t>
      </w:r>
    </w:p>
    <w:p w14:paraId="77324FD2" w14:textId="77777777" w:rsidR="0090768F" w:rsidRDefault="00000000">
      <w:pPr>
        <w:pStyle w:val="Compact"/>
        <w:numPr>
          <w:ilvl w:val="0"/>
          <w:numId w:val="37"/>
        </w:numPr>
      </w:pPr>
      <w:r>
        <w:rPr>
          <w:b/>
          <w:bCs/>
        </w:rPr>
        <w:t>Art.-9-Überlagerung.</w:t>
      </w:r>
      <w:r>
        <w:t xml:space="preserve"> Handschrift und Fehlermuster können Legasthenie, Dyskalkulie oder motorische Beeinträchtigung offenlegen — Gesundheitsdaten, beabsichtigt oder nicht.</w:t>
      </w:r>
    </w:p>
    <w:p w14:paraId="602D1A7B" w14:textId="77777777" w:rsidR="0090768F" w:rsidRDefault="00000000">
      <w:pPr>
        <w:pStyle w:val="FirstParagraph"/>
      </w:pPr>
      <w:r>
        <w:rPr>
          <w:b/>
          <w:bCs/>
        </w:rPr>
        <w:t>Die enge Variante, die trägt und gebaut werden sollte:</w:t>
      </w:r>
      <w:r>
        <w:t xml:space="preserve"> getippte Eingaben ohne Identifikatoren und ohne Zuordnung zu einzelnen Schülern; und für die privat handelnde Lehrkraft die Erstellung von Bewertungsrastern, Musterlösungen, Aufgabenentwürfen und Kalibrierung an synthetischen Arbeiten. </w:t>
      </w:r>
      <w:r>
        <w:rPr>
          <w:b/>
          <w:bCs/>
        </w:rPr>
        <w:t>Keine echten Schülerarbeiten.</w:t>
      </w:r>
      <w:r>
        <w:t xml:space="preserve"> Das ist ein echtes, zulässiges, verkaufbares Produkt — nur nicht das im Deck beschriebene.</w:t>
      </w:r>
    </w:p>
    <w:p w14:paraId="3D5DCFCE" w14:textId="77777777" w:rsidR="0090768F" w:rsidRDefault="00000000">
      <w:pPr>
        <w:pStyle w:val="Heading3"/>
      </w:pPr>
      <w:bookmarkStart w:id="151" w:name="vereinigtes-königreich"/>
      <w:bookmarkEnd w:id="150"/>
      <w:r>
        <w:t>7.3 Vereinigtes Königreich</w:t>
      </w:r>
    </w:p>
    <w:p w14:paraId="52F9D39F" w14:textId="77777777" w:rsidR="0090768F" w:rsidRDefault="00000000">
      <w:pPr>
        <w:pStyle w:val="FirstParagraph"/>
      </w:pPr>
      <w:r>
        <w:t xml:space="preserve">Dasselbe Ergebnis auf leicht anderem Weg. Verantwortlicher ist das </w:t>
      </w:r>
      <w:r>
        <w:rPr>
          <w:i/>
          <w:iCs/>
        </w:rPr>
        <w:t>governing body</w:t>
      </w:r>
      <w:r>
        <w:t xml:space="preserve"> (maintained school), der </w:t>
      </w:r>
      <w:r>
        <w:rPr>
          <w:i/>
          <w:iCs/>
        </w:rPr>
        <w:t>academy trust</w:t>
      </w:r>
      <w:r>
        <w:t xml:space="preserve"> (Akademien — der Trust unterzeichnet, nicht die Schule), die Einrichtung (Privatschule, FE, HE) und in </w:t>
      </w:r>
      <w:r>
        <w:rPr>
          <w:b/>
          <w:bCs/>
        </w:rPr>
        <w:t>Schottland die Kommune</w:t>
      </w:r>
      <w:r>
        <w:t xml:space="preserve">. DfE: </w:t>
      </w:r>
      <w:r>
        <w:rPr>
          <w:i/>
          <w:iCs/>
        </w:rPr>
        <w:t>„the school or the multi-academy trust is the data controller”</w:t>
      </w:r>
      <w:r>
        <w:t xml:space="preserve">; </w:t>
      </w:r>
      <w:r>
        <w:rPr>
          <w:i/>
          <w:iCs/>
        </w:rPr>
        <w:t>„the responsibility and accountability for compliance sits with governors and trustees.”</w:t>
      </w:r>
    </w:p>
    <w:p w14:paraId="55386708" w14:textId="77777777" w:rsidR="0090768F" w:rsidRDefault="00000000">
      <w:pPr>
        <w:pStyle w:val="BodyText"/>
      </w:pPr>
      <w:r>
        <w:t xml:space="preserve">Eine Lehrkraft, die Arbeiten in ein nicht freigegebenes Werkzeug hochlädt, verarbeitet außerhalb der dokumentierten Weisungen. Die Schule bleibt haftbar; für diesen Weg bestehen keine dokumentierte Rechtsgrundlage, keine DSFA, kein Art.-28-Vertrag, und die Datenschutzerklärung deckt ihn nicht ab — Art. 5 Abs. 1 Buchst. a, Art. 5 Abs. 2, Art. 28, Art. 30 und Art. 35 sind zugleich verletzt, für Art. 9 fehlt eine Bedingung. </w:t>
      </w:r>
      <w:r>
        <w:rPr>
          <w:b/>
          <w:bCs/>
        </w:rPr>
        <w:t xml:space="preserve">Handelt es sich um </w:t>
      </w:r>
      <w:r>
        <w:rPr>
          <w:b/>
          <w:bCs/>
        </w:rPr>
        <w:lastRenderedPageBreak/>
        <w:t>Coursework oder Non-Examination Assessment, ist es zusätzlich ein JCQ-Malpractice-Fall</w:t>
      </w:r>
      <w:r>
        <w:t xml:space="preserve"> und nicht bloß eine Datenschutzfrage, denn die JCQ-Vorgaben lauten: </w:t>
      </w:r>
      <w:r>
        <w:rPr>
          <w:i/>
          <w:iCs/>
        </w:rPr>
        <w:t>„Teachers must not use artificial intelligence as the sole means of marking candidates’ work.”</w:t>
      </w:r>
    </w:p>
    <w:p w14:paraId="6FD589CD" w14:textId="77777777" w:rsidR="0090768F" w:rsidRDefault="00000000">
      <w:pPr>
        <w:pStyle w:val="BodyText"/>
      </w:pPr>
      <w:r>
        <w:t xml:space="preserve">Die Leitlinien sind gegenüber dem Personal eindeutig. Das DfE weist an, </w:t>
      </w:r>
      <w:r>
        <w:rPr>
          <w:i/>
          <w:iCs/>
        </w:rPr>
        <w:t>„check that the type of tool being used is approved by your school”</w:t>
      </w:r>
      <w:r>
        <w:t xml:space="preserve">, und vor Eingabe personenbezogener Schülerdaten den Datenschutzbeauftragten einzuschalten, mit dem Hinweis, dies </w:t>
      </w:r>
      <w:r>
        <w:rPr>
          <w:i/>
          <w:iCs/>
        </w:rPr>
        <w:t>„could result in a data breach”</w:t>
      </w:r>
      <w:r>
        <w:t xml:space="preserve">. Schottlands Leitplanken stoppen die Lehrkraft unmittelbar: Die Checkliste fragt </w:t>
      </w:r>
      <w:r>
        <w:rPr>
          <w:i/>
          <w:iCs/>
        </w:rPr>
        <w:t>„Is the tool approved for use by my local authority”</w:t>
      </w:r>
      <w:r>
        <w:t xml:space="preserve"> und ordnet an, dass bei Nein oder Unklarheit </w:t>
      </w:r>
      <w:r>
        <w:rPr>
          <w:i/>
          <w:iCs/>
        </w:rPr>
        <w:t>„you should not use AI for this purpose”</w:t>
      </w:r>
      <w:r>
        <w:t>. Nordirland ist absolut — nur zwei GenAI-Werkzeuge sind im EdIS/C2k-Dienst freigegeben (Microsoft Copilot für Office 365 und Google Gemini for Education, beide mit von der Education Authority erstellten DSFA), alles andere erfordert DSFA und Einbindung des Datenschutzbeauftragten, und Personal muss zuvor verpflichtende Schulungen absolvieren. Wales verlangt DSFA und Einbindung des Datenschutzbeauftragten vor jedem KI-Einsatz.</w:t>
      </w:r>
    </w:p>
    <w:p w14:paraId="6E146CE3" w14:textId="77777777" w:rsidR="0090768F" w:rsidRDefault="00000000">
      <w:pPr>
        <w:pStyle w:val="BodyText"/>
      </w:pPr>
      <w:r>
        <w:rPr>
          <w:b/>
          <w:bCs/>
        </w:rPr>
        <w:t>Unser eigenes Risiko ist im Vereinigten Königreich größer, als die formale Analyse nahelegt</w:t>
      </w:r>
      <w:r>
        <w:t xml:space="preserve">, wegen des ICO-Audits </w:t>
      </w:r>
      <w:r>
        <w:rPr>
          <w:i/>
          <w:iCs/>
        </w:rPr>
        <w:t>Edtech examined</w:t>
      </w:r>
      <w:r>
        <w:t xml:space="preserve"> (24. Juni 2026; 28 Anbieter, die geschätzt 70–90 %+ der britischen Schulen erreichen; 596 Empfehlungen, 98 % angenommen). Der entscheidende Satz: </w:t>
      </w:r>
      <w:r>
        <w:rPr>
          <w:i/>
          <w:iCs/>
        </w:rPr>
        <w:t>„If you determine the purposes and means of processing, you are a controller, regardless of how any contract describes your role.”</w:t>
      </w:r>
      <w:r>
        <w:t xml:space="preserve"> </w:t>
      </w:r>
      <w:r>
        <w:rPr>
          <w:b/>
          <w:bCs/>
        </w:rPr>
        <w:t>Eine Selbstbedienungsstufe, die ohne Schulvertrag Schülerarbeiten annimmt, macht uns zum Verantwortlichen ohne Rechtsgrundlage und eröffnet den Children’s Code in vollem Umfang.</w:t>
      </w:r>
    </w:p>
    <w:p w14:paraId="20A24491" w14:textId="77777777" w:rsidR="0090768F" w:rsidRDefault="00000000">
      <w:pPr>
        <w:pStyle w:val="Heading3"/>
      </w:pPr>
      <w:bookmarkStart w:id="152" w:name="vereinigte-staaten"/>
      <w:bookmarkEnd w:id="151"/>
      <w:r>
        <w:t>7.4 Vereinigte Staaten</w:t>
      </w:r>
    </w:p>
    <w:p w14:paraId="0C2D2B25" w14:textId="77777777" w:rsidR="0090768F" w:rsidRDefault="00000000">
      <w:pPr>
        <w:pStyle w:val="FirstParagraph"/>
      </w:pPr>
      <w:r>
        <w:t xml:space="preserve">Die Schulbehörde bzw. Einrichtung hält die Bildungsakten; die Lehrkraft ist </w:t>
      </w:r>
      <w:r>
        <w:rPr>
          <w:i/>
          <w:iCs/>
        </w:rPr>
        <w:t>school official</w:t>
      </w:r>
      <w:r>
        <w:t xml:space="preserve"> </w:t>
      </w:r>
      <w:r>
        <w:rPr>
          <w:b/>
          <w:bCs/>
        </w:rPr>
        <w:t>innerhalb</w:t>
      </w:r>
      <w:r>
        <w:t xml:space="preserve"> der Einrichtung und hat keine Befugnis, sie nach außen offenzulegen. Eine Lehrkraft, die Arbeiten an einen nicht freigegebenen Anbieter hochlädt, nimmt eine von der Einrichtung nicht autorisierte </w:t>
      </w:r>
      <w:r>
        <w:rPr>
          <w:b/>
          <w:bCs/>
        </w:rPr>
        <w:t>Offenlegung</w:t>
      </w:r>
      <w:r>
        <w:t xml:space="preserve"> vor.</w:t>
      </w:r>
    </w:p>
    <w:p w14:paraId="3BDCF452" w14:textId="77777777" w:rsidR="0090768F" w:rsidRDefault="00000000">
      <w:pPr>
        <w:pStyle w:val="BodyText"/>
      </w:pPr>
      <w:r>
        <w:t xml:space="preserve">Die </w:t>
      </w:r>
      <w:r>
        <w:rPr>
          <w:i/>
          <w:iCs/>
        </w:rPr>
        <w:t>school official</w:t>
      </w:r>
      <w:r>
        <w:t>-Ausnahme lässt sich durch einen Klick der Lehrkraft strukturell nicht erfüllen:</w:t>
      </w:r>
    </w:p>
    <w:tbl>
      <w:tblPr>
        <w:tblStyle w:val="Table"/>
        <w:tblW w:w="5000" w:type="pct"/>
        <w:tblLook w:val="0020" w:firstRow="1" w:lastRow="0" w:firstColumn="0" w:lastColumn="0" w:noHBand="0" w:noVBand="0"/>
      </w:tblPr>
      <w:tblGrid>
        <w:gridCol w:w="3988"/>
        <w:gridCol w:w="5372"/>
      </w:tblGrid>
      <w:tr w:rsidR="0090768F" w14:paraId="55AFD5D1"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2695CB60" w14:textId="77777777" w:rsidR="0090768F" w:rsidRDefault="00000000">
            <w:pPr>
              <w:pStyle w:val="Compact"/>
            </w:pPr>
            <w:r>
              <w:t>Voraussetzung</w:t>
            </w:r>
          </w:p>
        </w:tc>
        <w:tc>
          <w:tcPr>
            <w:tcW w:w="0" w:type="auto"/>
          </w:tcPr>
          <w:p w14:paraId="5BA7F6B1" w14:textId="77777777" w:rsidR="0090768F" w:rsidRDefault="00000000">
            <w:pPr>
              <w:pStyle w:val="Compact"/>
            </w:pPr>
            <w:r>
              <w:t>Kann die Zustimmung einer Lehrkraft sie erfüllen?</w:t>
            </w:r>
          </w:p>
        </w:tc>
      </w:tr>
      <w:tr w:rsidR="0090768F" w14:paraId="49071261" w14:textId="77777777">
        <w:tc>
          <w:tcPr>
            <w:tcW w:w="0" w:type="auto"/>
          </w:tcPr>
          <w:p w14:paraId="55AA93E2" w14:textId="77777777" w:rsidR="0090768F" w:rsidRDefault="00000000">
            <w:pPr>
              <w:pStyle w:val="Compact"/>
            </w:pPr>
            <w:r>
              <w:t>34 CFR § 99.31(a)(1)(i)(B)(1) — erbringt eine Leistung, für die die Einrichtung sonst Beschäftigte einsetzen würde</w:t>
            </w:r>
          </w:p>
        </w:tc>
        <w:tc>
          <w:tcPr>
            <w:tcW w:w="0" w:type="auto"/>
          </w:tcPr>
          <w:p w14:paraId="0BF82098" w14:textId="77777777" w:rsidR="0090768F" w:rsidRDefault="00000000">
            <w:pPr>
              <w:pStyle w:val="Compact"/>
            </w:pPr>
            <w:r>
              <w:t>Inhaltlich ja</w:t>
            </w:r>
          </w:p>
        </w:tc>
      </w:tr>
      <w:tr w:rsidR="0090768F" w14:paraId="3ACB0A92" w14:textId="77777777">
        <w:tc>
          <w:tcPr>
            <w:tcW w:w="0" w:type="auto"/>
          </w:tcPr>
          <w:p w14:paraId="2F58DEB1" w14:textId="77777777" w:rsidR="0090768F" w:rsidRDefault="00000000">
            <w:pPr>
              <w:pStyle w:val="Compact"/>
            </w:pPr>
            <w:r>
              <w:t xml:space="preserve">§ 99.31(a)(1)(i)(B)(2) — </w:t>
            </w:r>
            <w:r>
              <w:rPr>
                <w:b/>
                <w:bCs/>
              </w:rPr>
              <w:t>unter der unmittelbaren Kontrolle der Einrichtung</w:t>
            </w:r>
            <w:r>
              <w:t xml:space="preserve"> hinsichtlich Nutzung und Verwahrung der Akten</w:t>
            </w:r>
          </w:p>
        </w:tc>
        <w:tc>
          <w:tcPr>
            <w:tcW w:w="0" w:type="auto"/>
          </w:tcPr>
          <w:p w14:paraId="7F6402C4" w14:textId="77777777" w:rsidR="0090768F" w:rsidRDefault="00000000">
            <w:pPr>
              <w:pStyle w:val="Compact"/>
            </w:pPr>
            <w:r>
              <w:rPr>
                <w:b/>
                <w:bCs/>
              </w:rPr>
              <w:t>Nein.</w:t>
            </w:r>
            <w:r>
              <w:t xml:space="preserve"> Verbraucher-AGB werden vom Anbieter gestellt und sind meist einseitig änderbar; nach der Auslegung des Bildungsministeriums erschwert einseitige Änderbarkeit den Nachweis unmittelbarer Kontrolle</w:t>
            </w:r>
          </w:p>
        </w:tc>
      </w:tr>
      <w:tr w:rsidR="0090768F" w14:paraId="59F65C5F" w14:textId="77777777">
        <w:tc>
          <w:tcPr>
            <w:tcW w:w="0" w:type="auto"/>
          </w:tcPr>
          <w:p w14:paraId="1A615623" w14:textId="77777777" w:rsidR="0090768F" w:rsidRDefault="00000000">
            <w:pPr>
              <w:pStyle w:val="Compact"/>
            </w:pPr>
            <w:r>
              <w:t xml:space="preserve">§ 99.31(a)(1)(i)(B)(3) — unterliegt den Nutzungs- und </w:t>
            </w:r>
            <w:r>
              <w:lastRenderedPageBreak/>
              <w:t>Weitergabegrenzen des § 99.33(a)</w:t>
            </w:r>
          </w:p>
        </w:tc>
        <w:tc>
          <w:tcPr>
            <w:tcW w:w="0" w:type="auto"/>
          </w:tcPr>
          <w:p w14:paraId="2332410D" w14:textId="77777777" w:rsidR="0090768F" w:rsidRDefault="00000000">
            <w:pPr>
              <w:pStyle w:val="Compact"/>
            </w:pPr>
            <w:r>
              <w:lastRenderedPageBreak/>
              <w:t>Nur wenn die AGB dies vorsehen; Verbraucher-AGB sehen regelmäßig das Gegenteil vor</w:t>
            </w:r>
          </w:p>
        </w:tc>
      </w:tr>
      <w:tr w:rsidR="0090768F" w14:paraId="17AEA7BB" w14:textId="77777777">
        <w:tc>
          <w:tcPr>
            <w:tcW w:w="0" w:type="auto"/>
          </w:tcPr>
          <w:p w14:paraId="5B42A1BF" w14:textId="77777777" w:rsidR="0090768F" w:rsidRDefault="00000000">
            <w:pPr>
              <w:pStyle w:val="Compact"/>
            </w:pPr>
            <w:r>
              <w:t xml:space="preserve">§ 99.7(a)(3)(iii) — die Einrichtung hat </w:t>
            </w:r>
            <w:r>
              <w:rPr>
                <w:i/>
                <w:iCs/>
              </w:rPr>
              <w:t>school official</w:t>
            </w:r>
            <w:r>
              <w:t xml:space="preserve">-Kriterien in ihrer </w:t>
            </w:r>
            <w:r>
              <w:rPr>
                <w:b/>
                <w:bCs/>
              </w:rPr>
              <w:t>Jahresmitteilung</w:t>
            </w:r>
            <w:r>
              <w:t xml:space="preserve"> festgelegt</w:t>
            </w:r>
          </w:p>
        </w:tc>
        <w:tc>
          <w:tcPr>
            <w:tcW w:w="0" w:type="auto"/>
          </w:tcPr>
          <w:p w14:paraId="2643F22E" w14:textId="77777777" w:rsidR="0090768F" w:rsidRDefault="00000000">
            <w:pPr>
              <w:pStyle w:val="Compact"/>
            </w:pPr>
            <w:r>
              <w:rPr>
                <w:b/>
                <w:bCs/>
              </w:rPr>
              <w:t>Nein.</w:t>
            </w:r>
            <w:r>
              <w:t xml:space="preserve"> Eine Lehrkraft kann die Jahresmitteilung nicht ändern</w:t>
            </w:r>
          </w:p>
        </w:tc>
      </w:tr>
      <w:tr w:rsidR="0090768F" w14:paraId="24343C20" w14:textId="77777777">
        <w:tc>
          <w:tcPr>
            <w:tcW w:w="0" w:type="auto"/>
          </w:tcPr>
          <w:p w14:paraId="22655C52" w14:textId="77777777" w:rsidR="0090768F" w:rsidRDefault="00000000">
            <w:pPr>
              <w:pStyle w:val="Compact"/>
            </w:pPr>
            <w:r>
              <w:t>§ 99.31(a)(1)(ii) — die Einrichtung begrenzt den Zugriff mit angemessenen Methoden</w:t>
            </w:r>
          </w:p>
        </w:tc>
        <w:tc>
          <w:tcPr>
            <w:tcW w:w="0" w:type="auto"/>
          </w:tcPr>
          <w:p w14:paraId="25936FC9" w14:textId="77777777" w:rsidR="0090768F" w:rsidRDefault="00000000">
            <w:pPr>
              <w:pStyle w:val="Compact"/>
            </w:pPr>
            <w:r>
              <w:rPr>
                <w:b/>
                <w:bCs/>
              </w:rPr>
              <w:t>Nein.</w:t>
            </w:r>
            <w:r>
              <w:t xml:space="preserve"> Die Einrichtung weiß nichts von dem Werkzeug</w:t>
            </w:r>
          </w:p>
        </w:tc>
      </w:tr>
    </w:tbl>
    <w:p w14:paraId="02F363C2" w14:textId="77777777" w:rsidR="0090768F" w:rsidRDefault="00000000">
      <w:pPr>
        <w:pStyle w:val="BodyText"/>
      </w:pPr>
      <w:r>
        <w:rPr>
          <w:b/>
          <w:bCs/>
        </w:rPr>
        <w:t>COPPA verschärft dies für unter 13-Jährige.</w:t>
      </w:r>
      <w:r>
        <w:t xml:space="preserve"> Die Position der FTC zur Schulautorisierung ist eine Verlautbarung, keine kodifizierte Ausnahme — 2024 vorgeschlagen und dann zurückgezogen, in Erwartung einer FERPA-Rechtsetzung des Bildungsministeriums, die nicht erfolgt ist. Ihr Grundsatz lautet, dass </w:t>
      </w:r>
      <w:r>
        <w:rPr>
          <w:i/>
          <w:iCs/>
        </w:rPr>
        <w:t>„ed tech providers cannot outsource compliance responsibilities to schools”</w:t>
      </w:r>
      <w:r>
        <w:t>, und die Edmodo-Verfügung definiert „School” im Singular. Ein Anbieter, der der Lehrkraft die Schulautorisierung glaubt, tut, was Edmodo tat.</w:t>
      </w:r>
    </w:p>
    <w:p w14:paraId="4E46AB92" w14:textId="77777777" w:rsidR="0090768F" w:rsidRDefault="00000000">
      <w:pPr>
        <w:pStyle w:val="BodyText"/>
      </w:pPr>
      <w:r>
        <w:rPr>
          <w:b/>
          <w:bCs/>
        </w:rPr>
        <w:t>Die Zähne sitzen im Landesrecht.</w:t>
      </w:r>
      <w:r>
        <w:t xml:space="preserve"> Kaliforniens SOPIPA bindet den </w:t>
      </w:r>
      <w:r>
        <w:rPr>
          <w:i/>
          <w:iCs/>
        </w:rPr>
        <w:t>operator</w:t>
      </w:r>
      <w:r>
        <w:t xml:space="preserve"> unmittelbar, ohne Vertrag; Illinois’ SOPPA verlangt eine schriftliche Vereinbarung </w:t>
      </w:r>
      <w:r>
        <w:rPr>
          <w:b/>
          <w:bCs/>
        </w:rPr>
        <w:t>vor</w:t>
      </w:r>
      <w:r>
        <w:t xml:space="preserve"> Erhalt der Daten und deren öffentliche Veröffentlichung — das Fehlen einer veröffentlichten Vereinbarung für einen Bezirk, dessen Lehrkräfte unser Produkt nutzen, ist damit öffentlich auffindbar. New York, Connecticut, Colorado und andere schreiben Klauseln vor, Connecticut die Veröffentlichung binnen fünf Werktagen.</w:t>
      </w:r>
    </w:p>
    <w:p w14:paraId="0830CC52" w14:textId="77777777" w:rsidR="0090768F" w:rsidRDefault="00000000">
      <w:pPr>
        <w:pStyle w:val="BodyText"/>
      </w:pPr>
      <w:r>
        <w:rPr>
          <w:b/>
          <w:bCs/>
        </w:rPr>
        <w:t>Die praktische Realität, klar ausgesprochen.</w:t>
      </w:r>
      <w:r>
        <w:t xml:space="preserve"> US-Schulbezirke griffen 2024/25 im Schnitt auf </w:t>
      </w:r>
      <w:r>
        <w:rPr>
          <w:b/>
          <w:bCs/>
        </w:rPr>
        <w:t>2.982 verschiedene EdTech-Werkzeuge</w:t>
      </w:r>
      <w:r>
        <w:t xml:space="preserve"> zu, Lehrkräfte im Schnitt auf 1.045 monatlich. Kein Bezirk prüft dreitausend Werkzeuge. Die Lücke zwischen Nutzung und Vertrag ist strukturell. Unser Risiko in dieser Lücke: rechtswidrig offengelegte Akten ohne Löschweisung einer befugten Stelle; unmittelbare Anbieterhaftung nach Landesrecht unabhängig davon, wer geklickt hat; COPPA-Haftung für Daten unter 13-Jähriger ohne wirksame Autorisierung; und Entdeckung im denkbar schlechtesten Moment — Elternbeschwerde oder Datenpanne. </w:t>
      </w:r>
      <w:r>
        <w:rPr>
          <w:b/>
          <w:bCs/>
        </w:rPr>
        <w:t>Und es vergiftet den Enterprise-Verkauf: Ein Bezirk, der unautorisierte Nutzung entdeckt, spricht eine Unterlassungsaufforderung aus und setzt uns auf eine oft landesweit geteilte Sperrliste.</w:t>
      </w:r>
    </w:p>
    <w:p w14:paraId="531B2CD2" w14:textId="77777777" w:rsidR="0090768F" w:rsidRDefault="00000000">
      <w:pPr>
        <w:pStyle w:val="Heading3"/>
      </w:pPr>
      <w:bookmarkStart w:id="153" w:name="Xea0ae066b48be507b24b0f23c8c125cfbe7d62e"/>
      <w:bookmarkEnd w:id="152"/>
      <w:r>
        <w:t>7.5 Empfehlung — eine Architektur für alle drei Märkte</w:t>
      </w:r>
    </w:p>
    <w:p w14:paraId="5493559F" w14:textId="77777777" w:rsidR="0090768F" w:rsidRDefault="00000000">
      <w:pPr>
        <w:pStyle w:val="Compact"/>
        <w:numPr>
          <w:ilvl w:val="0"/>
          <w:numId w:val="38"/>
        </w:numPr>
      </w:pPr>
      <w:r>
        <w:rPr>
          <w:b/>
          <w:bCs/>
        </w:rPr>
        <w:t>Keine Selbstregistrierung, die identifizierbare Schülerarbeiten annimmt.</w:t>
      </w:r>
      <w:r>
        <w:t xml:space="preserve"> Upload nur hinter institutioneller Mandantenschaft mit unterzeichnetem Auftragsverarbeitungsvertrag.</w:t>
      </w:r>
    </w:p>
    <w:p w14:paraId="33488CBB" w14:textId="77777777" w:rsidR="0090768F" w:rsidRDefault="00000000">
      <w:pPr>
        <w:pStyle w:val="Compact"/>
        <w:numPr>
          <w:ilvl w:val="0"/>
          <w:numId w:val="38"/>
        </w:numPr>
      </w:pPr>
      <w:r>
        <w:rPr>
          <w:b/>
          <w:bCs/>
        </w:rPr>
        <w:t>Eine Lehrkraft-Stufe anbieten</w:t>
      </w:r>
      <w:r>
        <w:t xml:space="preserve"> auf </w:t>
      </w:r>
      <w:r>
        <w:rPr>
          <w:b/>
          <w:bCs/>
        </w:rPr>
        <w:t>synthetischem oder anonymem</w:t>
      </w:r>
      <w:r>
        <w:t xml:space="preserve"> Material, mit </w:t>
      </w:r>
      <w:r>
        <w:rPr>
          <w:b/>
          <w:bCs/>
        </w:rPr>
        <w:t>technisch gesperrtem</w:t>
      </w:r>
      <w:r>
        <w:t xml:space="preserve"> Upload schülerbezogener Daten — nicht bloß in den AGB untersagt. Das erhält die Bottom-up-Verbreitung, die im EdTech-Markt tatsächlich wirkt, ohne das Verantwortlichkeitsproblem. Beschränkt auf das dort sinnvoll Nutzbare: Rastererstellung, Musterlösungen, Aufgabenentwurf, Kalibrierung.</w:t>
      </w:r>
    </w:p>
    <w:p w14:paraId="014B9EDB" w14:textId="77777777" w:rsidR="0090768F" w:rsidRDefault="00000000">
      <w:pPr>
        <w:pStyle w:val="Compact"/>
        <w:numPr>
          <w:ilvl w:val="0"/>
          <w:numId w:val="38"/>
        </w:numPr>
      </w:pPr>
      <w:r>
        <w:rPr>
          <w:b/>
          <w:bCs/>
        </w:rPr>
        <w:t>Den Umstiegspfad in die Stufe einbauen:</w:t>
      </w:r>
      <w:r>
        <w:t xml:space="preserve"> vorausgefüllte DSFA/GRFA, Auftragsverarbeitungsvertrag, Datenlandkarte und die marktspezifische </w:t>
      </w:r>
      <w:r>
        <w:lastRenderedPageBreak/>
        <w:t>Konformitäts-Selbstauskunft, einen Klick vom Lehrkraftkonto entfernt. Die Lehrkraft soll ihrem Datenschutzbeauftragten mühelos ein unterschriftsreifes Paket übergeben können.</w:t>
      </w:r>
    </w:p>
    <w:p w14:paraId="4D19DE85" w14:textId="77777777" w:rsidR="0090768F" w:rsidRDefault="00000000">
      <w:pPr>
        <w:pStyle w:val="Compact"/>
        <w:numPr>
          <w:ilvl w:val="0"/>
          <w:numId w:val="38"/>
        </w:numPr>
      </w:pPr>
      <w:r>
        <w:rPr>
          <w:b/>
          <w:bCs/>
        </w:rPr>
        <w:t>Domäne und Organisation bei Mandantenanlage verifizieren</w:t>
      </w:r>
      <w:r>
        <w:t xml:space="preserve"> und einen zeichnungsberechtigten Verantwortlichen verlangen, der nicht die anfragende Lehrkraft ist.</w:t>
      </w:r>
    </w:p>
    <w:p w14:paraId="747A7F89" w14:textId="77777777" w:rsidR="0090768F" w:rsidRDefault="00000000">
      <w:pPr>
        <w:pStyle w:val="Compact"/>
        <w:numPr>
          <w:ilvl w:val="0"/>
          <w:numId w:val="38"/>
        </w:numPr>
      </w:pPr>
      <w:r>
        <w:rPr>
          <w:b/>
          <w:bCs/>
        </w:rPr>
        <w:t>Das Angebot ausdrücklich trennen:</w:t>
      </w:r>
      <w:r>
        <w:t xml:space="preserve"> eine </w:t>
      </w:r>
      <w:r>
        <w:rPr>
          <w:i/>
          <w:iCs/>
        </w:rPr>
        <w:t>Vorbereitungsstufe</w:t>
      </w:r>
      <w:r>
        <w:t xml:space="preserve"> (Lehrkraft-direkt, keine Schülerdaten, heute zulässig, sofort lieferbar, baut die Nutzerbasis auf) und eine </w:t>
      </w:r>
      <w:r>
        <w:rPr>
          <w:i/>
          <w:iCs/>
        </w:rPr>
        <w:t>Korrekturassistenz-Stufe</w:t>
      </w:r>
      <w:r>
        <w:t xml:space="preserve"> (institutioneller Vertrag, vollständiger Compliance-Stack). Das ist kein Kompromiss — es ist die einzige Struktur, die uns in den nächsten zwölf Monaten überhaupt etwas verkaufen lässt, während die institutionelle Bewegung reift.</w:t>
      </w:r>
    </w:p>
    <w:p w14:paraId="1A7BB3AB" w14:textId="77777777" w:rsidR="0090768F" w:rsidRDefault="00000000">
      <w:pPr>
        <w:pStyle w:val="Heading2"/>
      </w:pPr>
      <w:bookmarkStart w:id="154" w:name="X481eacdf8fd5735032e9fc5cb8b0a0e89f2d569"/>
      <w:bookmarkStart w:id="155" w:name="_Toc240060421"/>
      <w:bookmarkEnd w:id="147"/>
      <w:bookmarkEnd w:id="153"/>
      <w:r>
        <w:t>8. Frage 6 — Könnte ein Land oder der Bund alle Schulen auf einmal freigeben?</w:t>
      </w:r>
      <w:bookmarkEnd w:id="155"/>
    </w:p>
    <w:p w14:paraId="16A85534" w14:textId="77777777" w:rsidR="0090768F" w:rsidRDefault="00000000">
      <w:pPr>
        <w:pStyle w:val="Heading3"/>
      </w:pPr>
      <w:bookmarkStart w:id="156" w:name="deutschland-1"/>
      <w:r>
        <w:t>8.1 Deutschland</w:t>
      </w:r>
    </w:p>
    <w:p w14:paraId="52D97A91" w14:textId="77777777" w:rsidR="0090768F" w:rsidRDefault="00000000">
      <w:pPr>
        <w:pStyle w:val="FirstParagraph"/>
      </w:pPr>
      <w:r>
        <w:rPr>
          <w:b/>
          <w:bCs/>
        </w:rPr>
        <w:t>Bund: nein.</w:t>
      </w:r>
      <w:r>
        <w:t xml:space="preserve"> Schulen sind nach Art. 30 und Art. 70 GG ausschließlich Ländersache. Die Hebel des Bundes sind rein produktseitig — KI-MIG, KI-VO, BDSG, TDDDG.</w:t>
      </w:r>
    </w:p>
    <w:p w14:paraId="7C3FDBDF" w14:textId="77777777" w:rsidR="0090768F" w:rsidRDefault="00000000">
      <w:pPr>
        <w:pStyle w:val="BodyText"/>
      </w:pPr>
      <w:r>
        <w:rPr>
          <w:b/>
          <w:bCs/>
        </w:rPr>
        <w:t>Land: ja, über fünf Mechanismen sehr unterschiedlicher Kosten und Geschwindigkeit.</w:t>
      </w:r>
    </w:p>
    <w:tbl>
      <w:tblPr>
        <w:tblStyle w:val="Table"/>
        <w:tblW w:w="5000" w:type="pct"/>
        <w:tblLook w:val="0020" w:firstRow="1" w:lastRow="0" w:firstColumn="0" w:lastColumn="0" w:noHBand="0" w:noVBand="0"/>
      </w:tblPr>
      <w:tblGrid>
        <w:gridCol w:w="344"/>
        <w:gridCol w:w="2355"/>
        <w:gridCol w:w="2573"/>
        <w:gridCol w:w="1934"/>
        <w:gridCol w:w="2154"/>
      </w:tblGrid>
      <w:tr w:rsidR="0090768F" w14:paraId="42FA08FC"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38E2F9FD" w14:textId="77777777" w:rsidR="0090768F" w:rsidRDefault="00000000">
            <w:pPr>
              <w:pStyle w:val="Compact"/>
            </w:pPr>
            <w:r>
              <w:t>#</w:t>
            </w:r>
          </w:p>
        </w:tc>
        <w:tc>
          <w:tcPr>
            <w:tcW w:w="0" w:type="auto"/>
          </w:tcPr>
          <w:p w14:paraId="769D420A" w14:textId="77777777" w:rsidR="0090768F" w:rsidRDefault="00000000">
            <w:pPr>
              <w:pStyle w:val="Compact"/>
            </w:pPr>
            <w:r>
              <w:t>Mechanismus</w:t>
            </w:r>
          </w:p>
        </w:tc>
        <w:tc>
          <w:tcPr>
            <w:tcW w:w="0" w:type="auto"/>
          </w:tcPr>
          <w:p w14:paraId="09FB5F64" w14:textId="77777777" w:rsidR="0090768F" w:rsidRDefault="00000000">
            <w:pPr>
              <w:pStyle w:val="Compact"/>
            </w:pPr>
            <w:r>
              <w:t>Was es erfordert</w:t>
            </w:r>
          </w:p>
        </w:tc>
        <w:tc>
          <w:tcPr>
            <w:tcW w:w="0" w:type="auto"/>
          </w:tcPr>
          <w:p w14:paraId="0B872638" w14:textId="77777777" w:rsidR="0090768F" w:rsidRDefault="00000000">
            <w:pPr>
              <w:pStyle w:val="Compact"/>
            </w:pPr>
            <w:r>
              <w:t>Rechtswirkung</w:t>
            </w:r>
          </w:p>
        </w:tc>
        <w:tc>
          <w:tcPr>
            <w:tcW w:w="0" w:type="auto"/>
          </w:tcPr>
          <w:p w14:paraId="5AD1F03C" w14:textId="77777777" w:rsidR="0090768F" w:rsidRDefault="00000000">
            <w:pPr>
              <w:pStyle w:val="Compact"/>
            </w:pPr>
            <w:r>
              <w:t>Realistische Dauer</w:t>
            </w:r>
          </w:p>
        </w:tc>
      </w:tr>
      <w:tr w:rsidR="0090768F" w14:paraId="5F96B9F1" w14:textId="77777777">
        <w:tc>
          <w:tcPr>
            <w:tcW w:w="0" w:type="auto"/>
          </w:tcPr>
          <w:p w14:paraId="0D378790" w14:textId="77777777" w:rsidR="0090768F" w:rsidRDefault="00000000">
            <w:pPr>
              <w:pStyle w:val="Compact"/>
            </w:pPr>
            <w:r>
              <w:t>1</w:t>
            </w:r>
          </w:p>
        </w:tc>
        <w:tc>
          <w:tcPr>
            <w:tcW w:w="0" w:type="auto"/>
          </w:tcPr>
          <w:p w14:paraId="265854E3" w14:textId="77777777" w:rsidR="0090768F" w:rsidRDefault="00000000">
            <w:pPr>
              <w:pStyle w:val="Compact"/>
            </w:pPr>
            <w:r>
              <w:rPr>
                <w:b/>
                <w:bCs/>
              </w:rPr>
              <w:t>Änderung der Landesverordnung</w:t>
            </w:r>
            <w:r>
              <w:t xml:space="preserve"> (z. B. VO-DV I NRW, DUVO BW)</w:t>
            </w:r>
          </w:p>
        </w:tc>
        <w:tc>
          <w:tcPr>
            <w:tcW w:w="0" w:type="auto"/>
          </w:tcPr>
          <w:p w14:paraId="25BD5D6F" w14:textId="77777777" w:rsidR="0090768F" w:rsidRDefault="00000000">
            <w:pPr>
              <w:pStyle w:val="Compact"/>
            </w:pPr>
            <w:r>
              <w:t xml:space="preserve">Ministerium entwirft; in NRW verlangt </w:t>
            </w:r>
            <w:r>
              <w:rPr>
                <w:b/>
                <w:bCs/>
              </w:rPr>
              <w:t>§ 122 Abs. 4 SchulG die Zustimmung des Landtagsausschusses</w:t>
            </w:r>
            <w:r>
              <w:t>; Verbändeanhörung; Verkündung</w:t>
            </w:r>
          </w:p>
        </w:tc>
        <w:tc>
          <w:tcPr>
            <w:tcW w:w="0" w:type="auto"/>
          </w:tcPr>
          <w:p w14:paraId="6CB64469" w14:textId="77777777" w:rsidR="0090768F" w:rsidRDefault="00000000">
            <w:pPr>
              <w:pStyle w:val="Compact"/>
            </w:pPr>
            <w:r>
              <w:rPr>
                <w:b/>
                <w:bCs/>
              </w:rPr>
              <w:t>Am stärksten</w:t>
            </w:r>
            <w:r>
              <w:t xml:space="preserve"> — schafft die Grundlage nach Art. 6 Abs. 1 Buchst. e / Abs. 3 und erweitert den Datenkatalog</w:t>
            </w:r>
          </w:p>
        </w:tc>
        <w:tc>
          <w:tcPr>
            <w:tcW w:w="0" w:type="auto"/>
          </w:tcPr>
          <w:p w14:paraId="276B6F3A" w14:textId="77777777" w:rsidR="0090768F" w:rsidRDefault="00000000">
            <w:pPr>
              <w:pStyle w:val="Compact"/>
            </w:pPr>
            <w:r>
              <w:rPr>
                <w:b/>
                <w:bCs/>
              </w:rPr>
              <w:t>18–36 Monate</w:t>
            </w:r>
            <w:r>
              <w:t xml:space="preserve"> und ein Gesetzgebungsfenster </w:t>
            </w:r>
            <w:r>
              <w:rPr>
                <w:i/>
                <w:iCs/>
              </w:rPr>
              <w:t>(Schätzung)</w:t>
            </w:r>
          </w:p>
        </w:tc>
      </w:tr>
      <w:tr w:rsidR="0090768F" w14:paraId="4500BA03" w14:textId="77777777">
        <w:tc>
          <w:tcPr>
            <w:tcW w:w="0" w:type="auto"/>
          </w:tcPr>
          <w:p w14:paraId="34684365" w14:textId="77777777" w:rsidR="0090768F" w:rsidRDefault="00000000">
            <w:pPr>
              <w:pStyle w:val="Compact"/>
            </w:pPr>
            <w:r>
              <w:t>2</w:t>
            </w:r>
          </w:p>
        </w:tc>
        <w:tc>
          <w:tcPr>
            <w:tcW w:w="0" w:type="auto"/>
          </w:tcPr>
          <w:p w14:paraId="1EEE424D" w14:textId="77777777" w:rsidR="0090768F" w:rsidRDefault="00000000">
            <w:pPr>
              <w:pStyle w:val="Compact"/>
            </w:pPr>
            <w:r>
              <w:rPr>
                <w:b/>
                <w:bCs/>
              </w:rPr>
              <w:t>Aufnahme in ein Landesverzeichnis / Zulassung</w:t>
            </w:r>
          </w:p>
        </w:tc>
        <w:tc>
          <w:tcPr>
            <w:tcW w:w="0" w:type="auto"/>
          </w:tcPr>
          <w:p w14:paraId="357237D3" w14:textId="77777777" w:rsidR="0090768F" w:rsidRDefault="00000000">
            <w:pPr>
              <w:pStyle w:val="Compact"/>
            </w:pPr>
            <w:r>
              <w:t>Ministeriumsentscheidung</w:t>
            </w:r>
          </w:p>
        </w:tc>
        <w:tc>
          <w:tcPr>
            <w:tcW w:w="0" w:type="auto"/>
          </w:tcPr>
          <w:p w14:paraId="79D467CD" w14:textId="77777777" w:rsidR="0090768F" w:rsidRDefault="00000000">
            <w:pPr>
              <w:pStyle w:val="Compact"/>
            </w:pPr>
            <w:r>
              <w:t xml:space="preserve">Wäre entscheidend — </w:t>
            </w:r>
            <w:r>
              <w:rPr>
                <w:b/>
                <w:bCs/>
              </w:rPr>
              <w:t>aber die Prämisse ist zu prüfen; siehe unten</w:t>
            </w:r>
          </w:p>
        </w:tc>
        <w:tc>
          <w:tcPr>
            <w:tcW w:w="0" w:type="auto"/>
          </w:tcPr>
          <w:p w14:paraId="649F0E9E" w14:textId="77777777" w:rsidR="0090768F" w:rsidRDefault="00000000">
            <w:pPr>
              <w:pStyle w:val="Compact"/>
            </w:pPr>
            <w:r>
              <w:t>unbekannt</w:t>
            </w:r>
          </w:p>
        </w:tc>
      </w:tr>
      <w:tr w:rsidR="0090768F" w14:paraId="54752E83" w14:textId="77777777">
        <w:tc>
          <w:tcPr>
            <w:tcW w:w="0" w:type="auto"/>
          </w:tcPr>
          <w:p w14:paraId="47ECCD2C" w14:textId="77777777" w:rsidR="0090768F" w:rsidRDefault="00000000">
            <w:pPr>
              <w:pStyle w:val="Compact"/>
            </w:pPr>
            <w:r>
              <w:t>3</w:t>
            </w:r>
          </w:p>
        </w:tc>
        <w:tc>
          <w:tcPr>
            <w:tcW w:w="0" w:type="auto"/>
          </w:tcPr>
          <w:p w14:paraId="6287E0C8" w14:textId="77777777" w:rsidR="0090768F" w:rsidRDefault="00000000">
            <w:pPr>
              <w:pStyle w:val="Compact"/>
            </w:pPr>
            <w:r>
              <w:rPr>
                <w:b/>
                <w:bCs/>
              </w:rPr>
              <w:t>Rahmenvertrag / Landeslizenz</w:t>
            </w:r>
          </w:p>
        </w:tc>
        <w:tc>
          <w:tcPr>
            <w:tcW w:w="0" w:type="auto"/>
          </w:tcPr>
          <w:p w14:paraId="11C743A8" w14:textId="77777777" w:rsidR="0090768F" w:rsidRDefault="00000000">
            <w:pPr>
              <w:pStyle w:val="Compact"/>
            </w:pPr>
            <w:r>
              <w:t>Vergabeverfahren (EU-weit oberhalb der Schwelle); das Land zeichnet den AVV zentral</w:t>
            </w:r>
          </w:p>
        </w:tc>
        <w:tc>
          <w:tcPr>
            <w:tcW w:w="0" w:type="auto"/>
          </w:tcPr>
          <w:p w14:paraId="247B4632" w14:textId="77777777" w:rsidR="0090768F" w:rsidRDefault="00000000">
            <w:pPr>
              <w:pStyle w:val="Compact"/>
            </w:pPr>
            <w:r>
              <w:t>In der Praxis sehr stark — löst Verantwortlichkeit, AVV, Finanzierung und Legitimation in einem Zug</w:t>
            </w:r>
          </w:p>
        </w:tc>
        <w:tc>
          <w:tcPr>
            <w:tcW w:w="0" w:type="auto"/>
          </w:tcPr>
          <w:p w14:paraId="2840AE8D" w14:textId="77777777" w:rsidR="0090768F" w:rsidRDefault="00000000">
            <w:pPr>
              <w:pStyle w:val="Compact"/>
            </w:pPr>
            <w:r>
              <w:rPr>
                <w:b/>
                <w:bCs/>
              </w:rPr>
              <w:t>12–24 Monate</w:t>
            </w:r>
            <w:r>
              <w:t xml:space="preserve"> einschl. Ausschreibung </w:t>
            </w:r>
            <w:r>
              <w:rPr>
                <w:i/>
                <w:iCs/>
              </w:rPr>
              <w:t>(Schätzung)</w:t>
            </w:r>
          </w:p>
        </w:tc>
      </w:tr>
      <w:tr w:rsidR="0090768F" w14:paraId="643D2156" w14:textId="77777777">
        <w:tc>
          <w:tcPr>
            <w:tcW w:w="0" w:type="auto"/>
          </w:tcPr>
          <w:p w14:paraId="2E8648E2" w14:textId="77777777" w:rsidR="0090768F" w:rsidRDefault="00000000">
            <w:pPr>
              <w:pStyle w:val="Compact"/>
            </w:pPr>
            <w:r>
              <w:lastRenderedPageBreak/>
              <w:t>4</w:t>
            </w:r>
          </w:p>
        </w:tc>
        <w:tc>
          <w:tcPr>
            <w:tcW w:w="0" w:type="auto"/>
          </w:tcPr>
          <w:p w14:paraId="70A6D227" w14:textId="77777777" w:rsidR="0090768F" w:rsidRDefault="00000000">
            <w:pPr>
              <w:pStyle w:val="Compact"/>
            </w:pPr>
            <w:r>
              <w:rPr>
                <w:b/>
                <w:bCs/>
              </w:rPr>
              <w:t>Empfehlung der KMK / Bildungs-MK</w:t>
            </w:r>
          </w:p>
        </w:tc>
        <w:tc>
          <w:tcPr>
            <w:tcW w:w="0" w:type="auto"/>
          </w:tcPr>
          <w:p w14:paraId="4AD90A05" w14:textId="77777777" w:rsidR="0090768F" w:rsidRDefault="00000000">
            <w:pPr>
              <w:pStyle w:val="Compact"/>
            </w:pPr>
            <w:r>
              <w:t>Politisch</w:t>
            </w:r>
          </w:p>
        </w:tc>
        <w:tc>
          <w:tcPr>
            <w:tcW w:w="0" w:type="auto"/>
          </w:tcPr>
          <w:p w14:paraId="0362325E" w14:textId="77777777" w:rsidR="0090768F" w:rsidRDefault="00000000">
            <w:pPr>
              <w:pStyle w:val="Compact"/>
            </w:pPr>
            <w:r>
              <w:rPr>
                <w:b/>
                <w:bCs/>
              </w:rPr>
              <w:t>Keine.</w:t>
            </w:r>
            <w:r>
              <w:t xml:space="preserve"> Deckung, keine Zulassung (§5.11)</w:t>
            </w:r>
          </w:p>
        </w:tc>
        <w:tc>
          <w:tcPr>
            <w:tcW w:w="0" w:type="auto"/>
          </w:tcPr>
          <w:p w14:paraId="6932FDBD" w14:textId="77777777" w:rsidR="0090768F" w:rsidRDefault="00000000">
            <w:pPr>
              <w:pStyle w:val="Compact"/>
            </w:pPr>
            <w:r>
              <w:t>—</w:t>
            </w:r>
          </w:p>
        </w:tc>
      </w:tr>
      <w:tr w:rsidR="0090768F" w14:paraId="3990BA27" w14:textId="77777777">
        <w:tc>
          <w:tcPr>
            <w:tcW w:w="0" w:type="auto"/>
          </w:tcPr>
          <w:p w14:paraId="1834CCBE" w14:textId="77777777" w:rsidR="0090768F" w:rsidRDefault="00000000">
            <w:pPr>
              <w:pStyle w:val="Compact"/>
            </w:pPr>
            <w:r>
              <w:t>5</w:t>
            </w:r>
          </w:p>
        </w:tc>
        <w:tc>
          <w:tcPr>
            <w:tcW w:w="0" w:type="auto"/>
          </w:tcPr>
          <w:p w14:paraId="3C9F4919" w14:textId="77777777" w:rsidR="0090768F" w:rsidRDefault="00000000">
            <w:pPr>
              <w:pStyle w:val="Compact"/>
            </w:pPr>
            <w:r>
              <w:rPr>
                <w:b/>
                <w:bCs/>
              </w:rPr>
              <w:t>Verwaltungsvorschrift / Handreichung / Schulleiterbrief</w:t>
            </w:r>
          </w:p>
        </w:tc>
        <w:tc>
          <w:tcPr>
            <w:tcW w:w="0" w:type="auto"/>
          </w:tcPr>
          <w:p w14:paraId="45C42723" w14:textId="77777777" w:rsidR="0090768F" w:rsidRDefault="00000000">
            <w:pPr>
              <w:pStyle w:val="Compact"/>
            </w:pPr>
            <w:r>
              <w:t>Ministerium, einseitig</w:t>
            </w:r>
          </w:p>
        </w:tc>
        <w:tc>
          <w:tcPr>
            <w:tcW w:w="0" w:type="auto"/>
          </w:tcPr>
          <w:p w14:paraId="111E4881" w14:textId="77777777" w:rsidR="0090768F" w:rsidRDefault="00000000">
            <w:pPr>
              <w:pStyle w:val="Compact"/>
            </w:pPr>
            <w:r>
              <w:t xml:space="preserve">Bindet Schulen intern als Weisung; </w:t>
            </w:r>
            <w:r>
              <w:rPr>
                <w:b/>
                <w:bCs/>
              </w:rPr>
              <w:t>mit Abstand schnellster Hebel</w:t>
            </w:r>
            <w:r>
              <w:t xml:space="preserve">; kann keine Rechtsgrundlage schaffen, wo keine besteht, aber die Nutzung </w:t>
            </w:r>
            <w:r>
              <w:rPr>
                <w:i/>
                <w:iCs/>
              </w:rPr>
              <w:t>innerhalb</w:t>
            </w:r>
            <w:r>
              <w:t xml:space="preserve"> einer bestehenden erlauben</w:t>
            </w:r>
          </w:p>
        </w:tc>
        <w:tc>
          <w:tcPr>
            <w:tcW w:w="0" w:type="auto"/>
          </w:tcPr>
          <w:p w14:paraId="51D027B9" w14:textId="77777777" w:rsidR="0090768F" w:rsidRDefault="00000000">
            <w:pPr>
              <w:pStyle w:val="Compact"/>
            </w:pPr>
            <w:r>
              <w:rPr>
                <w:b/>
                <w:bCs/>
              </w:rPr>
              <w:t>3–9 Monate</w:t>
            </w:r>
            <w:r>
              <w:t xml:space="preserve"> </w:t>
            </w:r>
            <w:r>
              <w:rPr>
                <w:i/>
                <w:iCs/>
              </w:rPr>
              <w:t>(Schätzung)</w:t>
            </w:r>
          </w:p>
        </w:tc>
      </w:tr>
    </w:tbl>
    <w:p w14:paraId="00422AC3" w14:textId="77777777" w:rsidR="0090768F" w:rsidRDefault="00000000">
      <w:pPr>
        <w:pStyle w:val="BodyText"/>
      </w:pPr>
      <w:r>
        <w:t xml:space="preserve">Zwei weitere Hürden gelten für alle: die </w:t>
      </w:r>
      <w:r>
        <w:rPr>
          <w:b/>
          <w:bCs/>
        </w:rPr>
        <w:t>Mitbestimmung des Hauptpersonalrats</w:t>
      </w:r>
      <w:r>
        <w:t xml:space="preserve"> auf Landesebene (§5.8), häufig der längste Balken, abzumildern durch einen mitgebrachten Entwurf einer Dienstvereinbarung; und </w:t>
      </w:r>
      <w:r>
        <w:rPr>
          <w:b/>
          <w:bCs/>
        </w:rPr>
        <w:t>Schulkonferenz bzw. Elternvertretung</w:t>
      </w:r>
      <w:r>
        <w:t>, wo die Nutzung für Schüler verpflichtend ist — die DSK-Regel von 2018 lautet, dass verpflichtende Plattformnutzung nur durch oder aufgrund eines Gesetzes angeordnet werden kann. Unsere lehrkraftseitige Positionierung hilft hier, dennoch sind Eltern zu informieren und die Art.-13/14-Hinweise anzupassen.</w:t>
      </w:r>
    </w:p>
    <w:p w14:paraId="056F1DFC" w14:textId="77777777" w:rsidR="0090768F" w:rsidRDefault="00000000">
      <w:pPr>
        <w:pStyle w:val="BodyText"/>
      </w:pPr>
      <w:r>
        <w:rPr>
          <w:b/>
          <w:bCs/>
        </w:rPr>
        <w:t>Eine Prämisse des aktuellen Plans hält nicht stand.</w:t>
      </w:r>
      <w:r>
        <w:t xml:space="preserve"> Der Weg zur öffentlichen Akzeptanz ist um den NRW-</w:t>
      </w:r>
      <w:r>
        <w:rPr>
          <w:i/>
          <w:iCs/>
        </w:rPr>
        <w:t>Softwarekatalog</w:t>
      </w:r>
      <w:r>
        <w:t xml:space="preserve"> bzw. das </w:t>
      </w:r>
      <w:r>
        <w:rPr>
          <w:i/>
          <w:iCs/>
        </w:rPr>
        <w:t>Verzeichnis der zur Verarbeitung zugelassenen Programme</w:t>
      </w:r>
      <w:r>
        <w:t xml:space="preserve"> herum aufgebaut. Dass dieser Mechanismus in dieser Form heute existiert, konnte nicht bestätigt werden:</w:t>
      </w:r>
    </w:p>
    <w:p w14:paraId="12DE074C" w14:textId="77777777" w:rsidR="0090768F" w:rsidRDefault="00000000">
      <w:pPr>
        <w:pStyle w:val="Compact"/>
        <w:numPr>
          <w:ilvl w:val="0"/>
          <w:numId w:val="39"/>
        </w:numPr>
      </w:pPr>
      <w:r>
        <w:t xml:space="preserve">Die </w:t>
      </w:r>
      <w:r>
        <w:rPr>
          <w:b/>
          <w:bCs/>
        </w:rPr>
        <w:t>geltende VO-DV I enthält keine Regelung zu zugelassenen Programmen</w:t>
      </w:r>
      <w:r>
        <w:t xml:space="preserve"> — das Wort </w:t>
      </w:r>
      <w:r>
        <w:rPr>
          <w:i/>
          <w:iCs/>
        </w:rPr>
        <w:t>Programm</w:t>
      </w:r>
      <w:r>
        <w:t xml:space="preserve"> kommt im konsolidierten Text nicht vor. Die Änderung 2022 hat die Programmzulassungslogik durch einen </w:t>
      </w:r>
      <w:r>
        <w:rPr>
          <w:b/>
          <w:bCs/>
        </w:rPr>
        <w:t>konfigurationsbezogenen</w:t>
      </w:r>
      <w:r>
        <w:t xml:space="preserve"> Maßstab ersetzt (§ 2 Abs. 1: zulässig auf dienstlichen Geräten und in Netzwerken, wenn </w:t>
      </w:r>
      <w:r>
        <w:rPr>
          <w:i/>
          <w:iCs/>
        </w:rPr>
        <w:t>„über die Konfiguration”</w:t>
      </w:r>
      <w:r>
        <w:t xml:space="preserve"> Vertraulichkeit, Integrität und Verfügbarkeit gewährleistet sind).</w:t>
      </w:r>
    </w:p>
    <w:p w14:paraId="6ACA99AD" w14:textId="77777777" w:rsidR="0090768F" w:rsidRDefault="00000000">
      <w:pPr>
        <w:pStyle w:val="Compact"/>
        <w:numPr>
          <w:ilvl w:val="0"/>
          <w:numId w:val="39"/>
        </w:numPr>
      </w:pPr>
      <w:r>
        <w:t xml:space="preserve">Die FAQ des Ministeriums beschreibt eine </w:t>
      </w:r>
      <w:r>
        <w:rPr>
          <w:b/>
          <w:bCs/>
        </w:rPr>
        <w:t>Einzelfallprüfung durch die Schule</w:t>
      </w:r>
      <w:r>
        <w:t xml:space="preserve">: </w:t>
      </w:r>
      <w:r>
        <w:rPr>
          <w:i/>
          <w:iCs/>
        </w:rPr>
        <w:t>„Die Entscheidung über die Nutzung liegt im pflichtgemäßen Ermessen der Schule.”</w:t>
      </w:r>
    </w:p>
    <w:p w14:paraId="79767C2A" w14:textId="77777777" w:rsidR="0090768F" w:rsidRDefault="00000000">
      <w:pPr>
        <w:pStyle w:val="Compact"/>
        <w:numPr>
          <w:ilvl w:val="0"/>
          <w:numId w:val="39"/>
        </w:numPr>
      </w:pPr>
      <w:r>
        <w:t xml:space="preserve">Das einzige benachbarte förmliche Zulassungsregime in NRW ist die </w:t>
      </w:r>
      <w:r>
        <w:rPr>
          <w:b/>
          <w:bCs/>
        </w:rPr>
        <w:t>Zulassung von Lernmitteln</w:t>
      </w:r>
      <w:r>
        <w:t xml:space="preserve"> (BASS 16-01 Nr. 2) — ein anderes Instrument mit anderer Rechtswirkung, und als Lernmittel würden wir nicht qualifizieren. Eine Verwechslung ist plausibel.</w:t>
      </w:r>
    </w:p>
    <w:p w14:paraId="518658A9" w14:textId="77777777" w:rsidR="0090768F" w:rsidRDefault="00000000">
      <w:pPr>
        <w:pStyle w:val="FirstParagraph"/>
      </w:pPr>
      <w:r>
        <w:rPr>
          <w:i/>
          <w:iCs/>
        </w:rPr>
        <w:t xml:space="preserve">Ehrlicher Vorbehalt: Ein Gewerkschaftsbeitrag von 2017 verweist auf die Prüfung, ob Software vom Schulministerium zugelassen ist, und eine Landtagsantwort vom 12.03.2025 </w:t>
      </w:r>
      <w:r>
        <w:rPr>
          <w:i/>
          <w:iCs/>
        </w:rPr>
        <w:lastRenderedPageBreak/>
        <w:t>erwähnt berichteten Angaben zufolge eine Liste im Bildungsportal; beides war nicht abrufbar, ebenso wenig der VO-DV-I-Text vor 2022. Ein engeres oder historisches Verzeichnis kann existieren.</w:t>
      </w:r>
    </w:p>
    <w:p w14:paraId="2A04198C" w14:textId="77777777" w:rsidR="0090768F" w:rsidRDefault="00000000">
      <w:pPr>
        <w:pStyle w:val="BodyText"/>
      </w:pPr>
      <w:r>
        <w:rPr>
          <w:b/>
          <w:bCs/>
        </w:rPr>
        <w:t>Empfohlene Maßnahme: die Frage schriftlich an das MSB NRW richten, statt eine Markteintrittsstrategie auf einen unbestätigten Mechanismus zu bauen.</w:t>
      </w:r>
      <w:r>
        <w:t xml:space="preserve"> Das ist die wertvollste verfügbare Klärung, weil eine ganze kommerzielle Strategie derzeit darauf ruht.</w:t>
      </w:r>
    </w:p>
    <w:p w14:paraId="7A54D4A4" w14:textId="77777777" w:rsidR="0090768F" w:rsidRDefault="00000000">
      <w:pPr>
        <w:pStyle w:val="BodyText"/>
      </w:pPr>
      <w:r>
        <w:rPr>
          <w:b/>
          <w:bCs/>
        </w:rPr>
        <w:t>Empfohlene Reihenfolge.</w:t>
      </w:r>
      <w:r>
        <w:t xml:space="preserve"> Nicht mit Mechanismus 1 beginnen. Mit </w:t>
      </w:r>
      <w:r>
        <w:rPr>
          <w:b/>
          <w:bCs/>
        </w:rPr>
        <w:t>5</w:t>
      </w:r>
      <w:r>
        <w:t xml:space="preserve"> beginnen — einer Verwaltungsvorschrift, die Pilotnutzung erlaubt —, ein </w:t>
      </w:r>
      <w:r>
        <w:rPr>
          <w:b/>
          <w:bCs/>
        </w:rPr>
        <w:t>Reallabor nach § 13 KI-MIG</w:t>
      </w:r>
      <w:r>
        <w:t xml:space="preserve"> mit BNetzA und Landesaufsicht durchführen, den Abweichungsnachweis erzeugen, der dem DSK-Maßstab des </w:t>
      </w:r>
      <w:r>
        <w:rPr>
          <w:i/>
          <w:iCs/>
        </w:rPr>
        <w:t>tatsächlichen Entscheidungsspielraums</w:t>
      </w:r>
      <w:r>
        <w:t xml:space="preserve"> genügt, und mit diesem Nachweis Mechanismus 3 oder 1 verdienen. Ein Ministerium um eine Verordnungsänderung für ein unerprobtes Produkt zu bitten, heißt, es ohne Deckung um ein politisches Risiko zu bitten.</w:t>
      </w:r>
    </w:p>
    <w:p w14:paraId="236E8E0B" w14:textId="77777777" w:rsidR="0090768F" w:rsidRDefault="00000000">
      <w:pPr>
        <w:pStyle w:val="Heading3"/>
      </w:pPr>
      <w:bookmarkStart w:id="157" w:name="X54475ee4fc6c491a285db3bdd540b223db8cf89"/>
      <w:bookmarkEnd w:id="156"/>
      <w:r>
        <w:t>8.2 Vereinigtes Königreich — die Antwort unterscheidet sich je Landesteil</w:t>
      </w:r>
    </w:p>
    <w:tbl>
      <w:tblPr>
        <w:tblStyle w:val="Table"/>
        <w:tblW w:w="5000" w:type="pct"/>
        <w:tblLook w:val="0020" w:firstRow="1" w:lastRow="0" w:firstColumn="0" w:lastColumn="0" w:noHBand="0" w:noVBand="0"/>
      </w:tblPr>
      <w:tblGrid>
        <w:gridCol w:w="1448"/>
        <w:gridCol w:w="1646"/>
        <w:gridCol w:w="2462"/>
        <w:gridCol w:w="1944"/>
        <w:gridCol w:w="1860"/>
      </w:tblGrid>
      <w:tr w:rsidR="0090768F" w14:paraId="6DFD737E"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634BF637" w14:textId="77777777" w:rsidR="0090768F" w:rsidRDefault="00000000">
            <w:pPr>
              <w:pStyle w:val="Compact"/>
            </w:pPr>
            <w:r>
              <w:t>Landesteil</w:t>
            </w:r>
          </w:p>
        </w:tc>
        <w:tc>
          <w:tcPr>
            <w:tcW w:w="0" w:type="auto"/>
          </w:tcPr>
          <w:p w14:paraId="74317AFD" w14:textId="77777777" w:rsidR="0090768F" w:rsidRDefault="00000000">
            <w:pPr>
              <w:pStyle w:val="Compact"/>
            </w:pPr>
            <w:r>
              <w:t>Erreicht eine nationale Entscheidung alle Schulen?</w:t>
            </w:r>
          </w:p>
        </w:tc>
        <w:tc>
          <w:tcPr>
            <w:tcW w:w="0" w:type="auto"/>
          </w:tcPr>
          <w:p w14:paraId="2948220A" w14:textId="77777777" w:rsidR="0090768F" w:rsidRDefault="00000000">
            <w:pPr>
              <w:pStyle w:val="Compact"/>
            </w:pPr>
            <w:r>
              <w:t>Mechanismus</w:t>
            </w:r>
          </w:p>
        </w:tc>
        <w:tc>
          <w:tcPr>
            <w:tcW w:w="0" w:type="auto"/>
          </w:tcPr>
          <w:p w14:paraId="4F4EA349" w14:textId="77777777" w:rsidR="0090768F" w:rsidRDefault="00000000">
            <w:pPr>
              <w:pStyle w:val="Compact"/>
            </w:pPr>
            <w:r>
              <w:t>Gatekeeper</w:t>
            </w:r>
          </w:p>
        </w:tc>
        <w:tc>
          <w:tcPr>
            <w:tcW w:w="0" w:type="auto"/>
          </w:tcPr>
          <w:p w14:paraId="16DB1691" w14:textId="77777777" w:rsidR="0090768F" w:rsidRDefault="00000000">
            <w:pPr>
              <w:pStyle w:val="Compact"/>
            </w:pPr>
            <w:r>
              <w:t>Realistische Dauer</w:t>
            </w:r>
          </w:p>
        </w:tc>
      </w:tr>
      <w:tr w:rsidR="0090768F" w14:paraId="1033AAFA" w14:textId="77777777">
        <w:tc>
          <w:tcPr>
            <w:tcW w:w="0" w:type="auto"/>
          </w:tcPr>
          <w:p w14:paraId="2F44992B" w14:textId="77777777" w:rsidR="0090768F" w:rsidRDefault="00000000">
            <w:pPr>
              <w:pStyle w:val="Compact"/>
            </w:pPr>
            <w:r>
              <w:rPr>
                <w:b/>
                <w:bCs/>
              </w:rPr>
              <w:t>England</w:t>
            </w:r>
          </w:p>
        </w:tc>
        <w:tc>
          <w:tcPr>
            <w:tcW w:w="0" w:type="auto"/>
          </w:tcPr>
          <w:p w14:paraId="75B4CBC7" w14:textId="77777777" w:rsidR="0090768F" w:rsidRDefault="00000000">
            <w:pPr>
              <w:pStyle w:val="Compact"/>
            </w:pPr>
            <w:r>
              <w:rPr>
                <w:b/>
                <w:bCs/>
              </w:rPr>
              <w:t>Nein</w:t>
            </w:r>
          </w:p>
        </w:tc>
        <w:tc>
          <w:tcPr>
            <w:tcW w:w="0" w:type="auto"/>
          </w:tcPr>
          <w:p w14:paraId="33FA843C" w14:textId="77777777" w:rsidR="0090768F" w:rsidRDefault="00000000">
            <w:pPr>
              <w:pStyle w:val="Compact"/>
            </w:pPr>
            <w:r>
              <w:t>DfE-Beschaffungsrahmen; Verträge auf Trust-Ebene</w:t>
            </w:r>
          </w:p>
        </w:tc>
        <w:tc>
          <w:tcPr>
            <w:tcW w:w="0" w:type="auto"/>
          </w:tcPr>
          <w:p w14:paraId="2CAFBDDA" w14:textId="77777777" w:rsidR="0090768F" w:rsidRDefault="00000000">
            <w:pPr>
              <w:pStyle w:val="Compact"/>
            </w:pPr>
            <w:r>
              <w:t>~24.000 Schulen / ~1.200 Trusts</w:t>
            </w:r>
          </w:p>
        </w:tc>
        <w:tc>
          <w:tcPr>
            <w:tcW w:w="0" w:type="auto"/>
          </w:tcPr>
          <w:p w14:paraId="6D1315AE" w14:textId="77777777" w:rsidR="0090768F" w:rsidRDefault="00000000">
            <w:pPr>
              <w:pStyle w:val="Compact"/>
            </w:pPr>
            <w:r>
              <w:t xml:space="preserve">Rahmen 12–24 Mon.; Adoption laufend </w:t>
            </w:r>
            <w:r>
              <w:rPr>
                <w:i/>
                <w:iCs/>
              </w:rPr>
              <w:t>(Schätzung)</w:t>
            </w:r>
          </w:p>
        </w:tc>
      </w:tr>
      <w:tr w:rsidR="0090768F" w14:paraId="2AB7760B" w14:textId="77777777">
        <w:tc>
          <w:tcPr>
            <w:tcW w:w="0" w:type="auto"/>
          </w:tcPr>
          <w:p w14:paraId="2932E88D" w14:textId="77777777" w:rsidR="0090768F" w:rsidRDefault="00000000">
            <w:pPr>
              <w:pStyle w:val="Compact"/>
            </w:pPr>
            <w:r>
              <w:rPr>
                <w:b/>
                <w:bCs/>
              </w:rPr>
              <w:t>Wales</w:t>
            </w:r>
          </w:p>
        </w:tc>
        <w:tc>
          <w:tcPr>
            <w:tcW w:w="0" w:type="auto"/>
          </w:tcPr>
          <w:p w14:paraId="211037C0" w14:textId="77777777" w:rsidR="0090768F" w:rsidRDefault="00000000">
            <w:pPr>
              <w:pStyle w:val="Compact"/>
            </w:pPr>
            <w:r>
              <w:rPr>
                <w:b/>
                <w:bCs/>
              </w:rPr>
              <w:t>Faktisch ja</w:t>
            </w:r>
          </w:p>
        </w:tc>
        <w:tc>
          <w:tcPr>
            <w:tcW w:w="0" w:type="auto"/>
          </w:tcPr>
          <w:p w14:paraId="06378204" w14:textId="77777777" w:rsidR="0090768F" w:rsidRDefault="00000000">
            <w:pPr>
              <w:pStyle w:val="Compact"/>
            </w:pPr>
            <w:r>
              <w:t>Aufnahme als Hwb-Dienst</w:t>
            </w:r>
          </w:p>
        </w:tc>
        <w:tc>
          <w:tcPr>
            <w:tcW w:w="0" w:type="auto"/>
          </w:tcPr>
          <w:p w14:paraId="1A838EF3" w14:textId="77777777" w:rsidR="0090768F" w:rsidRDefault="00000000">
            <w:pPr>
              <w:pStyle w:val="Compact"/>
            </w:pPr>
            <w:r>
              <w:t>Hwb-Team der walisischen Regierung / EdTech Technical Standards Group</w:t>
            </w:r>
          </w:p>
        </w:tc>
        <w:tc>
          <w:tcPr>
            <w:tcW w:w="0" w:type="auto"/>
          </w:tcPr>
          <w:p w14:paraId="440FBC4C" w14:textId="77777777" w:rsidR="0090768F" w:rsidRDefault="00000000">
            <w:pPr>
              <w:pStyle w:val="Compact"/>
            </w:pPr>
            <w:r>
              <w:t xml:space="preserve">18–30 Mon. zzgl. walisischer Sprachfähigkeit </w:t>
            </w:r>
            <w:r>
              <w:rPr>
                <w:i/>
                <w:iCs/>
              </w:rPr>
              <w:t>(Schätzung)</w:t>
            </w:r>
          </w:p>
        </w:tc>
      </w:tr>
      <w:tr w:rsidR="0090768F" w14:paraId="7E2D7C78" w14:textId="77777777">
        <w:tc>
          <w:tcPr>
            <w:tcW w:w="0" w:type="auto"/>
          </w:tcPr>
          <w:p w14:paraId="5B3853F1" w14:textId="77777777" w:rsidR="0090768F" w:rsidRDefault="00000000">
            <w:pPr>
              <w:pStyle w:val="Compact"/>
            </w:pPr>
            <w:r>
              <w:rPr>
                <w:b/>
                <w:bCs/>
              </w:rPr>
              <w:t>Schottland</w:t>
            </w:r>
          </w:p>
        </w:tc>
        <w:tc>
          <w:tcPr>
            <w:tcW w:w="0" w:type="auto"/>
          </w:tcPr>
          <w:p w14:paraId="1AF93D7D" w14:textId="77777777" w:rsidR="0090768F" w:rsidRDefault="00000000">
            <w:pPr>
              <w:pStyle w:val="Compact"/>
            </w:pPr>
            <w:r>
              <w:rPr>
                <w:b/>
                <w:bCs/>
              </w:rPr>
              <w:t>Teilweise</w:t>
            </w:r>
          </w:p>
        </w:tc>
        <w:tc>
          <w:tcPr>
            <w:tcW w:w="0" w:type="auto"/>
          </w:tcPr>
          <w:p w14:paraId="66B89E54" w14:textId="77777777" w:rsidR="0090768F" w:rsidRDefault="00000000">
            <w:pPr>
              <w:pStyle w:val="Compact"/>
            </w:pPr>
            <w:r>
              <w:t xml:space="preserve">Glow-Listung </w:t>
            </w:r>
            <w:r>
              <w:rPr>
                <w:b/>
                <w:bCs/>
              </w:rPr>
              <w:t>plus</w:t>
            </w:r>
            <w:r>
              <w:t xml:space="preserve"> Opt-in der Kommunen</w:t>
            </w:r>
          </w:p>
        </w:tc>
        <w:tc>
          <w:tcPr>
            <w:tcW w:w="0" w:type="auto"/>
          </w:tcPr>
          <w:p w14:paraId="539EE604" w14:textId="77777777" w:rsidR="0090768F" w:rsidRDefault="00000000">
            <w:pPr>
              <w:pStyle w:val="Compact"/>
            </w:pPr>
            <w:r>
              <w:t xml:space="preserve">Education Scotland </w:t>
            </w:r>
            <w:r>
              <w:rPr>
                <w:b/>
                <w:bCs/>
              </w:rPr>
              <w:t>und</w:t>
            </w:r>
            <w:r>
              <w:t xml:space="preserve"> 32 Kommunen als Verantwortliche</w:t>
            </w:r>
          </w:p>
        </w:tc>
        <w:tc>
          <w:tcPr>
            <w:tcW w:w="0" w:type="auto"/>
          </w:tcPr>
          <w:p w14:paraId="11EAF7B4" w14:textId="77777777" w:rsidR="0090768F" w:rsidRDefault="00000000">
            <w:pPr>
              <w:pStyle w:val="Compact"/>
            </w:pPr>
            <w:r>
              <w:t xml:space="preserve">18–36 Mon. </w:t>
            </w:r>
            <w:r>
              <w:rPr>
                <w:i/>
                <w:iCs/>
              </w:rPr>
              <w:t>(Schätzung)</w:t>
            </w:r>
          </w:p>
        </w:tc>
      </w:tr>
      <w:tr w:rsidR="0090768F" w14:paraId="7EE7CEC4" w14:textId="77777777">
        <w:tc>
          <w:tcPr>
            <w:tcW w:w="0" w:type="auto"/>
          </w:tcPr>
          <w:p w14:paraId="320CFDC2" w14:textId="77777777" w:rsidR="0090768F" w:rsidRDefault="00000000">
            <w:pPr>
              <w:pStyle w:val="Compact"/>
            </w:pPr>
            <w:r>
              <w:rPr>
                <w:b/>
                <w:bCs/>
              </w:rPr>
              <w:t>Nordirland</w:t>
            </w:r>
          </w:p>
        </w:tc>
        <w:tc>
          <w:tcPr>
            <w:tcW w:w="0" w:type="auto"/>
          </w:tcPr>
          <w:p w14:paraId="376FC030" w14:textId="77777777" w:rsidR="0090768F" w:rsidRDefault="00000000">
            <w:pPr>
              <w:pStyle w:val="Compact"/>
            </w:pPr>
            <w:r>
              <w:rPr>
                <w:b/>
                <w:bCs/>
              </w:rPr>
              <w:t>Faktisch ja</w:t>
            </w:r>
          </w:p>
        </w:tc>
        <w:tc>
          <w:tcPr>
            <w:tcW w:w="0" w:type="auto"/>
          </w:tcPr>
          <w:p w14:paraId="552CBA91" w14:textId="77777777" w:rsidR="0090768F" w:rsidRDefault="00000000">
            <w:pPr>
              <w:pStyle w:val="Compact"/>
            </w:pPr>
            <w:r>
              <w:t>EdIS/C2k-Freigabeliste</w:t>
            </w:r>
          </w:p>
        </w:tc>
        <w:tc>
          <w:tcPr>
            <w:tcW w:w="0" w:type="auto"/>
          </w:tcPr>
          <w:p w14:paraId="2FFE314E" w14:textId="77777777" w:rsidR="0090768F" w:rsidRDefault="00000000">
            <w:pPr>
              <w:pStyle w:val="Compact"/>
            </w:pPr>
            <w:r>
              <w:t>Education Authority</w:t>
            </w:r>
          </w:p>
        </w:tc>
        <w:tc>
          <w:tcPr>
            <w:tcW w:w="0" w:type="auto"/>
          </w:tcPr>
          <w:p w14:paraId="45B65501" w14:textId="77777777" w:rsidR="0090768F" w:rsidRDefault="00000000">
            <w:pPr>
              <w:pStyle w:val="Compact"/>
            </w:pPr>
            <w:r>
              <w:t xml:space="preserve">24–36 Mon. </w:t>
            </w:r>
            <w:r>
              <w:rPr>
                <w:i/>
                <w:iCs/>
              </w:rPr>
              <w:t>(Schätzung)</w:t>
            </w:r>
          </w:p>
        </w:tc>
      </w:tr>
    </w:tbl>
    <w:p w14:paraId="1DF43961" w14:textId="77777777" w:rsidR="0090768F" w:rsidRDefault="00000000">
      <w:pPr>
        <w:pStyle w:val="BodyText"/>
      </w:pPr>
      <w:r>
        <w:rPr>
          <w:b/>
          <w:bCs/>
        </w:rPr>
        <w:t>England hat keinen nationalen Schalter.</w:t>
      </w:r>
      <w:r>
        <w:t xml:space="preserve"> Das DfE kann Akademien keine Software vorschreiben: Akademien sind selbständige gemeinnützige Gesellschaften mit Finanzierungsvereinbarungen, und die durch den Children’s Wellbeing and Schools Act 2026 s.56 eingeführte Weisungsbefugnis ist eine Durchsetzungsbefugnis für bestehende Pflichten, keine Beschaffungsbefugnis. Bei maintained schools kann die Kommune empfehlen und Rahmenverträge führen, die Kaufentscheidung des Schulvorstands aber regelmäßig nicht erzwingen. Was das DfE </w:t>
      </w:r>
      <w:r>
        <w:rPr>
          <w:i/>
          <w:iCs/>
        </w:rPr>
        <w:t>kann</w:t>
      </w:r>
      <w:r>
        <w:t xml:space="preserve">: einen Beschaffungsrahmen freigeben (der ein volles Verfahren in eine Direktvergabe verwandelt), Leitlinien veröffentlichen, denen </w:t>
      </w:r>
      <w:r>
        <w:lastRenderedPageBreak/>
        <w:t xml:space="preserve">der Sektor faktisch folgt, Adoption finanzieren (Oak/Aila, den Content-Store-Piloten, das </w:t>
      </w:r>
      <w:r>
        <w:rPr>
          <w:b/>
          <w:bCs/>
        </w:rPr>
        <w:t>£23 Mio. EdTech Impact Testbed Programme</w:t>
      </w:r>
      <w:r>
        <w:t xml:space="preserve"> von FY2026-27 bis FY2029-30) und die Ofsted-Perspektive auf „die Entscheidungsfindung des Trägers” prägen. </w:t>
      </w:r>
      <w:r>
        <w:rPr>
          <w:b/>
          <w:bCs/>
        </w:rPr>
        <w:t>Skaleneinheit in England ist der Multi-Academy Trust — rund 1.200, die größten mit 50+ Schulen, und der Trust ist zugleich Verantwortlicher und Käufer. Zielgruppe sind Trust-CEOs, Trust-Datenschutzbeauftragte und Trust-Bildungsdirektoren, nicht Schulleitungen.</w:t>
      </w:r>
    </w:p>
    <w:p w14:paraId="3D4A0199" w14:textId="77777777" w:rsidR="0090768F" w:rsidRDefault="00000000">
      <w:pPr>
        <w:pStyle w:val="BodyText"/>
      </w:pPr>
      <w:r>
        <w:rPr>
          <w:b/>
          <w:bCs/>
        </w:rPr>
        <w:t>Wales ist die beste Einzelentscheidungschance im Vereinigten Königreich.</w:t>
      </w:r>
      <w:r>
        <w:t xml:space="preserve"> Hwb stellt bereits Microsoft Copilot Chat, Google Gemini, NotebookLM, Adobe Express und Microsoft Learning Accelerators für jede maintained school bereit, jeder Dienst „umfassend geprüft” und vertraglich anwaltlich begleitet. Der Weg führt offenbar über den kommunalen EdTech-Verantwortlichen zur </w:t>
      </w:r>
      <w:r>
        <w:rPr>
          <w:b/>
          <w:bCs/>
        </w:rPr>
        <w:t>EdTech Technical Standards Group</w:t>
      </w:r>
      <w:r>
        <w:t xml:space="preserve"> — </w:t>
      </w:r>
      <w:r>
        <w:rPr>
          <w:i/>
          <w:iCs/>
        </w:rPr>
        <w:t>mittlere Verlässlichkeit; ein förmliches veröffentlichtes Anbieter-Prüfverfahren oder eine Freigabeliste war nicht belegbar.</w:t>
      </w:r>
      <w:r>
        <w:t xml:space="preserve"> Wales ist mit 22 Kommunen und rund 1.500 Schulen klein genug für einen Referenzfall, und walisische Sprachfähigkeit ist für ein OCR/LLM-Korrekturwerkzeug ein realer Produktkostenpunkt.</w:t>
      </w:r>
    </w:p>
    <w:p w14:paraId="5B2C2FBC" w14:textId="77777777" w:rsidR="0090768F" w:rsidRDefault="00000000">
      <w:pPr>
        <w:pStyle w:val="BodyText"/>
      </w:pPr>
      <w:r>
        <w:rPr>
          <w:b/>
          <w:bCs/>
        </w:rPr>
        <w:t>Schottland: Eine Glow-Listung ist notwendig, aber nicht hinreichend</w:t>
      </w:r>
      <w:r>
        <w:t xml:space="preserve">, weil die Kommunen Verantwortliche sind und selbst Glow-bereitgestellte KI auf Opt-in-Basis läuft. </w:t>
      </w:r>
      <w:r>
        <w:rPr>
          <w:b/>
          <w:bCs/>
        </w:rPr>
        <w:t>Ein veröffentlichtes Verfahren zur Aufnahme eines Drittdienstes in Glow war nicht auffindbar</w:t>
      </w:r>
      <w:r>
        <w:t>; der Weg führt über Education Scotland sowie ADES und COSLA.</w:t>
      </w:r>
    </w:p>
    <w:p w14:paraId="49302161" w14:textId="77777777" w:rsidR="0090768F" w:rsidRDefault="00000000">
      <w:pPr>
        <w:pStyle w:val="BodyText"/>
      </w:pPr>
      <w:r>
        <w:rPr>
          <w:b/>
          <w:bCs/>
        </w:rPr>
        <w:t>Nordirland ist ein einzelnes Tor, zugleich Hindernis und Preis.</w:t>
      </w:r>
      <w:r>
        <w:t xml:space="preserve"> Eine Entscheidung der Education Authority würde jede staatlich geförderte Schule erreichen (~1.100); ohne sie bleiben wir auf Einzel-DSFA nach DE Circular 2026/02 beschränkt.</w:t>
      </w:r>
    </w:p>
    <w:p w14:paraId="567D5729" w14:textId="77777777" w:rsidR="0090768F" w:rsidRDefault="00000000">
      <w:pPr>
        <w:pStyle w:val="Heading3"/>
      </w:pPr>
      <w:bookmarkStart w:id="158" w:name="vereinigte-staaten-1"/>
      <w:bookmarkEnd w:id="157"/>
      <w:r>
        <w:t>8.3 Vereinigte Staaten</w:t>
      </w:r>
    </w:p>
    <w:p w14:paraId="2185A054" w14:textId="77777777" w:rsidR="0090768F" w:rsidRDefault="00000000">
      <w:pPr>
        <w:pStyle w:val="FirstParagraph"/>
      </w:pPr>
      <w:r>
        <w:rPr>
          <w:b/>
          <w:bCs/>
        </w:rPr>
        <w:t>Der Bund kann es nicht.</w:t>
      </w:r>
      <w:r>
        <w:t xml:space="preserve"> Bildung ist Sache der Einzelstaaten; FERPA ist eine Bedingung der Bundesförderung an Einrichtungen und begründet keine Bundeszuständigkeit, an Stelle einer Einrichtung einen </w:t>
      </w:r>
      <w:r>
        <w:rPr>
          <w:i/>
          <w:iCs/>
        </w:rPr>
        <w:t>school official</w:t>
      </w:r>
      <w:r>
        <w:t xml:space="preserve"> zu benennen. Die Benennung nach § 99.31(a)(1) und die Kriterien der Jahresmitteilung nach § 99.7(a)(3)(iii) sind definitionsgemäß einrichtungsbezogene Akte. Der Bundesbeitrag bestand in Geld und Zuspruch — EO 14277, der Dear-Colleague-Letter vom Juli 2025, die Förderpriorität vom April 2026 — </w:t>
      </w:r>
      <w:r>
        <w:rPr>
          <w:b/>
          <w:bCs/>
        </w:rPr>
        <w:t>ohne jede Bedingung zu Genauigkeit, Bias, menschlicher Aufsicht oder Anfechtbarkeit</w:t>
      </w:r>
      <w:r>
        <w:t>. Echte Ausnahme sind die bundeseigenen Schulsysteme DoDEA und Bureau of Indian Education, wo ein einziger Bundesvertrag viele Schulen erreicht.</w:t>
      </w:r>
    </w:p>
    <w:p w14:paraId="1E648797" w14:textId="77777777" w:rsidR="0090768F" w:rsidRDefault="00000000">
      <w:pPr>
        <w:pStyle w:val="BodyText"/>
      </w:pPr>
      <w:r>
        <w:rPr>
          <w:b/>
          <w:bCs/>
        </w:rPr>
        <w:t>Ein Einzelstaat kommt weit, aber nicht ganz.</w:t>
      </w:r>
      <w:r>
        <w:t xml:space="preserve"> Vier Mechanismen, aufsteigend: Freigabelisten der Landesbildungsbehörden (empfehlend; verkürzt die Prüfung, ersetzt den Vertrag des Bezirks nicht); landesweite Rahmenverträge (beseitigt die Vergabe, jeder Bezirk zeichnet gleichwohl einen Beitritt und einen eigenen Vertrag); Einkaufskooperativen (eine Ausschreibung, auf die Mitglieder aufsatteln); und — der Mechanismus, um den die US-Strategie herum zu bauen ist — </w:t>
      </w:r>
      <w:r>
        <w:rPr>
          <w:b/>
          <w:bCs/>
        </w:rPr>
        <w:t>das National Data Privacy Agreement des SDPC</w:t>
      </w:r>
      <w:r>
        <w:t>.</w:t>
      </w:r>
    </w:p>
    <w:p w14:paraId="11B273DD" w14:textId="77777777" w:rsidR="0090768F" w:rsidRDefault="00000000">
      <w:pPr>
        <w:pStyle w:val="BodyText"/>
      </w:pPr>
      <w:r>
        <w:rPr>
          <w:b/>
          <w:bCs/>
        </w:rPr>
        <w:t>Das NDPA und warum es die Antwort ist.</w:t>
      </w:r>
      <w:r>
        <w:t xml:space="preserve"> Getragen vom Student Data Privacy Consortium innerhalb der Access-4-Learning-Gemeinschaft; aktuelle Fassung </w:t>
      </w:r>
      <w:r>
        <w:rPr>
          <w:b/>
          <w:bCs/>
        </w:rPr>
        <w:t xml:space="preserve">NDPA v2.2 </w:t>
      </w:r>
      <w:r>
        <w:rPr>
          <w:b/>
          <w:bCs/>
        </w:rPr>
        <w:lastRenderedPageBreak/>
        <w:t>vom 19. November 2025</w:t>
      </w:r>
      <w:r>
        <w:t xml:space="preserve">; seit 2016 über 222.000 Standardverträge in Bezirken aus 41 Staaten und rund 35 Landesallianzen </w:t>
      </w:r>
      <w:r>
        <w:rPr>
          <w:i/>
          <w:iCs/>
        </w:rPr>
        <w:t>(Angaben des SDPC, nicht unabhängig verifiziert)</w:t>
      </w:r>
      <w:r>
        <w:t xml:space="preserve">. Entscheidend ist </w:t>
      </w:r>
      <w:r>
        <w:rPr>
          <w:b/>
          <w:bCs/>
        </w:rPr>
        <w:t>Exhibit E, „General Offer of Privacy Terms”</w:t>
      </w:r>
      <w:r>
        <w:t>: Der Anbieter schließt einen vollständigen Vertrag mit einem Bezirk und erstreckt in Exhibit E dieselben Bedingungen auf jeden weiteren beitretenden Bezirk im Rahmen des Angebots, der durch eine einseitige Gegenzeichnung annimmt. Verträge und Angebote werden im SDPC Resource Registry veröffentlicht, das Bezirke vor der Beschaffung durchsuchen. Staatsspezifische Anlagen tragen landesrechtliche Anforderungen — New Yorks Exhibits G, J, K und L zum Education Law § 2-d sind der klarste Fall.</w:t>
      </w:r>
    </w:p>
    <w:p w14:paraId="0613AE1F" w14:textId="77777777" w:rsidR="0090768F" w:rsidRDefault="00000000">
      <w:pPr>
        <w:pStyle w:val="BodyText"/>
      </w:pPr>
      <w:r>
        <w:rPr>
          <w:b/>
          <w:bCs/>
        </w:rPr>
        <w:t>Das ist das Nächste, was die USA an „viele Schulen auf einmal freigeben” haben — und es ist ein privatwirtschaftlicher, kein staatlicher Mechanismus.</w:t>
      </w:r>
      <w:r>
        <w:t xml:space="preserve"> Er beseitigt den Einzelakt je Bezirk nicht; er reduziert ihn von einer Verhandlung auf eine Gegenzeichnung. </w:t>
      </w:r>
      <w:r>
        <w:rPr>
          <w:b/>
          <w:bCs/>
        </w:rPr>
        <w:t>Vorsicht: Exhibit E ist eine offene Verpflichtung gegenüber unbekannten Gegenparteien. Den aktuellen v2.2-Text vor Unterzeichnung lesen</w:t>
      </w:r>
      <w:r>
        <w:t xml:space="preserve"> — es ist der folgenreichste Vertrag, den wir in den USA schließen würden. </w:t>
      </w:r>
      <w:r>
        <w:rPr>
          <w:i/>
          <w:iCs/>
        </w:rPr>
        <w:t>(Der Wortlaut des Exhibit E in v2.2 konnte nicht beschafft werden.)</w:t>
      </w:r>
    </w:p>
    <w:tbl>
      <w:tblPr>
        <w:tblStyle w:val="Table"/>
        <w:tblW w:w="5000" w:type="pct"/>
        <w:tblLook w:val="0020" w:firstRow="1" w:lastRow="0" w:firstColumn="0" w:lastColumn="0" w:noHBand="0" w:noVBand="0"/>
      </w:tblPr>
      <w:tblGrid>
        <w:gridCol w:w="3353"/>
        <w:gridCol w:w="1967"/>
        <w:gridCol w:w="4040"/>
      </w:tblGrid>
      <w:tr w:rsidR="0090768F" w14:paraId="1BBA3F10"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3C0B7DA8" w14:textId="77777777" w:rsidR="0090768F" w:rsidRDefault="00000000">
            <w:pPr>
              <w:pStyle w:val="Compact"/>
            </w:pPr>
            <w:r>
              <w:t>Weg</w:t>
            </w:r>
          </w:p>
        </w:tc>
        <w:tc>
          <w:tcPr>
            <w:tcW w:w="0" w:type="auto"/>
          </w:tcPr>
          <w:p w14:paraId="1FE057D2" w14:textId="77777777" w:rsidR="0090768F" w:rsidRDefault="00000000">
            <w:pPr>
              <w:pStyle w:val="Compact"/>
            </w:pPr>
            <w:r>
              <w:t>Reichweite</w:t>
            </w:r>
          </w:p>
        </w:tc>
        <w:tc>
          <w:tcPr>
            <w:tcW w:w="0" w:type="auto"/>
          </w:tcPr>
          <w:p w14:paraId="7C95D932" w14:textId="77777777" w:rsidR="0090768F" w:rsidRDefault="00000000">
            <w:pPr>
              <w:pStyle w:val="Compact"/>
            </w:pPr>
            <w:r>
              <w:t xml:space="preserve">Dauer </w:t>
            </w:r>
            <w:r>
              <w:rPr>
                <w:i/>
                <w:iCs/>
              </w:rPr>
              <w:t>(Schätzungen)</w:t>
            </w:r>
          </w:p>
        </w:tc>
      </w:tr>
      <w:tr w:rsidR="0090768F" w14:paraId="21793385" w14:textId="77777777">
        <w:tc>
          <w:tcPr>
            <w:tcW w:w="0" w:type="auto"/>
          </w:tcPr>
          <w:p w14:paraId="531211DE" w14:textId="77777777" w:rsidR="0090768F" w:rsidRDefault="00000000">
            <w:pPr>
              <w:pStyle w:val="Compact"/>
            </w:pPr>
            <w:r>
              <w:t>Einzelbezirk, NDPA-Standardklauseln unverändert</w:t>
            </w:r>
          </w:p>
        </w:tc>
        <w:tc>
          <w:tcPr>
            <w:tcW w:w="0" w:type="auto"/>
          </w:tcPr>
          <w:p w14:paraId="77444F4E" w14:textId="77777777" w:rsidR="0090768F" w:rsidRDefault="00000000">
            <w:pPr>
              <w:pStyle w:val="Compact"/>
            </w:pPr>
            <w:r>
              <w:t>1 Bezirk</w:t>
            </w:r>
          </w:p>
        </w:tc>
        <w:tc>
          <w:tcPr>
            <w:tcW w:w="0" w:type="auto"/>
          </w:tcPr>
          <w:p w14:paraId="12A3657D" w14:textId="77777777" w:rsidR="0090768F" w:rsidRDefault="00000000">
            <w:pPr>
              <w:pStyle w:val="Compact"/>
            </w:pPr>
            <w:r>
              <w:t>2–8 Wochen ab Befassung des Datenschutzbeauftragten</w:t>
            </w:r>
          </w:p>
        </w:tc>
      </w:tr>
      <w:tr w:rsidR="0090768F" w14:paraId="2E8816B3" w14:textId="77777777">
        <w:tc>
          <w:tcPr>
            <w:tcW w:w="0" w:type="auto"/>
          </w:tcPr>
          <w:p w14:paraId="41BA3741" w14:textId="77777777" w:rsidR="0090768F" w:rsidRDefault="00000000">
            <w:pPr>
              <w:pStyle w:val="Compact"/>
            </w:pPr>
            <w:r>
              <w:t>Einzelbezirk, geänderte Bedingungen oder Nicht-NDPA-Staat</w:t>
            </w:r>
          </w:p>
        </w:tc>
        <w:tc>
          <w:tcPr>
            <w:tcW w:w="0" w:type="auto"/>
          </w:tcPr>
          <w:p w14:paraId="1FE68C76" w14:textId="77777777" w:rsidR="0090768F" w:rsidRDefault="00000000">
            <w:pPr>
              <w:pStyle w:val="Compact"/>
            </w:pPr>
            <w:r>
              <w:t>1 Bezirk</w:t>
            </w:r>
          </w:p>
        </w:tc>
        <w:tc>
          <w:tcPr>
            <w:tcW w:w="0" w:type="auto"/>
          </w:tcPr>
          <w:p w14:paraId="6AA74828" w14:textId="77777777" w:rsidR="0090768F" w:rsidRDefault="00000000">
            <w:pPr>
              <w:pStyle w:val="Compact"/>
            </w:pPr>
            <w:r>
              <w:t>2–6 Monate</w:t>
            </w:r>
          </w:p>
        </w:tc>
      </w:tr>
      <w:tr w:rsidR="0090768F" w14:paraId="301D8938" w14:textId="77777777">
        <w:tc>
          <w:tcPr>
            <w:tcW w:w="0" w:type="auto"/>
          </w:tcPr>
          <w:p w14:paraId="35DBA7A5" w14:textId="77777777" w:rsidR="0090768F" w:rsidRDefault="00000000">
            <w:pPr>
              <w:pStyle w:val="Compact"/>
            </w:pPr>
            <w:r>
              <w:t>Beitritt zu einer SDPC-Landesallianz, erstes NDPA mit Exhibit E</w:t>
            </w:r>
          </w:p>
        </w:tc>
        <w:tc>
          <w:tcPr>
            <w:tcW w:w="0" w:type="auto"/>
          </w:tcPr>
          <w:p w14:paraId="46BB3DE2" w14:textId="77777777" w:rsidR="0090768F" w:rsidRDefault="00000000">
            <w:pPr>
              <w:pStyle w:val="Compact"/>
            </w:pPr>
            <w:r>
              <w:t>jeder Bezirk dieser Allianz</w:t>
            </w:r>
          </w:p>
        </w:tc>
        <w:tc>
          <w:tcPr>
            <w:tcW w:w="0" w:type="auto"/>
          </w:tcPr>
          <w:p w14:paraId="1841D1E2" w14:textId="77777777" w:rsidR="0090768F" w:rsidRDefault="00000000">
            <w:pPr>
              <w:pStyle w:val="Compact"/>
            </w:pPr>
            <w:r>
              <w:t>3–6 Monate bis zur ersten Unterschrift; weitere Bezirke in Tagen bis Wochen</w:t>
            </w:r>
          </w:p>
        </w:tc>
      </w:tr>
      <w:tr w:rsidR="0090768F" w14:paraId="701087CB" w14:textId="77777777">
        <w:tc>
          <w:tcPr>
            <w:tcW w:w="0" w:type="auto"/>
          </w:tcPr>
          <w:p w14:paraId="7825F312" w14:textId="77777777" w:rsidR="0090768F" w:rsidRDefault="00000000">
            <w:pPr>
              <w:pStyle w:val="Compact"/>
            </w:pPr>
            <w:r>
              <w:t>Zuschlag einer Einkaufskooperative</w:t>
            </w:r>
          </w:p>
        </w:tc>
        <w:tc>
          <w:tcPr>
            <w:tcW w:w="0" w:type="auto"/>
          </w:tcPr>
          <w:p w14:paraId="62EAEF8D" w14:textId="77777777" w:rsidR="0090768F" w:rsidRDefault="00000000">
            <w:pPr>
              <w:pStyle w:val="Compact"/>
            </w:pPr>
            <w:r>
              <w:t>viele Bezirke, mehrstaatlich</w:t>
            </w:r>
          </w:p>
        </w:tc>
        <w:tc>
          <w:tcPr>
            <w:tcW w:w="0" w:type="auto"/>
          </w:tcPr>
          <w:p w14:paraId="69F4D15B" w14:textId="77777777" w:rsidR="0090768F" w:rsidRDefault="00000000">
            <w:pPr>
              <w:pStyle w:val="Compact"/>
            </w:pPr>
            <w:r>
              <w:t>6–12 Monate</w:t>
            </w:r>
          </w:p>
        </w:tc>
      </w:tr>
      <w:tr w:rsidR="0090768F" w14:paraId="3B0C6398" w14:textId="77777777">
        <w:tc>
          <w:tcPr>
            <w:tcW w:w="0" w:type="auto"/>
          </w:tcPr>
          <w:p w14:paraId="45365AA0" w14:textId="77777777" w:rsidR="0090768F" w:rsidRDefault="00000000">
            <w:pPr>
              <w:pStyle w:val="Compact"/>
            </w:pPr>
            <w:r>
              <w:t>Landesweiter Rahmenvertrag</w:t>
            </w:r>
          </w:p>
        </w:tc>
        <w:tc>
          <w:tcPr>
            <w:tcW w:w="0" w:type="auto"/>
          </w:tcPr>
          <w:p w14:paraId="513F8AE9" w14:textId="77777777" w:rsidR="0090768F" w:rsidRDefault="00000000">
            <w:pPr>
              <w:pStyle w:val="Compact"/>
            </w:pPr>
            <w:r>
              <w:t>landesweit</w:t>
            </w:r>
          </w:p>
        </w:tc>
        <w:tc>
          <w:tcPr>
            <w:tcW w:w="0" w:type="auto"/>
          </w:tcPr>
          <w:p w14:paraId="0DC0DDDF" w14:textId="77777777" w:rsidR="0090768F" w:rsidRDefault="00000000">
            <w:pPr>
              <w:pStyle w:val="Compact"/>
            </w:pPr>
            <w:r>
              <w:t>9–18 Monate</w:t>
            </w:r>
          </w:p>
        </w:tc>
      </w:tr>
      <w:tr w:rsidR="0090768F" w14:paraId="608C578F" w14:textId="77777777">
        <w:tc>
          <w:tcPr>
            <w:tcW w:w="0" w:type="auto"/>
          </w:tcPr>
          <w:p w14:paraId="65557ECE" w14:textId="77777777" w:rsidR="0090768F" w:rsidRDefault="00000000">
            <w:pPr>
              <w:pStyle w:val="Compact"/>
            </w:pPr>
            <w:r>
              <w:t>Bundesweite Freigabe aller US-Schulen</w:t>
            </w:r>
          </w:p>
        </w:tc>
        <w:tc>
          <w:tcPr>
            <w:tcW w:w="0" w:type="auto"/>
          </w:tcPr>
          <w:p w14:paraId="1BEE94B5" w14:textId="77777777" w:rsidR="0090768F" w:rsidRDefault="00000000">
            <w:pPr>
              <w:pStyle w:val="Compact"/>
            </w:pPr>
            <w:r>
              <w:t>—</w:t>
            </w:r>
          </w:p>
        </w:tc>
        <w:tc>
          <w:tcPr>
            <w:tcW w:w="0" w:type="auto"/>
          </w:tcPr>
          <w:p w14:paraId="2ACB9E80" w14:textId="77777777" w:rsidR="0090768F" w:rsidRDefault="00000000">
            <w:pPr>
              <w:pStyle w:val="Compact"/>
            </w:pPr>
            <w:r>
              <w:rPr>
                <w:b/>
                <w:bCs/>
              </w:rPr>
              <w:t>kein gangbarer Weg</w:t>
            </w:r>
          </w:p>
        </w:tc>
      </w:tr>
    </w:tbl>
    <w:p w14:paraId="0307F899" w14:textId="77777777" w:rsidR="0090768F" w:rsidRDefault="00000000">
      <w:pPr>
        <w:pStyle w:val="Heading2"/>
      </w:pPr>
      <w:bookmarkStart w:id="159" w:name="vereinigtes-königreich-1"/>
      <w:bookmarkStart w:id="160" w:name="_Toc240060422"/>
      <w:bookmarkEnd w:id="154"/>
      <w:bookmarkEnd w:id="158"/>
      <w:r>
        <w:t>9. Vereinigtes Königreich</w:t>
      </w:r>
      <w:bookmarkEnd w:id="160"/>
    </w:p>
    <w:p w14:paraId="63D8AB6B" w14:textId="77777777" w:rsidR="0090768F" w:rsidRDefault="00000000">
      <w:pPr>
        <w:pStyle w:val="Heading3"/>
      </w:pPr>
      <w:bookmarkStart w:id="161" w:name="X65d6cd3b01f4a6f4fa3772821e6ea744c8a1257"/>
      <w:r>
        <w:t>9.1 Die verbindlichen britischen KI-Regeln sind Datenschutzregeln</w:t>
      </w:r>
    </w:p>
    <w:p w14:paraId="0A351DAA" w14:textId="77777777" w:rsidR="0090768F" w:rsidRDefault="00000000">
      <w:pPr>
        <w:pStyle w:val="FirstParagraph"/>
      </w:pPr>
      <w:r>
        <w:rPr>
          <w:b/>
          <w:bCs/>
        </w:rPr>
        <w:t>Es gibt weiterhin kein britisches KI-Gesetz.</w:t>
      </w:r>
      <w:r>
        <w:t xml:space="preserve"> KI wird am Einsatzpunkt durch die bestehenden Fachaufsichten reguliert, auf Grundlage der fünf nicht gesetzlichen Prinzipien des Weißbuchs von März 2023. Das AI Safety Institute wurde am 24. Februar 2025 in </w:t>
      </w:r>
      <w:r>
        <w:rPr>
          <w:b/>
          <w:bCs/>
        </w:rPr>
        <w:t>AI Security Institute</w:t>
      </w:r>
      <w:r>
        <w:t xml:space="preserve"> umbenannt, ist nicht gesetzlich verankert, arbeitet an Frontier-Modell-Evaluationen und hat keine Zuständigkeit für EdTech. Ein Gesetzentwurf eines Abgeordneten erhielt am 4. Juni 2026 eine zweite Lesung im Oberhaus — ein Signal, kein Risiko.</w:t>
      </w:r>
    </w:p>
    <w:p w14:paraId="32BFBB8E" w14:textId="77777777" w:rsidR="0090768F" w:rsidRDefault="00000000">
      <w:pPr>
        <w:pStyle w:val="BodyText"/>
      </w:pPr>
      <w:r>
        <w:lastRenderedPageBreak/>
        <w:t xml:space="preserve">Maßgeblich ist daher die </w:t>
      </w:r>
      <w:r>
        <w:rPr>
          <w:b/>
          <w:bCs/>
        </w:rPr>
        <w:t>UK-GDPR in der Fassung des Data (Use and Access) Act 2025</w:t>
      </w:r>
      <w:r>
        <w:t xml:space="preserve"> nebst dem kommenden gesetzlichen ICO-Kodex.</w:t>
      </w:r>
    </w:p>
    <w:p w14:paraId="008B044A" w14:textId="77777777" w:rsidR="0090768F" w:rsidRDefault="00000000">
      <w:pPr>
        <w:pStyle w:val="Heading3"/>
      </w:pPr>
      <w:bookmarkStart w:id="162" w:name="Xcb206ce55cd576a87ba49825b9d8065cf27dcb9"/>
      <w:bookmarkEnd w:id="161"/>
      <w:r>
        <w:t>9.2 Die DUAA-Reform der automatisierten Entscheidung — eine echte Divergenz zur EU</w:t>
      </w:r>
    </w:p>
    <w:p w14:paraId="70304C38" w14:textId="77777777" w:rsidR="0090768F" w:rsidRDefault="00000000">
      <w:pPr>
        <w:pStyle w:val="FirstParagraph"/>
      </w:pPr>
      <w:r>
        <w:t xml:space="preserve">Königliche Zustimmung am 19. Juni 2025; </w:t>
      </w:r>
      <w:r>
        <w:rPr>
          <w:b/>
          <w:bCs/>
        </w:rPr>
        <w:t>s.80 in Kraft seit 5. Februar 2026</w:t>
      </w:r>
      <w:r>
        <w:t xml:space="preserve">. Sie </w:t>
      </w:r>
      <w:r>
        <w:rPr>
          <w:b/>
          <w:bCs/>
        </w:rPr>
        <w:t>ersetzt Artikel 22 UK-GDPR vollständig</w:t>
      </w:r>
      <w:r>
        <w:t xml:space="preserve"> durch die Artikel 22A–22D.</w:t>
      </w:r>
    </w:p>
    <w:p w14:paraId="07E8E92C" w14:textId="77777777" w:rsidR="0090768F" w:rsidRDefault="00000000">
      <w:pPr>
        <w:pStyle w:val="Compact"/>
        <w:numPr>
          <w:ilvl w:val="0"/>
          <w:numId w:val="40"/>
        </w:numPr>
      </w:pPr>
      <w:r>
        <w:rPr>
          <w:b/>
          <w:bCs/>
        </w:rPr>
        <w:t>Art. 22A Abs. 1 Buchst. a:</w:t>
      </w:r>
      <w:r>
        <w:t xml:space="preserve"> Eine Entscheidung beruht ausschließlich auf automatisierter Verarbeitung, </w:t>
      </w:r>
      <w:r>
        <w:rPr>
          <w:i/>
          <w:iCs/>
        </w:rPr>
        <w:t>„if there is no meaningful human involvement in the taking of the decision”</w:t>
      </w:r>
      <w:r>
        <w:t>; Buchst. b definiert die „significant decision” als solche mit rechtlicher oder ähnlich erheblicher Wirkung. Abs. 2 verlangt die Berücksichtigung des Ausmaßes, in dem die Entscheidung durch Profiling zustande kommt.</w:t>
      </w:r>
    </w:p>
    <w:p w14:paraId="0D460080" w14:textId="77777777" w:rsidR="0090768F" w:rsidRDefault="00000000">
      <w:pPr>
        <w:pStyle w:val="Compact"/>
        <w:numPr>
          <w:ilvl w:val="0"/>
          <w:numId w:val="40"/>
        </w:numPr>
      </w:pPr>
      <w:r>
        <w:rPr>
          <w:b/>
          <w:bCs/>
        </w:rPr>
        <w:t>Art. 22B Abs. 1:</w:t>
      </w:r>
      <w:r>
        <w:t xml:space="preserve"> Das </w:t>
      </w:r>
      <w:r>
        <w:rPr>
          <w:b/>
          <w:bCs/>
        </w:rPr>
        <w:t>Verbot besteht nur noch für besondere Datenkategorien</w:t>
      </w:r>
      <w:r>
        <w:t xml:space="preserve"> fort — eine erhebliche Entscheidung, die ganz oder teilweise auf Art.-9-Verarbeitung beruht, darf nicht ausschließlich automatisiert ergehen, sofern nicht ausdrückliche Einwilligung oder Vertrag/gesetzliche Ermächtigung nebst Art. 9 Abs. 2 Buchst. g vorliegen. </w:t>
      </w:r>
      <w:r>
        <w:rPr>
          <w:b/>
          <w:bCs/>
        </w:rPr>
        <w:t>Abs. 4</w:t>
      </w:r>
      <w:r>
        <w:t xml:space="preserve"> schließt die Stützung auf die neuen „recognised legitimate interests” vollständig aus.</w:t>
      </w:r>
    </w:p>
    <w:p w14:paraId="518DD4DD" w14:textId="77777777" w:rsidR="0090768F" w:rsidRDefault="00000000">
      <w:pPr>
        <w:pStyle w:val="Compact"/>
        <w:numPr>
          <w:ilvl w:val="0"/>
          <w:numId w:val="40"/>
        </w:numPr>
      </w:pPr>
      <w:r>
        <w:rPr>
          <w:b/>
          <w:bCs/>
        </w:rPr>
        <w:t>Art. 22C:</w:t>
      </w:r>
      <w:r>
        <w:t xml:space="preserve"> Im Übrigen sind ausschließlich automatisierte erhebliche Entscheidungen </w:t>
      </w:r>
      <w:r>
        <w:rPr>
          <w:b/>
          <w:bCs/>
        </w:rPr>
        <w:t>zulässig, vorbehaltlich vier Garantien</w:t>
      </w:r>
      <w:r>
        <w:t xml:space="preserve"> — Information über die Entscheidung, Möglichkeit zur Stellungnahme, Eingreifen eines Menschen, Anfechtungsmöglichkeit.</w:t>
      </w:r>
    </w:p>
    <w:p w14:paraId="492BFC20" w14:textId="77777777" w:rsidR="0090768F" w:rsidRDefault="00000000">
      <w:pPr>
        <w:pStyle w:val="Compact"/>
        <w:numPr>
          <w:ilvl w:val="0"/>
          <w:numId w:val="40"/>
        </w:numPr>
      </w:pPr>
      <w:r>
        <w:rPr>
          <w:b/>
          <w:bCs/>
        </w:rPr>
        <w:t>DPA 2018 s.14 wurde zum 5. Februar 2026 aufgehoben.</w:t>
      </w:r>
      <w:r>
        <w:t xml:space="preserve"> Jedes interne Dokument, jede DSFA-Vorlage und jedes Vertriebsmaterial, das s.14 zitiert, ist nun falsch.</w:t>
      </w:r>
    </w:p>
    <w:p w14:paraId="3774294C" w14:textId="77777777" w:rsidR="0090768F" w:rsidRDefault="00000000">
      <w:pPr>
        <w:pStyle w:val="FirstParagraph"/>
      </w:pPr>
      <w:r>
        <w:rPr>
          <w:b/>
          <w:bCs/>
        </w:rPr>
        <w:t>Anwendung auf uns.</w:t>
      </w:r>
      <w:r>
        <w:t xml:space="preserve"> Eine Prüfungsnote ist ersichtlich eine erhebliche Entscheidung; der ICO-Entwurf ergänzt, dass Kinder Entscheidungen als erheblich empfinden können, die andere nicht so empfinden, und dass Organisationen, die nicht differenzieren können, die Garantien durchgängig anwenden sollten. </w:t>
      </w:r>
      <w:r>
        <w:rPr>
          <w:b/>
          <w:bCs/>
        </w:rPr>
        <w:t>Die eigentliche Gefahr sind die besonderen Kategorien:</w:t>
      </w:r>
      <w:r>
        <w:t xml:space="preserve"> Art. 22B greift, wenn die Entscheidung </w:t>
      </w:r>
      <w:r>
        <w:rPr>
          <w:i/>
          <w:iCs/>
        </w:rPr>
        <w:t>„ganz oder teilweise”</w:t>
      </w:r>
      <w:r>
        <w:t xml:space="preserve"> auf Art.-9-Verarbeitung beruht, und vollständige Arbeiten enthalten regelmäßig Gesundheits-, Behinderungs-, Religions-, Ethnizitäts- oder Orientierungsbezüge. Versagt die menschliche Prüfung je, wird die Entscheidung ausschließlich automatisiert </w:t>
      </w:r>
      <w:r>
        <w:rPr>
          <w:i/>
          <w:iCs/>
        </w:rPr>
        <w:t>und</w:t>
      </w:r>
      <w:r>
        <w:t xml:space="preserve"> beruht teilweise auf besonderen Kategorien — und keine der beiden verfügbaren Bedingungen ist für eine Schule angenehm.</w:t>
      </w:r>
    </w:p>
    <w:p w14:paraId="7E6121FF" w14:textId="77777777" w:rsidR="0090768F" w:rsidRDefault="00000000">
      <w:pPr>
        <w:pStyle w:val="BodyText"/>
      </w:pPr>
      <w:r>
        <w:rPr>
          <w:b/>
          <w:bCs/>
        </w:rPr>
        <w:t>Der ICO-Entwurf zur automatisierten Entscheidung</w:t>
      </w:r>
      <w:r>
        <w:t xml:space="preserve"> (Konsultation 31. März bis 29. Mai 2026; </w:t>
      </w:r>
      <w:r>
        <w:rPr>
          <w:b/>
          <w:bCs/>
        </w:rPr>
        <w:t>endgültige Fassung am 11. September 2026 nicht veröffentlicht</w:t>
      </w:r>
      <w:r>
        <w:t xml:space="preserve">) setzt einen anspruchsvollen Maßstab für aussagekräftige menschliche Beteiligung: aktive Beteiligung statt symbolischer Gesten, vor Anwendung der Entscheidung; der Prüfer muss die Entscheidung sehen, solange sie änderbar ist, und Befugnis und Fähigkeit zur Änderung haben; er muss in Logik, Ausgaben, Grenzen und Risiken des Systems geschult sein; er muss die relevanten Daten berücksichtigen; </w:t>
      </w:r>
      <w:r>
        <w:rPr>
          <w:b/>
          <w:bCs/>
        </w:rPr>
        <w:t>die Prüfung muss bei jeder Entscheidung stattfinden, nicht stichprobenartig</w:t>
      </w:r>
      <w:r>
        <w:t xml:space="preserve">; Zeitpunkt und Verfahren sind zu dokumentieren; und die Informationspflicht aus Art. 22C ist entscheidungsbezogen, eine </w:t>
      </w:r>
      <w:r>
        <w:lastRenderedPageBreak/>
        <w:t xml:space="preserve">Datenschutzerklärung genügt nicht. </w:t>
      </w:r>
      <w:r>
        <w:rPr>
          <w:i/>
          <w:iCs/>
        </w:rPr>
        <w:t>(Diese Einzelheiten stammen aus dem Entwurf und aus Kanzleianalysen dazu; die Kriterien können sich ändern.)</w:t>
      </w:r>
    </w:p>
    <w:p w14:paraId="6F622839" w14:textId="77777777" w:rsidR="0090768F" w:rsidRDefault="00000000">
      <w:pPr>
        <w:pStyle w:val="BodyText"/>
      </w:pPr>
      <w:r>
        <w:rPr>
          <w:b/>
          <w:bCs/>
        </w:rPr>
        <w:t>Ein gesetzlicher ICO-Kodex ist nun vorgeschrieben.</w:t>
      </w:r>
      <w:r>
        <w:t xml:space="preserve"> Die Data Protection Act 2018 (Code of Practice on Artificial Intelligence and Automated Decision-Making) Regulations 2026, </w:t>
      </w:r>
      <w:r>
        <w:rPr>
          <w:b/>
          <w:bCs/>
        </w:rPr>
        <w:t>SI 2026/425, in Kraft seit 12. Mai 2026</w:t>
      </w:r>
      <w:r>
        <w:t xml:space="preserve">, verpflichten den Commissioner zu einem Kodex über Entwicklung und Einsatz von KI sowie automatisierte Entscheidungen — und reg. 2(2): Der Kodex </w:t>
      </w:r>
      <w:r>
        <w:rPr>
          <w:b/>
          <w:bCs/>
        </w:rPr>
        <w:t>muss</w:t>
      </w:r>
      <w:r>
        <w:t xml:space="preserve"> Leitlinien zur Verarbeitung personenbezogener Daten von Kindern enthalten. Es handelt sich um einen gesetzlichen Kodex, der vor Gericht verwertbar ist und den der ICO bei der Durchsetzung berücksichtigen muss. </w:t>
      </w:r>
      <w:r>
        <w:rPr>
          <w:b/>
          <w:bCs/>
        </w:rPr>
        <w:t>Am 11. September 2026 waren weder Entwurf noch Konsultation noch Zeitplan veröffentlicht. Sein Kinder-Kapitel wird das maßgebliche britische Konformitätsdokument für uns; beobachten.</w:t>
      </w:r>
    </w:p>
    <w:p w14:paraId="23AE04D3" w14:textId="77777777" w:rsidR="0090768F" w:rsidRDefault="00000000">
      <w:pPr>
        <w:pStyle w:val="Heading3"/>
      </w:pPr>
      <w:bookmarkStart w:id="163" w:name="X7bb698d813931a007a3a2fc4fee40763738292c"/>
      <w:bookmarkEnd w:id="162"/>
      <w:r>
        <w:t>9.3 Die Prüfungsarbeiten-Ausnahme — nützlich und regelmäßig überzeichnet</w:t>
      </w:r>
    </w:p>
    <w:p w14:paraId="65FBDEB4" w14:textId="77777777" w:rsidR="0090768F" w:rsidRDefault="00000000">
      <w:pPr>
        <w:pStyle w:val="FirstParagraph"/>
      </w:pPr>
      <w:r>
        <w:t>DPA 2018 Sch. 2 Part 4 para 25 leistet zweierlei:</w:t>
      </w:r>
    </w:p>
    <w:p w14:paraId="0A9B873F" w14:textId="77777777" w:rsidR="0090768F" w:rsidRDefault="00000000">
      <w:pPr>
        <w:pStyle w:val="Compact"/>
        <w:numPr>
          <w:ilvl w:val="0"/>
          <w:numId w:val="41"/>
        </w:numPr>
      </w:pPr>
      <w:r>
        <w:rPr>
          <w:b/>
          <w:bCs/>
        </w:rPr>
        <w:t>Abs. 1 ist eine echte Ausnahme:</w:t>
      </w:r>
      <w:r>
        <w:t xml:space="preserve"> Art. 13 Abs. 1–3, Art. 14 Abs. 1–4 und Art. 15 Abs. 1–3 </w:t>
      </w:r>
      <w:r>
        <w:rPr>
          <w:i/>
          <w:iCs/>
        </w:rPr>
        <w:t>„do not apply to personal data consisting of information recorded by candidates during an exam”</w:t>
      </w:r>
      <w:r>
        <w:t>. Ein Auskunftsersuchen erzwingt also nicht die Herausgabe des Arbeitsinhalts selbst.</w:t>
      </w:r>
    </w:p>
    <w:p w14:paraId="0BA025ED" w14:textId="77777777" w:rsidR="0090768F" w:rsidRDefault="00000000">
      <w:pPr>
        <w:pStyle w:val="Compact"/>
        <w:numPr>
          <w:ilvl w:val="0"/>
          <w:numId w:val="41"/>
        </w:numPr>
      </w:pPr>
      <w:r>
        <w:rPr>
          <w:b/>
          <w:bCs/>
        </w:rPr>
        <w:t xml:space="preserve">Abs. 2–3 modifizieren für Noten lediglich die </w:t>
      </w:r>
      <w:r>
        <w:rPr>
          <w:b/>
          <w:bCs/>
          <w:i/>
          <w:iCs/>
        </w:rPr>
        <w:t>Frist</w:t>
      </w:r>
      <w:r>
        <w:rPr>
          <w:b/>
          <w:bCs/>
        </w:rPr>
        <w:t>:</w:t>
      </w:r>
      <w:r>
        <w:t xml:space="preserve"> Entsteht die Frage vor Bekanntgabe der Ergebnisse, gilt eine Frist von fünf Monaten ab Entstehen oder vierzig Tagen ab Bekanntgabe, je nachdem, was früher eintritt. Die Noten bleiben auskunftspflichtig.</w:t>
      </w:r>
    </w:p>
    <w:p w14:paraId="19DBA4C1" w14:textId="77777777" w:rsidR="0090768F" w:rsidRDefault="00000000">
      <w:pPr>
        <w:pStyle w:val="FirstParagraph"/>
      </w:pPr>
      <w:r>
        <w:rPr>
          <w:b/>
          <w:bCs/>
        </w:rPr>
        <w:t>Für Artikel 22C leistet sie nichts.</w:t>
      </w:r>
      <w:r>
        <w:t xml:space="preserve"> Para 25 beschränkt nur Art. 13–15. Die Pflichten aus Art. 22C, Art. 16 (Berichtigung), Art. 21 (Widerspruch) und die neue Beschwerdepflicht bleiben unberührt. Ein Pitch, der para 25 für „Prüfungsdaten sind ausgenommen” heranzieht, ist überzeichnet und wird von jedem kompetenten schulischen Datenschutzbeauftragten erkannt.</w:t>
      </w:r>
    </w:p>
    <w:p w14:paraId="1A4C47AC" w14:textId="77777777" w:rsidR="0090768F" w:rsidRDefault="00000000">
      <w:pPr>
        <w:pStyle w:val="BodyText"/>
      </w:pPr>
      <w:r>
        <w:rPr>
          <w:b/>
          <w:bCs/>
        </w:rPr>
        <w:t>Neues Beschwerderegime.</w:t>
      </w:r>
      <w:r>
        <w:t xml:space="preserve"> DUAA s.103, in Kraft seit 19. Juni 2026, fügt DPA 2018 s.164A ein: Betroffene können sich </w:t>
      </w:r>
      <w:r>
        <w:rPr>
          <w:b/>
          <w:bCs/>
        </w:rPr>
        <w:t>beim Verantwortlichen</w:t>
      </w:r>
      <w:r>
        <w:t xml:space="preserve"> beschweren, der die Beschwerde </w:t>
      </w:r>
      <w:r>
        <w:rPr>
          <w:i/>
          <w:iCs/>
        </w:rPr>
        <w:t>erleichtern</w:t>
      </w:r>
      <w:r>
        <w:t xml:space="preserve"> (etwa durch ein elektronisches Formular), </w:t>
      </w:r>
      <w:r>
        <w:rPr>
          <w:b/>
          <w:bCs/>
        </w:rPr>
        <w:t>binnen 30 Tagen bestätigen</w:t>
      </w:r>
      <w:r>
        <w:t xml:space="preserve"> und unverzüglich reagieren muss. Art. 77 UK-GDPR wurde aufgehoben. Ein Elternteil, das eine KI-gestützte Note bestreitet, ist damit ein Datenschutzbeschwerdefall mit gesetzlicher Frist. </w:t>
      </w:r>
      <w:r>
        <w:rPr>
          <w:b/>
          <w:bCs/>
        </w:rPr>
        <w:t>Einen entscheidungsbezogenen Anfechtungs-/Beschwerdeprozess ausliefern, den die Schule in ihr s.164A-Verfahren überführen kann — er erfüllt zugleich die Garantien des Art. 22C Abs. 2 Buchst. b und d.</w:t>
      </w:r>
    </w:p>
    <w:p w14:paraId="7B6656DD" w14:textId="77777777" w:rsidR="0090768F" w:rsidRDefault="00000000">
      <w:pPr>
        <w:pStyle w:val="Heading3"/>
      </w:pPr>
      <w:bookmarkStart w:id="164" w:name="X99afafc55667c090d857beec659b5a43a0d16d5"/>
      <w:bookmarkEnd w:id="163"/>
      <w:r>
        <w:t>9.4 Das EdTech-Audit des ICO — die beste verfügbare britische Konformitätscheckliste</w:t>
      </w:r>
    </w:p>
    <w:p w14:paraId="201F6422" w14:textId="77777777" w:rsidR="0090768F" w:rsidRDefault="00000000">
      <w:pPr>
        <w:pStyle w:val="FirstParagraph"/>
      </w:pPr>
      <w:r>
        <w:rPr>
          <w:i/>
          <w:iCs/>
        </w:rPr>
        <w:t>Edtech examined</w:t>
      </w:r>
      <w:r>
        <w:t>, 24. Juni 2026: 28 geprüfte Anbieter, die geschätzt 70–90 %+ der britischen Schulen erreichen; 596 Empfehlungen, 98 % angenommen.</w:t>
      </w:r>
    </w:p>
    <w:tbl>
      <w:tblPr>
        <w:tblStyle w:val="Table"/>
        <w:tblW w:w="5000" w:type="pct"/>
        <w:tblLook w:val="0020" w:firstRow="1" w:lastRow="0" w:firstColumn="0" w:lastColumn="0" w:noHBand="0" w:noVBand="0"/>
      </w:tblPr>
      <w:tblGrid>
        <w:gridCol w:w="7744"/>
        <w:gridCol w:w="1616"/>
      </w:tblGrid>
      <w:tr w:rsidR="0090768F" w14:paraId="4CC1109D"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6F512BF7" w14:textId="77777777" w:rsidR="0090768F" w:rsidRDefault="00000000">
            <w:pPr>
              <w:pStyle w:val="Compact"/>
            </w:pPr>
            <w:r>
              <w:t>Befund</w:t>
            </w:r>
          </w:p>
        </w:tc>
        <w:tc>
          <w:tcPr>
            <w:tcW w:w="0" w:type="auto"/>
          </w:tcPr>
          <w:p w14:paraId="181084BD" w14:textId="77777777" w:rsidR="0090768F" w:rsidRDefault="00000000">
            <w:pPr>
              <w:pStyle w:val="Compact"/>
            </w:pPr>
            <w:r>
              <w:t>Verbreitung</w:t>
            </w:r>
          </w:p>
        </w:tc>
      </w:tr>
      <w:tr w:rsidR="0090768F" w14:paraId="45A4731D" w14:textId="77777777">
        <w:tc>
          <w:tcPr>
            <w:tcW w:w="0" w:type="auto"/>
          </w:tcPr>
          <w:p w14:paraId="25A73B97" w14:textId="77777777" w:rsidR="0090768F" w:rsidRDefault="00000000">
            <w:pPr>
              <w:pStyle w:val="Compact"/>
            </w:pPr>
            <w:r>
              <w:t xml:space="preserve">Sich nicht als </w:t>
            </w:r>
            <w:r>
              <w:rPr>
                <w:b/>
                <w:bCs/>
              </w:rPr>
              <w:t>Verantwortliche</w:t>
            </w:r>
            <w:r>
              <w:t xml:space="preserve"> erkannt, wenn Kinderdaten über den </w:t>
            </w:r>
            <w:r>
              <w:lastRenderedPageBreak/>
              <w:t>beauftragten Dienst hinaus genutzt wurden</w:t>
            </w:r>
          </w:p>
        </w:tc>
        <w:tc>
          <w:tcPr>
            <w:tcW w:w="0" w:type="auto"/>
          </w:tcPr>
          <w:p w14:paraId="1BA5E08E" w14:textId="77777777" w:rsidR="0090768F" w:rsidRDefault="00000000">
            <w:pPr>
              <w:pStyle w:val="Compact"/>
            </w:pPr>
            <w:r>
              <w:lastRenderedPageBreak/>
              <w:t>~70 %</w:t>
            </w:r>
          </w:p>
        </w:tc>
      </w:tr>
      <w:tr w:rsidR="0090768F" w14:paraId="0A681401" w14:textId="77777777">
        <w:tc>
          <w:tcPr>
            <w:tcW w:w="0" w:type="auto"/>
          </w:tcPr>
          <w:p w14:paraId="50E0FCF8" w14:textId="77777777" w:rsidR="0090768F" w:rsidRDefault="00000000">
            <w:pPr>
              <w:pStyle w:val="Compact"/>
            </w:pPr>
            <w:r>
              <w:t>Unvollständige oder unrichtige Verarbeitungsverzeichnisse</w:t>
            </w:r>
          </w:p>
        </w:tc>
        <w:tc>
          <w:tcPr>
            <w:tcW w:w="0" w:type="auto"/>
          </w:tcPr>
          <w:p w14:paraId="6255A356" w14:textId="77777777" w:rsidR="0090768F" w:rsidRDefault="00000000">
            <w:pPr>
              <w:pStyle w:val="Compact"/>
            </w:pPr>
            <w:r>
              <w:t>~90 %</w:t>
            </w:r>
          </w:p>
        </w:tc>
      </w:tr>
      <w:tr w:rsidR="0090768F" w14:paraId="6731DE63" w14:textId="77777777">
        <w:tc>
          <w:tcPr>
            <w:tcW w:w="0" w:type="auto"/>
          </w:tcPr>
          <w:p w14:paraId="55D42435" w14:textId="77777777" w:rsidR="0090768F" w:rsidRDefault="00000000">
            <w:pPr>
              <w:pStyle w:val="Compact"/>
            </w:pPr>
            <w:r>
              <w:t>Vage Verträge ohne konkrete Verarbeitungsweisungen</w:t>
            </w:r>
          </w:p>
        </w:tc>
        <w:tc>
          <w:tcPr>
            <w:tcW w:w="0" w:type="auto"/>
          </w:tcPr>
          <w:p w14:paraId="467DE7C9" w14:textId="77777777" w:rsidR="0090768F" w:rsidRDefault="00000000">
            <w:pPr>
              <w:pStyle w:val="Compact"/>
            </w:pPr>
            <w:r>
              <w:t>~70 %</w:t>
            </w:r>
          </w:p>
        </w:tc>
      </w:tr>
      <w:tr w:rsidR="0090768F" w14:paraId="01BBB019" w14:textId="77777777">
        <w:tc>
          <w:tcPr>
            <w:tcW w:w="0" w:type="auto"/>
          </w:tcPr>
          <w:p w14:paraId="7F2D6A08" w14:textId="77777777" w:rsidR="0090768F" w:rsidRDefault="00000000">
            <w:pPr>
              <w:pStyle w:val="Compact"/>
            </w:pPr>
            <w:r>
              <w:t>Unzureichend detaillierte veröffentlichte Datenschutzinformationen</w:t>
            </w:r>
          </w:p>
        </w:tc>
        <w:tc>
          <w:tcPr>
            <w:tcW w:w="0" w:type="auto"/>
          </w:tcPr>
          <w:p w14:paraId="0C49AE98" w14:textId="77777777" w:rsidR="0090768F" w:rsidRDefault="00000000">
            <w:pPr>
              <w:pStyle w:val="Compact"/>
            </w:pPr>
            <w:r>
              <w:t>~80 %</w:t>
            </w:r>
          </w:p>
        </w:tc>
      </w:tr>
      <w:tr w:rsidR="0090768F" w14:paraId="61365475" w14:textId="77777777">
        <w:tc>
          <w:tcPr>
            <w:tcW w:w="0" w:type="auto"/>
          </w:tcPr>
          <w:p w14:paraId="185F6F60" w14:textId="77777777" w:rsidR="0090768F" w:rsidRDefault="00000000">
            <w:pPr>
              <w:pStyle w:val="Compact"/>
            </w:pPr>
            <w:r>
              <w:t>Starre, nicht begründbare oder unbefristete Speicherung</w:t>
            </w:r>
          </w:p>
        </w:tc>
        <w:tc>
          <w:tcPr>
            <w:tcW w:w="0" w:type="auto"/>
          </w:tcPr>
          <w:p w14:paraId="20406383" w14:textId="77777777" w:rsidR="0090768F" w:rsidRDefault="00000000">
            <w:pPr>
              <w:pStyle w:val="Compact"/>
            </w:pPr>
            <w:r>
              <w:t>~70 %</w:t>
            </w:r>
          </w:p>
        </w:tc>
      </w:tr>
      <w:tr w:rsidR="0090768F" w14:paraId="171016B8" w14:textId="77777777">
        <w:tc>
          <w:tcPr>
            <w:tcW w:w="0" w:type="auto"/>
          </w:tcPr>
          <w:p w14:paraId="7C52EB5C" w14:textId="77777777" w:rsidR="0090768F" w:rsidRDefault="00000000">
            <w:pPr>
              <w:pStyle w:val="Compact"/>
            </w:pPr>
            <w:r>
              <w:t xml:space="preserve">DSFA, die Risiko organisationsbezogen statt als </w:t>
            </w:r>
            <w:r>
              <w:rPr>
                <w:b/>
                <w:bCs/>
              </w:rPr>
              <w:t>Risiko für Kinder</w:t>
            </w:r>
            <w:r>
              <w:t xml:space="preserve"> fassen</w:t>
            </w:r>
          </w:p>
        </w:tc>
        <w:tc>
          <w:tcPr>
            <w:tcW w:w="0" w:type="auto"/>
          </w:tcPr>
          <w:p w14:paraId="141C26FB" w14:textId="77777777" w:rsidR="0090768F" w:rsidRDefault="00000000">
            <w:pPr>
              <w:pStyle w:val="Compact"/>
            </w:pPr>
            <w:r>
              <w:t>weit verbreitet</w:t>
            </w:r>
          </w:p>
        </w:tc>
      </w:tr>
    </w:tbl>
    <w:p w14:paraId="5F4458C6" w14:textId="77777777" w:rsidR="0090768F" w:rsidRDefault="00000000">
      <w:pPr>
        <w:pStyle w:val="BodyText"/>
      </w:pPr>
      <w:r>
        <w:t xml:space="preserve">Zur KI im Besonderen: Mehrere Anbieter nutzten Kinderdaten zum Training von KI-Funktionen oder gaben anonymisierte Informationen an Dritte weiter, </w:t>
      </w:r>
      <w:r>
        <w:rPr>
          <w:b/>
          <w:bCs/>
        </w:rPr>
        <w:t>ohne eine Rechtsgrundlage zu benennen</w:t>
      </w:r>
      <w:r>
        <w:t xml:space="preserve">. Zur Minimierung empfiehlt der ICO Initialen oder Pseudonyme, Jahrgangsstufe statt vollständigem Geburtsdatum und </w:t>
      </w:r>
      <w:r>
        <w:rPr>
          <w:b/>
          <w:bCs/>
        </w:rPr>
        <w:t>besondere Kategorien optional und standardmäßig deaktiviert</w:t>
      </w:r>
      <w:r>
        <w:t xml:space="preserve">. Der ICO erörtert mit DfE und den dezentralen Verwaltungen einen </w:t>
      </w:r>
      <w:r>
        <w:rPr>
          <w:b/>
          <w:bCs/>
        </w:rPr>
        <w:t>möglichen neuen EdTech-Kodex</w:t>
      </w:r>
      <w:r>
        <w:t xml:space="preserve">, und die Beschaffungsleitlinien des DfE verweisen Schulen bereits auf den Bericht. </w:t>
      </w:r>
      <w:r>
        <w:rPr>
          <w:b/>
          <w:bCs/>
        </w:rPr>
        <w:t>Alle 596 Empfehlungsthemen als Vorabprüfungsfragen im Vertrieb behandeln, denn schulische Datenschutzbeauftragte werden sie nun stellen.</w:t>
      </w:r>
    </w:p>
    <w:p w14:paraId="5C0E8C27" w14:textId="77777777" w:rsidR="0090768F" w:rsidRDefault="00000000">
      <w:pPr>
        <w:pStyle w:val="BodyText"/>
      </w:pPr>
      <w:r>
        <w:rPr>
          <w:b/>
          <w:bCs/>
        </w:rPr>
        <w:t>Children’s Code.</w:t>
      </w:r>
      <w:r>
        <w:t xml:space="preserve"> Er gilt nicht, wenn alle drei Bedingungen erfüllt sind: kein Direktvertrieb an Verbraucher; der Anbieter verarbeitet Kinderdaten nur zur Erfüllung der von der Schule bestimmten öffentlichen Aufgabe; und der Anbieter handelt ausschließlich auf Weisung der Schule. </w:t>
      </w:r>
      <w:r>
        <w:rPr>
          <w:b/>
          <w:bCs/>
        </w:rPr>
        <w:t>Sobald wir Arbeiten zur Modellverbesserung, für Benchmarking oder Produktanalytik auf eigene Rechnung aufbewahren, werden wir Verantwortliche und der Kodex gilt vollständig.</w:t>
      </w:r>
      <w:r>
        <w:t xml:space="preserve"> Das ist eine binäre Architekturentscheidung. Seit 5. Februar 2026 verlangt DUAA s.81 zusätzlich die Berücksichtigung der „children’s higher protection matters” bei technischen und organisatorischen Maßnahmen.</w:t>
      </w:r>
    </w:p>
    <w:p w14:paraId="3523A769" w14:textId="77777777" w:rsidR="0090768F" w:rsidRDefault="00000000">
      <w:pPr>
        <w:pStyle w:val="Heading3"/>
      </w:pPr>
      <w:bookmarkStart w:id="165" w:name="dfe-der-faktische-anbieterstandard"/>
      <w:bookmarkEnd w:id="164"/>
      <w:r>
        <w:t>9.5 DfE — der faktische Anbieterstandard</w:t>
      </w:r>
    </w:p>
    <w:p w14:paraId="33DA288F" w14:textId="77777777" w:rsidR="0090768F" w:rsidRDefault="00000000">
      <w:pPr>
        <w:pStyle w:val="FirstParagraph"/>
      </w:pPr>
      <w:r>
        <w:rPr>
          <w:b/>
          <w:bCs/>
        </w:rPr>
        <w:t>„Generative AI: product safety standards”</w:t>
      </w:r>
      <w:r>
        <w:t xml:space="preserve"> (22. Januar 2025, zuletzt 19. Januar 2026; in KCSIE 2026 und im DfE-Grundsatzpapier weiterhin als „product safety expectations” bezeichnet — dasselbe Dokument). Sie richten sich an </w:t>
      </w:r>
      <w:r>
        <w:rPr>
          <w:b/>
          <w:bCs/>
        </w:rPr>
        <w:t>EdTech-Entwickler und -Anbieter</w:t>
      </w:r>
      <w:r>
        <w:t>, und die Verantwortung für vorgelagerte Zusicherungen liegt beim Anbieter, der unmittelbar mit der Schule arbeitet.</w:t>
      </w:r>
    </w:p>
    <w:p w14:paraId="5352BF61" w14:textId="77777777" w:rsidR="0090768F" w:rsidRDefault="00000000">
      <w:pPr>
        <w:pStyle w:val="BodyText"/>
      </w:pPr>
      <w:r>
        <w:t xml:space="preserve">Wir fallen eindeutig unter </w:t>
      </w:r>
      <w:r>
        <w:rPr>
          <w:b/>
          <w:bCs/>
        </w:rPr>
        <w:t>Anwendungsfall 3: „Assessment and analytics: tools that automate the marking of student work, provide detailed performance analytics, and offer personalised feedback.”</w:t>
      </w:r>
      <w:r>
        <w:t xml:space="preserve"> Das ist für den Zuschnitt wichtig: Mehrere Standards gelten ausdrücklich nur für lernerseitige Produkte, ein lehrkraftseitiges Produkt ist daher </w:t>
      </w:r>
      <w:r>
        <w:rPr>
          <w:b/>
          <w:bCs/>
        </w:rPr>
        <w:t>außerhalb</w:t>
      </w:r>
      <w:r>
        <w:t xml:space="preserve"> von Filtering, Monitoring, kognitiver, emotionaler und sozialer Entwicklung sowie psychischer Gesundheit — und </w:t>
      </w:r>
      <w:r>
        <w:rPr>
          <w:b/>
          <w:bCs/>
        </w:rPr>
        <w:t>innerhalb</w:t>
      </w:r>
      <w:r>
        <w:t xml:space="preserve"> von Security, Privacy and data protection, Intellectual property, Design and testing, Governance und Manipulation. </w:t>
      </w:r>
      <w:r>
        <w:rPr>
          <w:b/>
          <w:bCs/>
        </w:rPr>
        <w:t xml:space="preserve">Eine schülerseitige Feedbackfunktion verschiebt uns in die lernerseitigen Standards, einschließlich Meldewegen an die Schutzbeauftragten, Sitzungszeitbegrenzungen, </w:t>
      </w:r>
      <w:r>
        <w:rPr>
          <w:b/>
          <w:bCs/>
        </w:rPr>
        <w:lastRenderedPageBreak/>
        <w:t>Notlagenerkennung und Anti-Anthropomorphisierung. Das ist ein sehr großer Bau und gehört in einen eigenen Business Case.</w:t>
      </w:r>
    </w:p>
    <w:p w14:paraId="2884C661" w14:textId="77777777" w:rsidR="0090768F" w:rsidRDefault="00000000">
      <w:pPr>
        <w:pStyle w:val="BodyText"/>
      </w:pPr>
      <w:r>
        <w:t xml:space="preserve">Zu den uns bindenden Standards gehören: administrativ einstellbare Berechtigungsstufen, Sicherheitstests neuer Versionen und Modelle vor Freigabe, MFA für Konten mit Zugriff auf personenbezogene Betriebsdaten; eine in regelmäßigen Abständen und altersgerecht präsentierte Datenschutzerklärung mit Angabe, ob außerhalb des Vereinigten Königreichs oder der EU verarbeitet wird; eine </w:t>
      </w:r>
      <w:r>
        <w:rPr>
          <w:b/>
          <w:bCs/>
        </w:rPr>
        <w:t>DSFA während der Entwicklung und über den gesamten Lebenszyklus</w:t>
      </w:r>
      <w:r>
        <w:t xml:space="preserve">; Einhaltung des Children’s Code; und — entscheidend — </w:t>
      </w:r>
      <w:r>
        <w:rPr>
          <w:b/>
          <w:bCs/>
        </w:rPr>
        <w:t>keine Erhebung, Speicherung, Weitergabe oder Nutzung personenbezogener Daten zu kommerziellen Zwecken einschließlich weiterem Modelltraining und Feinabstimmung ohne Bestätigung einer geeigneten Rechtsgrundlage</w:t>
      </w:r>
      <w:r>
        <w:t>.</w:t>
      </w:r>
    </w:p>
    <w:p w14:paraId="08BB3E6D" w14:textId="77777777" w:rsidR="0090768F" w:rsidRDefault="00000000">
      <w:pPr>
        <w:pStyle w:val="BodyText"/>
      </w:pPr>
      <w:r>
        <w:rPr>
          <w:b/>
          <w:bCs/>
        </w:rPr>
        <w:t>Der IP-Standard ist die härteste Einzelbeschränkung für ein Datenschwungrad.</w:t>
      </w:r>
      <w:r>
        <w:t xml:space="preserve"> Klausuren sind urheberrechtlich geschützte Werke der Schüler; das DfE stellt fest, Schulen </w:t>
      </w:r>
      <w:r>
        <w:rPr>
          <w:i/>
          <w:iCs/>
        </w:rPr>
        <w:t>„must not allow or cause students’ original work to be used to train generative AI models unless they have permission, or an exception to copyright applies”</w:t>
      </w:r>
      <w:r>
        <w:t xml:space="preserve"> — Erlaubnis vom Schüler oder, bei Minderjährigen, von den Erziehungsberechtigten. Und es gibt keine einschlägige Schranke: Die weite Text-und-Data-Mining-Ausnahme wird nicht weiterverfolgt, und eine gesetzliche Transparenzpflicht zu Trainingsdaten besteht nicht. </w:t>
      </w:r>
      <w:r>
        <w:rPr>
          <w:b/>
          <w:bCs/>
        </w:rPr>
        <w:t>Mit einem gesondert lizenzierten Korpus planen.</w:t>
      </w:r>
      <w:r>
        <w:t xml:space="preserve"> Ofquals </w:t>
      </w:r>
      <w:r>
        <w:rPr>
          <w:i/>
          <w:iCs/>
        </w:rPr>
        <w:t>„bank of expertly marked student scripts, with appropriate permissions”</w:t>
      </w:r>
      <w:r>
        <w:t xml:space="preserve"> für den DfE-Content-Store ist das Vorbild und eine unmittelbar verfolgenswerte Option.</w:t>
      </w:r>
    </w:p>
    <w:p w14:paraId="12567E25" w14:textId="77777777" w:rsidR="0090768F" w:rsidRDefault="00000000">
      <w:pPr>
        <w:pStyle w:val="BodyText"/>
      </w:pPr>
      <w:r>
        <w:rPr>
          <w:b/>
          <w:bCs/>
        </w:rPr>
        <w:t>Der Manipulations-Standard gilt für lehrkraftseitige Produkte</w:t>
      </w:r>
      <w:r>
        <w:t xml:space="preserve"> und untersagt </w:t>
      </w:r>
      <w:r>
        <w:rPr>
          <w:i/>
          <w:iCs/>
        </w:rPr>
        <w:t>„portraying absolute, or unjustified confidence”</w:t>
      </w:r>
      <w:r>
        <w:t xml:space="preserve">. </w:t>
      </w:r>
      <w:r>
        <w:rPr>
          <w:b/>
          <w:bCs/>
        </w:rPr>
        <w:t>Das ist eine unmittelbare Oberflächenanforderung: kalibrierte Konfidenzbänder, Pflichtprüfung bei niedriger Konfidenz, und eine Note nie als feststehend darstellen.</w:t>
      </w:r>
    </w:p>
    <w:p w14:paraId="1B31FACE" w14:textId="77777777" w:rsidR="0090768F" w:rsidRDefault="00000000">
      <w:pPr>
        <w:pStyle w:val="BodyText"/>
      </w:pPr>
      <w:r>
        <w:rPr>
          <w:b/>
          <w:bCs/>
        </w:rPr>
        <w:t>Es gibt keine DfE-Zertifizierung, keine Selbsterklärung, kein Register und kein Konformitätszeichen.</w:t>
      </w:r>
      <w:r>
        <w:t xml:space="preserve"> Die Lücke ist eine Chance: Eine klauselweise Selbstauskunft gegen diese Standards zu veröffentlichen, kostet wenig, ist genau das, wonach schulische Datenschutzbeauftragte und Verwaltungsleitungen suchen, und nimmt die ICO-Befunde vorweg. Das </w:t>
      </w:r>
      <w:r>
        <w:rPr>
          <w:b/>
          <w:bCs/>
        </w:rPr>
        <w:t>EdTech Impact Testbed Programme</w:t>
      </w:r>
      <w:r>
        <w:t xml:space="preserve"> (£23 Mio. ab FY2026-27) ist der Weg zu einer staatlich testierten Evidenzbasis.</w:t>
      </w:r>
    </w:p>
    <w:p w14:paraId="676F6E80" w14:textId="77777777" w:rsidR="0090768F" w:rsidRDefault="00000000">
      <w:pPr>
        <w:pStyle w:val="BodyText"/>
      </w:pPr>
      <w:r>
        <w:t xml:space="preserve">Das DfE-Grundsatzpapier ist zugleich der beste Beleg für den Marktrückenwind: </w:t>
      </w:r>
      <w:r>
        <w:rPr>
          <w:i/>
          <w:iCs/>
        </w:rPr>
        <w:t>„We see more immediate benefits and fewer risks from teacher-facing use of generative AI”</w:t>
      </w:r>
      <w:r>
        <w:t xml:space="preserve">, verbunden mit der Verantwortungsregel — </w:t>
      </w:r>
      <w:r>
        <w:rPr>
          <w:i/>
          <w:iCs/>
        </w:rPr>
        <w:t>„The quality and content of any final documents remains the responsibility of the professional who produced it.”</w:t>
      </w:r>
      <w:r>
        <w:t xml:space="preserve"> Ofsted bewertet den KI-Einsatz nicht unmittelbar, sondern dessen </w:t>
      </w:r>
      <w:r>
        <w:rPr>
          <w:b/>
          <w:bCs/>
        </w:rPr>
        <w:t>Wirkung</w:t>
      </w:r>
      <w:r>
        <w:t xml:space="preserve">, und beurteilt </w:t>
      </w:r>
      <w:r>
        <w:rPr>
          <w:b/>
          <w:bCs/>
        </w:rPr>
        <w:t>die Entscheidungsfindung des Trägers</w:t>
      </w:r>
      <w:r>
        <w:t>, nicht das Werkzeug.</w:t>
      </w:r>
    </w:p>
    <w:p w14:paraId="38EF1126" w14:textId="77777777" w:rsidR="0090768F" w:rsidRDefault="00000000">
      <w:pPr>
        <w:pStyle w:val="Heading3"/>
      </w:pPr>
      <w:bookmarkStart w:id="166" w:name="Xfdbc34e237be9747d90ab1f3fc9099941608673"/>
      <w:bookmarkEnd w:id="165"/>
      <w:r>
        <w:t>9.6 Ofqual und JCQ — die harte Grenze und der verbleibende Raum</w:t>
      </w:r>
    </w:p>
    <w:p w14:paraId="4671A0D1" w14:textId="77777777" w:rsidR="0090768F" w:rsidRDefault="00000000">
      <w:pPr>
        <w:pStyle w:val="FirstParagraph"/>
      </w:pPr>
      <w:r>
        <w:rPr>
          <w:b/>
          <w:bCs/>
        </w:rPr>
        <w:t>Ofquals Position (Grundsatzpapier, Stand 16. Juli 2026):</w:t>
      </w:r>
    </w:p>
    <w:p w14:paraId="10334CBE" w14:textId="77777777" w:rsidR="0090768F" w:rsidRDefault="00000000">
      <w:pPr>
        <w:pStyle w:val="BlockText"/>
      </w:pPr>
      <w:r>
        <w:rPr>
          <w:i/>
          <w:iCs/>
        </w:rPr>
        <w:lastRenderedPageBreak/>
        <w:t xml:space="preserve">„We have made clear to awarding organisations that </w:t>
      </w:r>
      <w:r>
        <w:rPr>
          <w:b/>
          <w:bCs/>
          <w:i/>
          <w:iCs/>
        </w:rPr>
        <w:t>AI may not be used as a sole marker in any assessments that are part of regulated qualifications</w:t>
      </w:r>
      <w:r>
        <w:rPr>
          <w:i/>
          <w:iCs/>
        </w:rPr>
        <w:t>.”</w:t>
      </w:r>
    </w:p>
    <w:p w14:paraId="1B13CE32" w14:textId="77777777" w:rsidR="0090768F" w:rsidRDefault="00000000">
      <w:pPr>
        <w:pStyle w:val="FirstParagraph"/>
      </w:pPr>
      <w:r>
        <w:t>Und im nächsten Absatz die Öffnung:</w:t>
      </w:r>
    </w:p>
    <w:p w14:paraId="61DA1E57" w14:textId="77777777" w:rsidR="0090768F" w:rsidRDefault="00000000">
      <w:pPr>
        <w:pStyle w:val="BlockText"/>
      </w:pPr>
      <w:r>
        <w:rPr>
          <w:i/>
          <w:iCs/>
        </w:rPr>
        <w:t>„…we recognise the potential for AI to support marking of lower-stakes and classroom-based assessment. We have contributed to work led by the Department for Education to support the development of AI tools to assist teachers in marking classroom assessments.”</w:t>
      </w:r>
    </w:p>
    <w:p w14:paraId="07CAE911" w14:textId="77777777" w:rsidR="0090768F" w:rsidRDefault="00000000">
      <w:pPr>
        <w:pStyle w:val="FirstParagraph"/>
      </w:pPr>
      <w:r>
        <w:t xml:space="preserve">Ofquals Forschungspapier </w:t>
      </w:r>
      <w:r>
        <w:rPr>
          <w:i/>
          <w:iCs/>
        </w:rPr>
        <w:t>Principles of AI use in marking</w:t>
      </w:r>
      <w:r>
        <w:t xml:space="preserve"> (14. Januar 2026) ist in beide Richtungen offen: KI als alleiniger Bewertungsmaßstab entspricht den Vorschriften nicht, aber </w:t>
      </w:r>
      <w:r>
        <w:rPr>
          <w:i/>
          <w:iCs/>
        </w:rPr>
        <w:t>„principled arguments exist for accepting AI and automated marking in high stakes assessments, in the right conditions and with the right safeguards”</w:t>
      </w:r>
      <w:r>
        <w:t xml:space="preserve">. Es weist darauf hin, dass Erklärbarkeitsmethoden </w:t>
      </w:r>
      <w:r>
        <w:rPr>
          <w:b/>
          <w:bCs/>
        </w:rPr>
        <w:t>irreführende</w:t>
      </w:r>
      <w:r>
        <w:t xml:space="preserve"> Erklärungen erzeugen können, dass empirische Studien </w:t>
      </w:r>
      <w:r>
        <w:rPr>
          <w:b/>
          <w:bCs/>
        </w:rPr>
        <w:t>unterschiedliche KI-Bewertungsleistung über demografische Gruppen</w:t>
      </w:r>
      <w:r>
        <w:t xml:space="preserve"> festgestellt haben und dass </w:t>
      </w:r>
      <w:r>
        <w:rPr>
          <w:b/>
          <w:bCs/>
        </w:rPr>
        <w:t>Übereinstimmung mit menschlichen Bewertungen allein kein hinreichender</w:t>
      </w:r>
      <w:r>
        <w:t xml:space="preserve"> Validitätsnachweis ist. Art und Ausmaß menschlicher Beteiligung </w:t>
      </w:r>
      <w:r>
        <w:rPr>
          <w:i/>
          <w:iCs/>
        </w:rPr>
        <w:t>„remains a key regulatory question”</w:t>
      </w:r>
      <w:r>
        <w:t>; Ofqual sammelt über 12–24 Monate Evidenz.</w:t>
      </w:r>
    </w:p>
    <w:p w14:paraId="0E5BF584" w14:textId="77777777" w:rsidR="0090768F" w:rsidRDefault="00000000">
      <w:pPr>
        <w:pStyle w:val="BodyText"/>
      </w:pPr>
      <w:r>
        <w:rPr>
          <w:b/>
          <w:bCs/>
        </w:rPr>
        <w:t>JCQ geht operativ weiter als das Datenschutzrecht.</w:t>
      </w:r>
      <w:r>
        <w:t xml:space="preserve"> Instructions for Conducting Coursework s.8.1 und für Non-Examination Assessments s.6.1: </w:t>
      </w:r>
      <w:r>
        <w:rPr>
          <w:i/>
          <w:iCs/>
        </w:rPr>
        <w:t>„Teachers must not use artificial intelligence as the sole means of marking candidates’ work.”</w:t>
      </w:r>
      <w:r>
        <w:t xml:space="preserve"> Und in </w:t>
      </w:r>
      <w:r>
        <w:rPr>
          <w:i/>
          <w:iCs/>
        </w:rPr>
        <w:t>AI Use in Assessments</w:t>
      </w:r>
      <w:r>
        <w:t xml:space="preserve">: </w:t>
      </w:r>
      <w:r>
        <w:rPr>
          <w:i/>
          <w:iCs/>
        </w:rPr>
        <w:t>„an AI tool cannot be the sole marker. A human assessor must review all the work in its entirety and determine the mark it warrants, regardless of the outcomes of an AI tool.”</w:t>
      </w:r>
      <w:r>
        <w:t xml:space="preserve"> </w:t>
      </w:r>
      <w:r>
        <w:rPr>
          <w:i/>
          <w:iCs/>
        </w:rPr>
        <w:t>(Die Abschnittsnummern stammen aus der Webdarstellung des JCQ; die zugrunde liegenden PDF-Dateien waren nicht abrufbar — vor externer Zitierung prüfen.)</w:t>
      </w:r>
    </w:p>
    <w:p w14:paraId="78E66F3D" w14:textId="77777777" w:rsidR="0090768F" w:rsidRDefault="00000000">
      <w:pPr>
        <w:pStyle w:val="BodyText"/>
      </w:pPr>
      <w:r>
        <w:rPr>
          <w:b/>
          <w:bCs/>
        </w:rPr>
        <w:t>„Review all the work in its entirety” ist strenger als Art. 22A</w:t>
      </w:r>
      <w:r>
        <w:t xml:space="preserve"> — es genügt nicht, den Vorschlag zu prüfen; der Prüfer muss die Arbeit lesen. Dieselbe Anforderung stellt das deutsche Recht mit </w:t>
      </w:r>
      <w:r>
        <w:rPr>
          <w:i/>
          <w:iCs/>
        </w:rPr>
        <w:t>persönlich unmittelbar und vollständig zur Kenntnis nehmen</w:t>
      </w:r>
      <w:r>
        <w:t xml:space="preserve">. </w:t>
      </w:r>
      <w:r>
        <w:rPr>
          <w:b/>
          <w:bCs/>
        </w:rPr>
        <w:t>Das Produkt so bauen, dass Arbeit und Vorschlag nebeneinanderstehen und ohne sichtbare Arbeit keine Note eingetragen werden kann.</w:t>
      </w:r>
    </w:p>
    <w:p w14:paraId="3B467065" w14:textId="77777777" w:rsidR="0090768F" w:rsidRDefault="00000000">
      <w:pPr>
        <w:pStyle w:val="BodyText"/>
      </w:pPr>
      <w:r>
        <w:rPr>
          <w:b/>
          <w:bCs/>
        </w:rPr>
        <w:t>Kommerzielle Folge — Einstieg über die Klassenarbeit.</w:t>
      </w:r>
    </w:p>
    <w:tbl>
      <w:tblPr>
        <w:tblStyle w:val="Table"/>
        <w:tblW w:w="5000" w:type="pct"/>
        <w:tblLook w:val="0020" w:firstRow="1" w:lastRow="0" w:firstColumn="0" w:lastColumn="0" w:noHBand="0" w:noVBand="0"/>
      </w:tblPr>
      <w:tblGrid>
        <w:gridCol w:w="1728"/>
        <w:gridCol w:w="4671"/>
        <w:gridCol w:w="2961"/>
      </w:tblGrid>
      <w:tr w:rsidR="0090768F" w14:paraId="4F2C8FB6"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1852A8A3" w14:textId="77777777" w:rsidR="0090768F" w:rsidRDefault="0090768F">
            <w:pPr>
              <w:pStyle w:val="Compact"/>
            </w:pPr>
          </w:p>
        </w:tc>
        <w:tc>
          <w:tcPr>
            <w:tcW w:w="0" w:type="auto"/>
          </w:tcPr>
          <w:p w14:paraId="361C35CE" w14:textId="77777777" w:rsidR="0090768F" w:rsidRDefault="00000000">
            <w:pPr>
              <w:pStyle w:val="Compact"/>
            </w:pPr>
            <w:r>
              <w:t>Regulierte Abschlüsse (GCSE, A level, VTQ)</w:t>
            </w:r>
          </w:p>
        </w:tc>
        <w:tc>
          <w:tcPr>
            <w:tcW w:w="0" w:type="auto"/>
          </w:tcPr>
          <w:p w14:paraId="7348E956" w14:textId="77777777" w:rsidR="0090768F" w:rsidRDefault="00000000">
            <w:pPr>
              <w:pStyle w:val="Compact"/>
            </w:pPr>
            <w:r>
              <w:t>Klassen-/formative Leistungsfeststellung</w:t>
            </w:r>
          </w:p>
        </w:tc>
      </w:tr>
      <w:tr w:rsidR="0090768F" w14:paraId="28CCEC4E" w14:textId="77777777">
        <w:tc>
          <w:tcPr>
            <w:tcW w:w="0" w:type="auto"/>
          </w:tcPr>
          <w:p w14:paraId="7B92228A" w14:textId="77777777" w:rsidR="0090768F" w:rsidRDefault="00000000">
            <w:pPr>
              <w:pStyle w:val="Compact"/>
            </w:pPr>
            <w:r>
              <w:t>Aufsicht</w:t>
            </w:r>
          </w:p>
        </w:tc>
        <w:tc>
          <w:tcPr>
            <w:tcW w:w="0" w:type="auto"/>
          </w:tcPr>
          <w:p w14:paraId="3043F7C7" w14:textId="77777777" w:rsidR="0090768F" w:rsidRDefault="00000000">
            <w:pPr>
              <w:pStyle w:val="Compact"/>
            </w:pPr>
            <w:r>
              <w:t>Ofqual, Qualifications Wales, Qualifications Scotland, CCEA</w:t>
            </w:r>
          </w:p>
        </w:tc>
        <w:tc>
          <w:tcPr>
            <w:tcW w:w="0" w:type="auto"/>
          </w:tcPr>
          <w:p w14:paraId="3A8559A5" w14:textId="77777777" w:rsidR="0090768F" w:rsidRDefault="00000000">
            <w:pPr>
              <w:pStyle w:val="Compact"/>
            </w:pPr>
            <w:r>
              <w:t>keine — professionelles Urteil der Schule</w:t>
            </w:r>
          </w:p>
        </w:tc>
      </w:tr>
      <w:tr w:rsidR="0090768F" w14:paraId="55CE5C65" w14:textId="77777777">
        <w:tc>
          <w:tcPr>
            <w:tcW w:w="0" w:type="auto"/>
          </w:tcPr>
          <w:p w14:paraId="58922C40" w14:textId="77777777" w:rsidR="0090768F" w:rsidRDefault="00000000">
            <w:pPr>
              <w:pStyle w:val="Compact"/>
            </w:pPr>
            <w:r>
              <w:t>Alleinige KI-Bewertung</w:t>
            </w:r>
          </w:p>
        </w:tc>
        <w:tc>
          <w:tcPr>
            <w:tcW w:w="0" w:type="auto"/>
          </w:tcPr>
          <w:p w14:paraId="7AB86AC3" w14:textId="77777777" w:rsidR="0090768F" w:rsidRDefault="00000000">
            <w:pPr>
              <w:pStyle w:val="Compact"/>
            </w:pPr>
            <w:r>
              <w:rPr>
                <w:b/>
                <w:bCs/>
              </w:rPr>
              <w:t>Verboten</w:t>
            </w:r>
          </w:p>
        </w:tc>
        <w:tc>
          <w:tcPr>
            <w:tcW w:w="0" w:type="auto"/>
          </w:tcPr>
          <w:p w14:paraId="0FE4C10A" w14:textId="77777777" w:rsidR="0090768F" w:rsidRDefault="00000000">
            <w:pPr>
              <w:pStyle w:val="Compact"/>
            </w:pPr>
            <w:r>
              <w:t>nicht verboten; vom DfE unterstützt</w:t>
            </w:r>
          </w:p>
        </w:tc>
      </w:tr>
      <w:tr w:rsidR="0090768F" w14:paraId="2088F213" w14:textId="77777777">
        <w:tc>
          <w:tcPr>
            <w:tcW w:w="0" w:type="auto"/>
          </w:tcPr>
          <w:p w14:paraId="68BB7EA2" w14:textId="77777777" w:rsidR="0090768F" w:rsidRDefault="00000000">
            <w:pPr>
              <w:pStyle w:val="Compact"/>
            </w:pPr>
            <w:r>
              <w:t>Gatekeeper</w:t>
            </w:r>
          </w:p>
        </w:tc>
        <w:tc>
          <w:tcPr>
            <w:tcW w:w="0" w:type="auto"/>
          </w:tcPr>
          <w:p w14:paraId="7BF5F4EC" w14:textId="77777777" w:rsidR="0090768F" w:rsidRDefault="00000000">
            <w:pPr>
              <w:pStyle w:val="Compact"/>
            </w:pPr>
            <w:r>
              <w:t>die Prüfungsorganisation (~7 Stellen)</w:t>
            </w:r>
          </w:p>
        </w:tc>
        <w:tc>
          <w:tcPr>
            <w:tcW w:w="0" w:type="auto"/>
          </w:tcPr>
          <w:p w14:paraId="25C20D67" w14:textId="77777777" w:rsidR="0090768F" w:rsidRDefault="00000000">
            <w:pPr>
              <w:pStyle w:val="Compact"/>
            </w:pPr>
            <w:r>
              <w:t>jede Schule bzw. jeder Trust einzeln</w:t>
            </w:r>
          </w:p>
        </w:tc>
      </w:tr>
      <w:tr w:rsidR="0090768F" w14:paraId="51A1FCE0" w14:textId="77777777">
        <w:tc>
          <w:tcPr>
            <w:tcW w:w="0" w:type="auto"/>
          </w:tcPr>
          <w:p w14:paraId="40BB8B95" w14:textId="77777777" w:rsidR="0090768F" w:rsidRDefault="00000000">
            <w:pPr>
              <w:pStyle w:val="Compact"/>
            </w:pPr>
            <w:r>
              <w:t>Unser Weg</w:t>
            </w:r>
          </w:p>
        </w:tc>
        <w:tc>
          <w:tcPr>
            <w:tcW w:w="0" w:type="auto"/>
          </w:tcPr>
          <w:p w14:paraId="75E6B44F" w14:textId="77777777" w:rsidR="0090768F" w:rsidRDefault="00000000">
            <w:pPr>
              <w:pStyle w:val="Compact"/>
            </w:pPr>
            <w:r>
              <w:t xml:space="preserve">Verkauf </w:t>
            </w:r>
            <w:r>
              <w:rPr>
                <w:b/>
                <w:bCs/>
              </w:rPr>
              <w:t>an</w:t>
            </w:r>
            <w:r>
              <w:t xml:space="preserve"> Prüfungsorganisationen als KI-Assistenz innerhalb ihres menschlichen Verfahrens</w:t>
            </w:r>
          </w:p>
        </w:tc>
        <w:tc>
          <w:tcPr>
            <w:tcW w:w="0" w:type="auto"/>
          </w:tcPr>
          <w:p w14:paraId="2EA02B18" w14:textId="77777777" w:rsidR="0090768F" w:rsidRDefault="00000000">
            <w:pPr>
              <w:pStyle w:val="Compact"/>
            </w:pPr>
            <w:r>
              <w:t>Direktverkauf an Schulen und Trusts</w:t>
            </w:r>
          </w:p>
        </w:tc>
      </w:tr>
    </w:tbl>
    <w:p w14:paraId="4E6F1050" w14:textId="77777777" w:rsidR="0090768F" w:rsidRDefault="00000000">
      <w:pPr>
        <w:pStyle w:val="BodyText"/>
      </w:pPr>
      <w:r>
        <w:lastRenderedPageBreak/>
        <w:t xml:space="preserve">In allen Materialien ausdrücklich festhalten, dass das Produkt nicht für die Bewertung regulierter Abschlüsse bestimmt ist, und eine harte Produktsperre erwägen — der realistische Fehlerfall ist die Nutzung an Vorabklausuren mit anschließender Elternbeschwerde und einer Schule ohne verteidigbare Position. Der regulierte Markt ist dabei nicht verschlossen: Ofquals eigene Formulierung von KI „zur Unterstützung von Bewertung und Qualitätssicherung” mit „menschlicher Zweitbewertung aller oder eines Teils” beschreibt ein KI-gestütztes Produkt. </w:t>
      </w:r>
      <w:r>
        <w:rPr>
          <w:b/>
          <w:bCs/>
        </w:rPr>
        <w:t>Das Hindernis dort ist Evidenz, nicht Verbot.</w:t>
      </w:r>
    </w:p>
    <w:p w14:paraId="15D1BF55" w14:textId="77777777" w:rsidR="0090768F" w:rsidRDefault="00000000">
      <w:pPr>
        <w:pStyle w:val="BodyText"/>
      </w:pPr>
      <w:r>
        <w:rPr>
          <w:b/>
          <w:bCs/>
        </w:rPr>
        <w:t>Der Hochschulbereich</w:t>
      </w:r>
      <w:r>
        <w:t xml:space="preserve"> ist das am wenigsten regulierte und am stärksten fragmentierte britische Segment: Einrichtungen sind autonom, keine Aufsicht gibt die Bewertungsmethodik vor, OfS-Bedingung B4 gilt allgemein, und </w:t>
      </w:r>
      <w:r>
        <w:rPr>
          <w:i/>
          <w:iCs/>
        </w:rPr>
        <w:t>eine KI-spezifische OfS-Leitlinie oder -Bedingung war nicht auffindbar</w:t>
      </w:r>
      <w:r>
        <w:t xml:space="preserve">. Hochschulstudierende sind volljährig, der Children’s Code gilt also nicht — was die Compliance-Erzählung erheblich vereinfacht. </w:t>
      </w:r>
      <w:r>
        <w:rPr>
          <w:b/>
          <w:bCs/>
        </w:rPr>
        <w:t>Der britische Hochschulbereich ist der reibungsärmere Einstieg.</w:t>
      </w:r>
    </w:p>
    <w:p w14:paraId="2AA5D36E" w14:textId="77777777" w:rsidR="0090768F" w:rsidRDefault="00000000">
      <w:pPr>
        <w:pStyle w:val="Heading3"/>
      </w:pPr>
      <w:bookmarkStart w:id="167" w:name="Xde42d31ccf231bc6f14313e0a06a172ec8eb1fe"/>
      <w:bookmarkEnd w:id="166"/>
      <w:r>
        <w:t>9.7 Gleichbehandlung — und das eine echte Differenzierungsmerkmal</w:t>
      </w:r>
    </w:p>
    <w:p w14:paraId="36ACFB9A" w14:textId="77777777" w:rsidR="0090768F" w:rsidRDefault="00000000">
      <w:pPr>
        <w:pStyle w:val="FirstParagraph"/>
      </w:pPr>
      <w:r>
        <w:rPr>
          <w:b/>
          <w:bCs/>
        </w:rPr>
        <w:t>Equality Act 2010 s.19 (mittelbare Diskriminierung):</w:t>
      </w:r>
      <w:r>
        <w:t xml:space="preserve"> Ein OCR/LLM-Bewerter, der weniger lesbare Handschrift, dysgraphische Schrift, nicht standardsprachlichen Dialekt oder EAL-Syntax systematisch schlechter bewertet, ist ein Lehrbuchfall. Betroffene geschützte Merkmale: Behinderung, ethnische Herkunft, Religion oder Weltanschauung. </w:t>
      </w:r>
      <w:r>
        <w:rPr>
          <w:b/>
          <w:bCs/>
        </w:rPr>
        <w:t>ss.20–21</w:t>
      </w:r>
      <w:r>
        <w:t xml:space="preserve"> begründen eine vorwirkende Pflicht zu angemessenen Vorkehrungen. </w:t>
      </w:r>
      <w:r>
        <w:rPr>
          <w:b/>
          <w:bCs/>
        </w:rPr>
        <w:t>s.149 (Public Sector Equality Duty)</w:t>
      </w:r>
      <w:r>
        <w:t xml:space="preserve"> gilt für maintained schools, Akademien sowie FE-/HE-Anbieter in öffentlicher Funktion.</w:t>
      </w:r>
    </w:p>
    <w:p w14:paraId="253D1837" w14:textId="77777777" w:rsidR="0090768F" w:rsidRDefault="00000000">
      <w:pPr>
        <w:pStyle w:val="BodyText"/>
      </w:pPr>
      <w:r>
        <w:rPr>
          <w:b/>
          <w:bCs/>
        </w:rPr>
        <w:t>Die Pflicht trifft die Schule, aber die Schule kann sie ohne Daten von uns nicht erfüllen.</w:t>
      </w:r>
      <w:r>
        <w:t xml:space="preserve"> Das ist der Ansatzpunkt. </w:t>
      </w:r>
      <w:r>
        <w:rPr>
          <w:b/>
          <w:bCs/>
        </w:rPr>
        <w:t>Stratifizierte Leistungsnachweise veröffentlichen</w:t>
      </w:r>
      <w:r>
        <w:t xml:space="preserve"> — Übereinstimmung mit menschlichen Bewertern nach Lesbarkeitsklasse, EAL-Status, SEND-/Nachteilsausgleichsstatus und, soweit rechtlich zulässig, ethnischer Herkunft — und ein fortlaufendes mandantenbezogenes Disparitäts-Dashboard ausliefern. Kein Wettbewerber wird das haben, und eine Schule, die keine Gleichbehandlungswirkung belegen kann, darf nicht rechtmäßig einsetzen. Ofquals eigene Forschung bestätigt das Risiko, und Art. 4a KI-VO liefert nun die unionsrechtliche Grundlage für die dafür erforderliche Verarbeitung geschützter Merkmale.</w:t>
      </w:r>
    </w:p>
    <w:p w14:paraId="33D6C495" w14:textId="77777777" w:rsidR="0090768F" w:rsidRDefault="00000000">
      <w:pPr>
        <w:pStyle w:val="Heading3"/>
      </w:pPr>
      <w:bookmarkStart w:id="168" w:name="vergabe-transparenz-online-sicherheit"/>
      <w:bookmarkEnd w:id="167"/>
      <w:r>
        <w:t>9.8 Vergabe, Transparenz, Online-Sicherheit</w:t>
      </w:r>
    </w:p>
    <w:p w14:paraId="5140505C" w14:textId="77777777" w:rsidR="0090768F" w:rsidRDefault="00000000">
      <w:pPr>
        <w:pStyle w:val="FirstParagraph"/>
      </w:pPr>
      <w:r>
        <w:rPr>
          <w:b/>
          <w:bCs/>
        </w:rPr>
        <w:t>Procurement Act 2023</w:t>
      </w:r>
      <w:r>
        <w:t xml:space="preserve"> in Kraft seit 24. Februar 2025. DfE-Wertgrenzen: niedrig unter £10.000; mittel £10.000–£40.000; hoch über £40.000, mit fünf Wegen vom DfE-Rahmenvertrag bis zum vollständigen Verfahren. </w:t>
      </w:r>
      <w:r>
        <w:rPr>
          <w:b/>
          <w:bCs/>
        </w:rPr>
        <w:t>Eine Einzelschullizenz liegt fast sicher unter £10.000 — Entscheidung der Schulleitung oder Verwaltungsleitung, keine Ausschreibung. Ein Trust-weiter Abschluss überschreitet £40.000 rasch und kann die Schwelle des Gesetzes erreichen, was Monate hinzufügt. Die Aufnahme in einen DfE-Rahmenvertrag ist daher der hebelstärkste britische Vertriebsschritt, weil sie ein volles Verfahren in eine Direktvergabe verwandelt.</w:t>
      </w:r>
      <w:r>
        <w:t xml:space="preserve"> KI-spezifische Vergabeanforderungen für Schulen bestehen nicht.</w:t>
      </w:r>
    </w:p>
    <w:p w14:paraId="2B57B729" w14:textId="77777777" w:rsidR="0090768F" w:rsidRDefault="00000000">
      <w:pPr>
        <w:pStyle w:val="BodyText"/>
      </w:pPr>
      <w:r>
        <w:rPr>
          <w:b/>
          <w:bCs/>
        </w:rPr>
        <w:lastRenderedPageBreak/>
        <w:t>Algorithmic Transparency Recording Standard:</w:t>
      </w:r>
      <w:r>
        <w:t xml:space="preserve"> verpflichtend für Ministerien und nachgeordnete Stellen mit Publikumsverkehr, </w:t>
      </w:r>
      <w:r>
        <w:rPr>
          <w:b/>
          <w:bCs/>
        </w:rPr>
        <w:t>nicht</w:t>
      </w:r>
      <w:r>
        <w:t xml:space="preserve"> für Schulen, Trusts oder Kommunen. Für unsere Einsätze greift er also nicht — die freiwillige Veröffentlichung eines ATRS-Datensatzes ist gleichwohl ein günstiges und ungewöhnlich glaubwürdiges Transparenzartefakt für öffentliche Käufer. Zu beachten: Ofqual </w:t>
      </w:r>
      <w:r>
        <w:rPr>
          <w:i/>
          <w:iCs/>
        </w:rPr>
        <w:t>ist</w:t>
      </w:r>
      <w:r>
        <w:t xml:space="preserve"> eine nachgeordnete Stelle, ein Ofqual-Einsatz erforderte also einen Eintrag.</w:t>
      </w:r>
    </w:p>
    <w:p w14:paraId="5F1A5C49" w14:textId="77777777" w:rsidR="0090768F" w:rsidRDefault="00000000">
      <w:pPr>
        <w:pStyle w:val="BodyText"/>
      </w:pPr>
      <w:r>
        <w:rPr>
          <w:b/>
          <w:bCs/>
        </w:rPr>
        <w:t>Online Safety Act 2023:</w:t>
      </w:r>
      <w:r>
        <w:t xml:space="preserve"> nur bei einer schülerseitigen Funktion einschlägig, die Nutzern das Teilen von Inhalten untereinander erlaubt oder Live-Websuchen durchführt. </w:t>
      </w:r>
      <w:r>
        <w:rPr>
          <w:b/>
          <w:bCs/>
        </w:rPr>
        <w:t>Ein lehrkraftseitiges Produkt ohne Nutzer-zu-Nutzer-Austausch und ohne Live-Websuche fällt nicht darunter. Das so belassen.</w:t>
      </w:r>
      <w:r>
        <w:t xml:space="preserve"> Zu beachten ist ferner Children’s Wellbeing and Schools Act 2026 s.72, der die Ermächtigung schafft, das digitale Einwilligungsalter von 13 auf bis zu 16 anzuheben — ein latentes Risiko für jede einwilligungsbasierte schülerseitige Funktion, ohne Bedeutung für einen Einsatz auf Grundlage der öffentlichen Aufgabe.</w:t>
      </w:r>
    </w:p>
    <w:p w14:paraId="115345CC" w14:textId="77777777" w:rsidR="0090768F" w:rsidRDefault="00000000">
      <w:pPr>
        <w:pStyle w:val="Heading2"/>
      </w:pPr>
      <w:bookmarkStart w:id="169" w:name="vereinigte-staaten-bundesebene"/>
      <w:bookmarkStart w:id="170" w:name="_Toc240060423"/>
      <w:bookmarkEnd w:id="159"/>
      <w:bookmarkEnd w:id="168"/>
      <w:r>
        <w:t>10. Vereinigte Staaten — Bundesebene</w:t>
      </w:r>
      <w:bookmarkEnd w:id="170"/>
    </w:p>
    <w:p w14:paraId="42A95E74" w14:textId="77777777" w:rsidR="0090768F" w:rsidRDefault="00000000">
      <w:pPr>
        <w:pStyle w:val="FirstParagraph"/>
      </w:pPr>
      <w:r>
        <w:rPr>
          <w:b/>
          <w:bCs/>
        </w:rPr>
        <w:t>Der Rahmen in einem Satz: Für dieses Produkt gibt es keine US-Bundesaufsicht über KI.</w:t>
      </w:r>
      <w:r>
        <w:t xml:space="preserve"> Die FTC erreicht uns über COPPA und § 5 (unlautere und irreführende Praktiken); das Bildungsministerium erreicht uns nur über unsere Kunden; das OMB erreicht uns gar nicht. Verbindlich sind FERPA-Verträge, COPPA, Antidiskriminierungsrecht, Landesrecht und die Beschaffung der Schulbezirke — und keines davon wurde mit Blick auf KI-Korrektur geschrieben.</w:t>
      </w:r>
    </w:p>
    <w:p w14:paraId="76995C95" w14:textId="77777777" w:rsidR="0090768F" w:rsidRDefault="00000000">
      <w:pPr>
        <w:pStyle w:val="Heading3"/>
      </w:pPr>
      <w:bookmarkStart w:id="171" w:name="ferpa-1"/>
      <w:r>
        <w:t>10.1 FERPA</w:t>
      </w:r>
    </w:p>
    <w:p w14:paraId="7481B52A" w14:textId="77777777" w:rsidR="0090768F" w:rsidRDefault="00000000">
      <w:pPr>
        <w:pStyle w:val="FirstParagraph"/>
      </w:pPr>
      <w:r>
        <w:t xml:space="preserve">Eingescannte Arbeiten, OCR-Transkriptionen, Bewertungsvorschläge, erzeugtes Feedback und Endnoten sind sämtlich </w:t>
      </w:r>
      <w:r>
        <w:rPr>
          <w:b/>
          <w:bCs/>
        </w:rPr>
        <w:t>education records</w:t>
      </w:r>
      <w:r>
        <w:t xml:space="preserve">: Die Definition erfasst Aufzeichnungen, die </w:t>
      </w:r>
      <w:r>
        <w:rPr>
          <w:i/>
          <w:iCs/>
        </w:rPr>
        <w:t>„by a party acting for the agency or institution”</w:t>
      </w:r>
      <w:r>
        <w:t xml:space="preserve"> geführt werden; eine Ausnahme für die „eigene Kopie” des Anbieters gibt es nicht. (Am Rande: Die FERPA-Definition des </w:t>
      </w:r>
      <w:r>
        <w:rPr>
          <w:i/>
          <w:iCs/>
        </w:rPr>
        <w:t>biometric record</w:t>
      </w:r>
      <w:r>
        <w:t xml:space="preserve"> nennt </w:t>
      </w:r>
      <w:r>
        <w:rPr>
          <w:b/>
          <w:bCs/>
        </w:rPr>
        <w:t>Handschrift</w:t>
      </w:r>
      <w:r>
        <w:t xml:space="preserve"> ausdrücklich — das wirkt weniger unter FERPA als unter einzelstaatlichem Biometrierecht, gehört aber intern vermerkt.)</w:t>
      </w:r>
    </w:p>
    <w:p w14:paraId="2F1001F9" w14:textId="77777777" w:rsidR="0090768F" w:rsidRDefault="00000000">
      <w:pPr>
        <w:pStyle w:val="BodyText"/>
      </w:pPr>
      <w:r>
        <w:rPr>
          <w:b/>
          <w:bCs/>
        </w:rPr>
        <w:t xml:space="preserve">Die </w:t>
      </w:r>
      <w:r>
        <w:rPr>
          <w:b/>
          <w:bCs/>
          <w:i/>
          <w:iCs/>
        </w:rPr>
        <w:t>school official</w:t>
      </w:r>
      <w:r>
        <w:rPr>
          <w:b/>
          <w:bCs/>
        </w:rPr>
        <w:t>-Ausnahme ist der maßgebliche Vertragsmechanismus.</w:t>
      </w:r>
      <w:r>
        <w:t xml:space="preserve"> 34 CFR § 99.31(a)(1)(i)(B) stellt drei Bedingungen an den Anbieter: Erbringung einer Leistung, für die die Einrichtung sonst Beschäftigte einsetzen würde; </w:t>
      </w:r>
      <w:r>
        <w:rPr>
          <w:b/>
          <w:bCs/>
        </w:rPr>
        <w:t>unmittelbare Kontrolle der Einrichtung</w:t>
      </w:r>
      <w:r>
        <w:t xml:space="preserve"> über Nutzung und Verwahrung der Akten; Bindung an die Weitergabegrenzen des § 99.33(a). Zwei weitere Bedingungen treffen die </w:t>
      </w:r>
      <w:r>
        <w:rPr>
          <w:b/>
          <w:bCs/>
        </w:rPr>
        <w:t>Einrichtung</w:t>
      </w:r>
      <w:r>
        <w:t xml:space="preserve">: Festlegung der </w:t>
      </w:r>
      <w:r>
        <w:rPr>
          <w:i/>
          <w:iCs/>
        </w:rPr>
        <w:t>school official</w:t>
      </w:r>
      <w:r>
        <w:t xml:space="preserve">-Kriterien in der </w:t>
      </w:r>
      <w:r>
        <w:rPr>
          <w:b/>
          <w:bCs/>
        </w:rPr>
        <w:t>Jahresmitteilung</w:t>
      </w:r>
      <w:r>
        <w:t xml:space="preserve"> (§ 99.7(a)(3)(iii)) und angemessene Zugriffsbegrenzung (§ 99.31(a)(1)(ii)).</w:t>
      </w:r>
    </w:p>
    <w:p w14:paraId="14286EB9" w14:textId="77777777" w:rsidR="0090768F" w:rsidRDefault="00000000">
      <w:pPr>
        <w:pStyle w:val="BodyText"/>
      </w:pPr>
      <w:r>
        <w:t xml:space="preserve">Vertragsgestaltung: Unser Vertrag sollte die drei anbieterseitigen Bedingungen zusichern </w:t>
      </w:r>
      <w:r>
        <w:rPr>
          <w:b/>
          <w:bCs/>
        </w:rPr>
        <w:t>und</w:t>
      </w:r>
      <w:r>
        <w:t xml:space="preserve"> die Einrichtung zur Erklärung verpflichten, dass sie uns in ihrer Jahresmitteilung benannt hat. Fehlt das, scheitert die Ausnahme — der Verstoß liegt bei der Einrichtung, das kommerzielle Problem bei uns.</w:t>
      </w:r>
    </w:p>
    <w:p w14:paraId="6E2C6AB3" w14:textId="77777777" w:rsidR="0090768F" w:rsidRDefault="00000000">
      <w:pPr>
        <w:pStyle w:val="BodyText"/>
      </w:pPr>
      <w:r>
        <w:rPr>
          <w:b/>
          <w:bCs/>
        </w:rPr>
        <w:lastRenderedPageBreak/>
        <w:t>„Unmittelbare Kontrolle” in der Praxis:</w:t>
      </w:r>
      <w:r>
        <w:t xml:space="preserve"> keine einseitige AGB-Änderung (nach der Auslegung des Ministeriums erschwert einseitige Änderbarkeit den Nachweis); Zweckbindung im Vertrag, nicht in der Datenschutzerklärung; Löschung oder Rückgabe bei Vertragsende nach Weisung; Genehmigung von Unterauftragnehmern durch die Einrichtung; Prüfrechte.</w:t>
      </w:r>
    </w:p>
    <w:p w14:paraId="39063769" w14:textId="77777777" w:rsidR="0090768F" w:rsidRDefault="00000000">
      <w:pPr>
        <w:pStyle w:val="BodyText"/>
      </w:pPr>
      <w:r>
        <w:rPr>
          <w:b/>
          <w:bCs/>
        </w:rPr>
        <w:t>Die Weitergaberegel ist die KI-Regel.</w:t>
      </w:r>
      <w:r>
        <w:t xml:space="preserve"> § 99.33(a)(2): Empfänger </w:t>
      </w:r>
      <w:r>
        <w:rPr>
          <w:i/>
          <w:iCs/>
        </w:rPr>
        <w:t>„may use the information, but only for the purposes for which the disclosure was made.”</w:t>
      </w:r>
      <w:r>
        <w:t xml:space="preserve"> Das ist eine </w:t>
      </w:r>
      <w:r>
        <w:rPr>
          <w:b/>
          <w:bCs/>
        </w:rPr>
        <w:t>Nutzungs-</w:t>
      </w:r>
      <w:r>
        <w:t>, nicht bloß eine Weitergabebeschränkung. Die Offenlegung an uns dient der Korrektur der Prüfungen dieser Einrichtung. Dieselben Arbeiten zum Training oder zur Evaluierung eines Modells zu nutzen, das anderen Kunden dient, überschreitet diesen Zweck und fällt aus der Ausnahme heraus.</w:t>
      </w:r>
    </w:p>
    <w:p w14:paraId="3E887DA7" w14:textId="77777777" w:rsidR="0090768F" w:rsidRDefault="00000000">
      <w:pPr>
        <w:pStyle w:val="BodyText"/>
      </w:pPr>
      <w:r>
        <w:t>Drei Wege stehen offen, wenn wir Trainingsdaten wollen:</w:t>
      </w:r>
    </w:p>
    <w:p w14:paraId="15494696" w14:textId="77777777" w:rsidR="0090768F" w:rsidRDefault="00000000">
      <w:pPr>
        <w:pStyle w:val="Compact"/>
        <w:numPr>
          <w:ilvl w:val="0"/>
          <w:numId w:val="42"/>
        </w:numPr>
      </w:pPr>
      <w:r>
        <w:rPr>
          <w:b/>
          <w:bCs/>
        </w:rPr>
        <w:t>De-Identifikation (§ 99.31(b)).</w:t>
      </w:r>
      <w:r>
        <w:t xml:space="preserve"> Real, für uns aber brüchig: Handschriftbilder sind ihrer Natur nach re-identifizierbar, und Freitextantworten enthalten beiläufige Identifikatoren. Jede De-Identifikationsbehauptung ist mit dokumentierter Methode und Re-Identifikationsrisikobewertung zu belegen, nicht zu behaupten.</w:t>
      </w:r>
    </w:p>
    <w:p w14:paraId="3725B6F1" w14:textId="77777777" w:rsidR="0090768F" w:rsidRDefault="00000000">
      <w:pPr>
        <w:pStyle w:val="Compact"/>
        <w:numPr>
          <w:ilvl w:val="0"/>
          <w:numId w:val="42"/>
        </w:numPr>
      </w:pPr>
      <w:r>
        <w:rPr>
          <w:b/>
          <w:bCs/>
        </w:rPr>
        <w:t>Die Studien-Ausnahme (§ 99.31(a)(6))</w:t>
      </w:r>
      <w:r>
        <w:t xml:space="preserve"> — Offenlegung an eine Organisation, die Studien für die Einrichtung durchführt, um Vorhersagetests zu entwickeln, zu validieren oder zu verwalten oder den Unterricht zu verbessern, unter </w:t>
      </w:r>
      <w:r>
        <w:rPr>
          <w:b/>
          <w:bCs/>
        </w:rPr>
        <w:t>schriftlicher Vereinbarung</w:t>
      </w:r>
      <w:r>
        <w:t xml:space="preserve"> über Zweck, Umfang und Dauer, mit Nutzungsbeschränkung, Nichtidentifikationsgebot und </w:t>
      </w:r>
      <w:r>
        <w:rPr>
          <w:b/>
          <w:bCs/>
        </w:rPr>
        <w:t>Vernichtung</w:t>
      </w:r>
      <w:r>
        <w:t xml:space="preserve"> aller personenbezogenen Daten mit ausdrücklicher Frist. Modellvalidierung und Kalibrierung passen; ein unbefristet aufbewahrter Trainingskorpus nicht, weil die Vernichtungspflicht ausdrücklich ist. </w:t>
      </w:r>
      <w:r>
        <w:rPr>
          <w:b/>
          <w:bCs/>
        </w:rPr>
        <w:t>Das ist die sauberste bundesrechtliche Grundlage für ein begrenztes Kalibrierungsprogramm und sie wird wenig genutzt.</w:t>
      </w:r>
    </w:p>
    <w:p w14:paraId="3CE81C35" w14:textId="77777777" w:rsidR="0090768F" w:rsidRDefault="00000000">
      <w:pPr>
        <w:pStyle w:val="Compact"/>
        <w:numPr>
          <w:ilvl w:val="0"/>
          <w:numId w:val="42"/>
        </w:numPr>
      </w:pPr>
      <w:r>
        <w:rPr>
          <w:b/>
          <w:bCs/>
        </w:rPr>
        <w:t>Einwilligung (§ 99.30)</w:t>
      </w:r>
      <w:r>
        <w:t xml:space="preserve"> — in der Fläche nicht praktikabel.</w:t>
      </w:r>
    </w:p>
    <w:p w14:paraId="2F8F033C" w14:textId="77777777" w:rsidR="0090768F" w:rsidRDefault="00000000">
      <w:pPr>
        <w:pStyle w:val="FirstParagraph"/>
      </w:pPr>
      <w:r>
        <w:rPr>
          <w:b/>
          <w:bCs/>
        </w:rPr>
        <w:t>Empfohlene Haltung: standardmäßig kein Training auf Kundendaten, mit einer gesonderten, begrenzten Studienvereinbarung zum Opt-in.</w:t>
      </w:r>
      <w:r>
        <w:t xml:space="preserve"> Das ist zugleich die FERPA-, die COPPA-, die landesrechtliche und die vertriebliche Antwort — eine konsistente Position statt dreier.</w:t>
      </w:r>
    </w:p>
    <w:p w14:paraId="1C7BD071" w14:textId="77777777" w:rsidR="0090768F" w:rsidRDefault="00000000">
      <w:pPr>
        <w:pStyle w:val="BodyText"/>
      </w:pPr>
      <w:r>
        <w:rPr>
          <w:b/>
          <w:bCs/>
        </w:rPr>
        <w:t>Durchsetzung.</w:t>
      </w:r>
      <w:r>
        <w:t xml:space="preserve"> FERPA kennt kein Klagerecht Einzelner (</w:t>
      </w:r>
      <w:r>
        <w:rPr>
          <w:i/>
          <w:iCs/>
        </w:rPr>
        <w:t>Gonzaga University v. Doe</w:t>
      </w:r>
      <w:r>
        <w:t xml:space="preserve">, 536 U.S. 273 (2002)). Das Ministerium kann Mittel zurückhalten, Unterlassung anordnen oder die Förderfähigkeit beenden; und ein </w:t>
      </w:r>
      <w:r>
        <w:rPr>
          <w:b/>
          <w:bCs/>
        </w:rPr>
        <w:t>Dritter, der unzulässig weitergibt, kann für mindestens fünf Jahre vom Zugang zu Bildungsakten ausgeschlossen werden</w:t>
      </w:r>
      <w:r>
        <w:t xml:space="preserve"> — die einzige FERPA-Sanktion, die einen Anbieter trifft. In der Praxis wurden weder Mittel entzogen noch das fünfjährige Verbot je verhängt. </w:t>
      </w:r>
      <w:r>
        <w:rPr>
          <w:b/>
          <w:bCs/>
        </w:rPr>
        <w:t>Die reale Risikoleiter lautet daher: Vertrag und Freistellung; einzelstaatliche Schülerdatenschutzgesetze, die den Anbieter unmittelbar binden und Sanktionen kennen; einzelstaatliches Verbraucherschutzrecht und FTC Act § 5; Reputation; Ausschluss aus der Beschaffung.</w:t>
      </w:r>
      <w:r>
        <w:t xml:space="preserve"> Das Student Privacy Policy Office des Ministeriums arbeitet weiter und schreibt weiterhin Anbieter an — im Mai 2026 erging ein Schreiben an einen namentlich genannten LMS-Anbieter.</w:t>
      </w:r>
    </w:p>
    <w:p w14:paraId="54F84901" w14:textId="77777777" w:rsidR="0090768F" w:rsidRDefault="00000000">
      <w:pPr>
        <w:pStyle w:val="Heading3"/>
      </w:pPr>
      <w:bookmarkStart w:id="172" w:name="X755a4f987b421b7d813c4c8256ffe76b881d168"/>
      <w:bookmarkEnd w:id="171"/>
      <w:r>
        <w:lastRenderedPageBreak/>
        <w:t>10.2 Die Bundesposition zu KI in der Bildung ist fördernd, nicht regulierend</w:t>
      </w:r>
    </w:p>
    <w:p w14:paraId="54158FEB" w14:textId="77777777" w:rsidR="0090768F" w:rsidRDefault="00000000">
      <w:pPr>
        <w:pStyle w:val="FirstParagraph"/>
      </w:pPr>
      <w:r>
        <w:rPr>
          <w:b/>
          <w:bCs/>
        </w:rPr>
        <w:t>Es gibt keine Leitlinie des Bildungsministeriums speziell zu KI und FERPA.</w:t>
      </w:r>
      <w:r>
        <w:t xml:space="preserve"> Die vollständige Leitlinienliste des SPPO (175 Einträge, geprüft am 11. September 2026) enthält keinen KI-Eintrag. Das ist eine echte Lücke und sollte klar benannt werden.</w:t>
      </w:r>
    </w:p>
    <w:p w14:paraId="5A3EFB11" w14:textId="77777777" w:rsidR="0090768F" w:rsidRDefault="00000000">
      <w:pPr>
        <w:pStyle w:val="BodyText"/>
      </w:pPr>
      <w:r>
        <w:t xml:space="preserve">Die vorhandenen Grundsatzpapiere stammen vom Office of Educational Technology — </w:t>
      </w:r>
      <w:r>
        <w:rPr>
          <w:i/>
          <w:iCs/>
        </w:rPr>
        <w:t>Artificial Intelligence and the Future of Teaching and Learning</w:t>
      </w:r>
      <w:r>
        <w:t xml:space="preserve"> (Mai 2023) und </w:t>
      </w:r>
      <w:r>
        <w:rPr>
          <w:i/>
          <w:iCs/>
        </w:rPr>
        <w:t xml:space="preserve">Designing for Education with Artificial Intelligence: </w:t>
      </w:r>
      <w:r>
        <w:rPr>
          <w:b/>
          <w:bCs/>
          <w:i/>
          <w:iCs/>
        </w:rPr>
        <w:t>An Essential Guide for Developers</w:t>
      </w:r>
      <w:r>
        <w:t xml:space="preserve"> (Juli 2024; der korrekte Untertitel — die Entwicklerperspektive ist für uns nützlicher als eine Politikperspektive). </w:t>
      </w:r>
      <w:r>
        <w:rPr>
          <w:b/>
          <w:bCs/>
        </w:rPr>
        <w:t>Dieses Büro wurde im März 2025 aufgelöst</w:t>
      </w:r>
      <w:r>
        <w:t xml:space="preserve">, im Rahmen eines Personalabbaus von rund 4.133 auf rund 2.183 Stellen. </w:t>
      </w:r>
      <w:r>
        <w:rPr>
          <w:i/>
          <w:iCs/>
        </w:rPr>
        <w:t>(Auflösung in der Fachpresse berichtet; eine Mitteilung des Ministeriums war nicht auffindbar.)</w:t>
      </w:r>
      <w:r>
        <w:t xml:space="preserve"> Eine Nachfolgeleitlinie ist nicht erschienen.</w:t>
      </w:r>
    </w:p>
    <w:p w14:paraId="3D32AD11" w14:textId="77777777" w:rsidR="0090768F" w:rsidRDefault="00000000">
      <w:pPr>
        <w:pStyle w:val="BodyText"/>
      </w:pPr>
      <w:r>
        <w:rPr>
          <w:b/>
          <w:bCs/>
        </w:rPr>
        <w:t>EO 14277</w:t>
      </w:r>
      <w:r>
        <w:t xml:space="preserve"> (23. April 2025) führte zu einem </w:t>
      </w:r>
      <w:r>
        <w:rPr>
          <w:b/>
          <w:bCs/>
        </w:rPr>
        <w:t>Dear-Colleague-Letter vom 22. Juli 2025</w:t>
      </w:r>
      <w:r>
        <w:t xml:space="preserve"> zur Verwendung von Bundesmitteln für KI und zu einer </w:t>
      </w:r>
      <w:r>
        <w:rPr>
          <w:b/>
          <w:bCs/>
        </w:rPr>
        <w:t>endgültigen Förderpriorität, veröffentlicht am 13. April 2026, wirksam am 13. Mai 2026</w:t>
      </w:r>
      <w:r>
        <w:t xml:space="preserve">. Beide sind lehrkraftzentriert formuliert — KI soll Lehrkräfte unterstützen, Schüler sollen „mit” statt „ausschließlich von” KI lernen, Systeme müssen FERPA einhalten. </w:t>
      </w:r>
      <w:r>
        <w:rPr>
          <w:b/>
          <w:bCs/>
        </w:rPr>
        <w:t>Keines behandelt die KI-Bewertung von Schülerarbeiten, benennt Hochrisikonutzungen oder stellt Bedingungen zu Aufsicht, Datenschutz oder Nichtdiskriminierung.</w:t>
      </w:r>
    </w:p>
    <w:p w14:paraId="5C26429C" w14:textId="77777777" w:rsidR="0090768F" w:rsidRDefault="00000000">
      <w:pPr>
        <w:pStyle w:val="BodyText"/>
      </w:pPr>
      <w:r>
        <w:rPr>
          <w:b/>
          <w:bCs/>
        </w:rPr>
        <w:t>Eine strukturelle Warnung.</w:t>
      </w:r>
      <w:r>
        <w:t xml:space="preserve"> Zwischen November 2025 und Juni 2026 wurden Aufgaben des Bildungsministeriums per Ressortvereinbarung verlagert; im Juni 2026 ist die Durchsetzung durch das Office for Civil Rights berichteten Angaben zufolge auf das Justizministerium übergegangen — </w:t>
      </w:r>
      <w:r>
        <w:rPr>
          <w:b/>
          <w:bCs/>
        </w:rPr>
        <w:t>einschließlich der Beschwerden zum Schülerdatenschutz nach FERPA und PPRA</w:t>
      </w:r>
      <w:r>
        <w:t xml:space="preserve">, wobei das Bildungsministerium das Student Privacy Policy Office und die abschließende Entscheidung über dessen Fälle behält. </w:t>
      </w:r>
      <w:r>
        <w:rPr>
          <w:i/>
          <w:iCs/>
        </w:rPr>
        <w:t>(Einzelne Sekundärquelle, kein Wirksamkeitsdatum, Beteiligte sprachen von offenen Details — dies ist der dringlichste Nachprüfungspunkt des Papiers.)</w:t>
      </w:r>
      <w:r>
        <w:t xml:space="preserve"> Trifft es zu, ändert sich der Charakter der Beschwerdebearbeitung wesentlich: Eine an die Bürgerrechtsabteilung des Justizministeriums geleitete Beschwerde bearbeiten Prozessanwälte, nicht ein Beratungsbüro mit dem Regelergebnis freiwilliger Abhilfe.</w:t>
      </w:r>
    </w:p>
    <w:p w14:paraId="42D647EB" w14:textId="77777777" w:rsidR="0090768F" w:rsidRDefault="00000000">
      <w:pPr>
        <w:pStyle w:val="Heading3"/>
      </w:pPr>
      <w:bookmarkStart w:id="173" w:name="ppra-ein-günstig-vermeidbares-risiko"/>
      <w:bookmarkEnd w:id="172"/>
      <w:r>
        <w:t>10.3 PPRA — ein günstig vermeidbares Risiko</w:t>
      </w:r>
    </w:p>
    <w:p w14:paraId="3191D5C4" w14:textId="77777777" w:rsidR="0090768F" w:rsidRDefault="00000000">
      <w:pPr>
        <w:pStyle w:val="FirstParagraph"/>
      </w:pPr>
      <w:r>
        <w:t xml:space="preserve">20 U.S.C. § 1232h(b) untersagt, von einem Schüler ohne vorherige schriftliche Elterneinwilligung die Teilnahme an einer </w:t>
      </w:r>
      <w:r>
        <w:rPr>
          <w:i/>
          <w:iCs/>
        </w:rPr>
        <w:t xml:space="preserve">„survey, analysis, or </w:t>
      </w:r>
      <w:r>
        <w:rPr>
          <w:b/>
          <w:bCs/>
          <w:i/>
          <w:iCs/>
        </w:rPr>
        <w:t>evaluation</w:t>
      </w:r>
      <w:r>
        <w:rPr>
          <w:i/>
          <w:iCs/>
        </w:rPr>
        <w:t>”</w:t>
      </w:r>
      <w:r>
        <w:t xml:space="preserve"> zu verlangen, die Informationen zu acht geschützten Kategorien offenbart, darunter politische Überzeugungen, </w:t>
      </w:r>
      <w:r>
        <w:rPr>
          <w:b/>
          <w:bCs/>
        </w:rPr>
        <w:t>psychische Probleme des Schülers oder der Familie</w:t>
      </w:r>
      <w:r>
        <w:t xml:space="preserve">, Sexualverhalten, rechtswidriges oder herabsetzendes Verhalten, kritische Einschätzungen naher Angehöriger, geschützte Vertrauensverhältnisse, </w:t>
      </w:r>
      <w:r>
        <w:rPr>
          <w:b/>
          <w:bCs/>
        </w:rPr>
        <w:t>religiöse Praktiken oder Überzeugungen</w:t>
      </w:r>
      <w:r>
        <w:t xml:space="preserve"> und Einkommen.</w:t>
      </w:r>
    </w:p>
    <w:p w14:paraId="42C2A069" w14:textId="77777777" w:rsidR="0090768F" w:rsidRDefault="00000000">
      <w:pPr>
        <w:pStyle w:val="BodyText"/>
      </w:pPr>
      <w:r>
        <w:t xml:space="preserve">Das Wort </w:t>
      </w:r>
      <w:r>
        <w:rPr>
          <w:b/>
          <w:bCs/>
        </w:rPr>
        <w:t>„evaluation”</w:t>
      </w:r>
      <w:r>
        <w:t xml:space="preserve"> ist die Angriffsfläche. Eine Feedback-Engine, die einen Freitextaufsatz liest und Kommentare zu Überzeugungen, familiären Umständen oder Gemütslage ausgibt, ist zumindest vertretbar eine solche Bewertung. </w:t>
      </w:r>
      <w:r>
        <w:rPr>
          <w:i/>
          <w:iCs/>
        </w:rPr>
        <w:t>(Eine PPRA-</w:t>
      </w:r>
      <w:r>
        <w:rPr>
          <w:i/>
          <w:iCs/>
        </w:rPr>
        <w:lastRenderedPageBreak/>
        <w:t>Durchsetzung oder Leitlinie zu KI-Feedback war nicht auffindbar — die Auslegung ist ungeprüft, aber für einen Beschwerdeführer naheliegend und günstig zu vermeiden.)</w:t>
      </w:r>
    </w:p>
    <w:p w14:paraId="3F90BEAD" w14:textId="77777777" w:rsidR="0090768F" w:rsidRDefault="00000000">
      <w:pPr>
        <w:pStyle w:val="BodyText"/>
      </w:pPr>
      <w:r>
        <w:rPr>
          <w:b/>
          <w:bCs/>
        </w:rPr>
        <w:t>Designregel: vertraglich zusichern, dass die Modelle nichts über Überzeugungen, Familie, Gemütslage oder die übrigen geschützten Kategorien ableiten oder ausgeben und dass sich das Feedback auf das geprüfte fachliche Konstrukt beschränkt.</w:t>
      </w:r>
      <w:r>
        <w:t xml:space="preserve"> Diese eine Zusicherung nimmt PPRA aus der Analyse und ist ein starkes Verkaufsargument. </w:t>
      </w:r>
      <w:r>
        <w:rPr>
          <w:b/>
          <w:bCs/>
        </w:rPr>
        <w:t>Und im US-Produkt keine Funktion zu Affekt, Wohlbefinden oder Risikomarkierung ausliefern</w:t>
      </w:r>
      <w:r>
        <w:t xml:space="preserve"> — „dieser Schüler könnte belastet sein” fällt unmittelbar unter Kategorie 2, und der Grenznutzen ist gering.</w:t>
      </w:r>
    </w:p>
    <w:p w14:paraId="2EEFC738" w14:textId="77777777" w:rsidR="0090768F" w:rsidRDefault="00000000">
      <w:pPr>
        <w:pStyle w:val="Heading3"/>
      </w:pPr>
      <w:bookmarkStart w:id="174" w:name="coppa-in-der-fassung-von-2025"/>
      <w:bookmarkEnd w:id="173"/>
      <w:r>
        <w:t>10.4 COPPA in der Fassung von 2025</w:t>
      </w:r>
    </w:p>
    <w:p w14:paraId="3FBA770D" w14:textId="77777777" w:rsidR="0090768F" w:rsidRDefault="00000000">
      <w:pPr>
        <w:pStyle w:val="FirstParagraph"/>
      </w:pPr>
      <w:r>
        <w:t xml:space="preserve">Angekündigt am 16. Januar 2025; veröffentlicht am 22. April 2025 (90 FR 16916); wirksam 23. Juni 2025; </w:t>
      </w:r>
      <w:r>
        <w:rPr>
          <w:b/>
          <w:bCs/>
        </w:rPr>
        <w:t>vollständige Compliance seit 22. April 2026 — bereits abgelaufen.</w:t>
      </w:r>
      <w:r>
        <w:t xml:space="preserve"> Jeder US-Start mit unter 13-Jährigen findet ohne Übergangsfrist statt.</w:t>
      </w:r>
    </w:p>
    <w:p w14:paraId="6F76010A" w14:textId="77777777" w:rsidR="0090768F" w:rsidRDefault="00000000">
      <w:pPr>
        <w:pStyle w:val="BodyText"/>
      </w:pPr>
      <w:r>
        <w:t>Drei Änderungen sind erheblich:</w:t>
      </w:r>
    </w:p>
    <w:p w14:paraId="1D12DC3D" w14:textId="77777777" w:rsidR="0090768F" w:rsidRDefault="00000000">
      <w:pPr>
        <w:pStyle w:val="Compact"/>
        <w:numPr>
          <w:ilvl w:val="0"/>
          <w:numId w:val="43"/>
        </w:numPr>
      </w:pPr>
      <w:r>
        <w:rPr>
          <w:b/>
          <w:bCs/>
        </w:rPr>
        <w:t>Gesonderte Einwilligung für die Weitergabe an Dritte (16 CFR § 312.5(a)(2)).</w:t>
      </w:r>
      <w:r>
        <w:t xml:space="preserve"> Die FTC hat in der Begründung ausgeführt: </w:t>
      </w:r>
      <w:r>
        <w:rPr>
          <w:i/>
          <w:iCs/>
        </w:rPr>
        <w:t>„Disclosures of a child’s personal information to third parties … to train or otherwise develop artificial intelligence technologies, are not integral to the website or online service and would require consent.”</w:t>
      </w:r>
      <w:r>
        <w:t xml:space="preserve"> Genau zu sein lohnt: Die Worte „artificial intelligence” kommen im Verordnungstext nicht vor — es ist die </w:t>
      </w:r>
      <w:r>
        <w:rPr>
          <w:b/>
          <w:bCs/>
        </w:rPr>
        <w:t>Auslegung</w:t>
      </w:r>
      <w:r>
        <w:t xml:space="preserve"> des Begriffs „integral” in der Begründung. Sie ist als </w:t>
      </w:r>
      <w:r>
        <w:rPr>
          <w:b/>
          <w:bCs/>
        </w:rPr>
        <w:t>Weitergabe</w:t>
      </w:r>
      <w:r>
        <w:t xml:space="preserve">regel formuliert; wer sein eigenes Modell auf rechtmäßig erhobenen Daten trainiert, gibt nicht offenkundig an Dritte weiter. Die für uns ungünstigste Lesart ist, dass die Übermittlung an eine Drittanbieter-Modell-API eine solche Weitergabe ist. </w:t>
      </w:r>
      <w:r>
        <w:rPr>
          <w:b/>
          <w:bCs/>
        </w:rPr>
        <w:t>Eine klärende Äußerung der FTC war nicht auffindbar.</w:t>
      </w:r>
    </w:p>
    <w:p w14:paraId="7797D085" w14:textId="77777777" w:rsidR="0090768F" w:rsidRDefault="00000000">
      <w:pPr>
        <w:pStyle w:val="Compact"/>
        <w:numPr>
          <w:ilvl w:val="0"/>
          <w:numId w:val="43"/>
        </w:numPr>
      </w:pPr>
      <w:r>
        <w:rPr>
          <w:b/>
          <w:bCs/>
        </w:rPr>
        <w:t>Speicherung (§ 312.10) — die Norm mit Zähnen, und sie steht im Verordnungstext.</w:t>
      </w:r>
      <w:r>
        <w:t xml:space="preserve"> </w:t>
      </w:r>
      <w:r>
        <w:rPr>
          <w:i/>
          <w:iCs/>
        </w:rPr>
        <w:t>„Personal information collected online from a child may not be retained indefinitely.”</w:t>
      </w:r>
      <w:r>
        <w:t xml:space="preserve"> Eine schriftliche, veröffentlichte Aufbewahrungsrichtlinie mit Zwecken, betrieblichem Bedarf und Löschfrist ist Pflicht. Die FTC hat Ausnahmen für Sicherheit, Betrugsprävention, Nachweisführung und Dienstkontinuität ausdrücklich abgelehnt. </w:t>
      </w:r>
      <w:r>
        <w:rPr>
          <w:b/>
          <w:bCs/>
        </w:rPr>
        <w:t>Das beendet einen dauerhaften Trainingskorpus mit Daten unter 13-Jähriger</w:t>
      </w:r>
      <w:r>
        <w:t>, weil ein Trainingsdatensatz definitionsgemäß unbefristet aufbewahrt wird und sich nicht redlich als für die Korrektur einer Klausur erforderlich beschreiben lässt.</w:t>
      </w:r>
    </w:p>
    <w:p w14:paraId="16277FA5" w14:textId="77777777" w:rsidR="0090768F" w:rsidRDefault="00000000">
      <w:pPr>
        <w:pStyle w:val="Compact"/>
        <w:numPr>
          <w:ilvl w:val="0"/>
          <w:numId w:val="43"/>
        </w:numPr>
      </w:pPr>
      <w:r>
        <w:rPr>
          <w:b/>
          <w:bCs/>
        </w:rPr>
        <w:t>Sicherheit (§ 312.8(b)–(c)):</w:t>
      </w:r>
      <w:r>
        <w:t xml:space="preserve"> ein schriftliches Informationssicherheitsprogramm mit benanntem Koordinator, jährlichen Risikobewertungen, Tests und jährlicher Bewertung; sowie </w:t>
      </w:r>
      <w:r>
        <w:rPr>
          <w:b/>
          <w:bCs/>
        </w:rPr>
        <w:t>schriftliche Zusicherungen</w:t>
      </w:r>
      <w:r>
        <w:t xml:space="preserve"> von Dienstleistern und Dritten, bevor diese Kinderdaten erheben oder verwahren.</w:t>
      </w:r>
    </w:p>
    <w:p w14:paraId="0458A434" w14:textId="77777777" w:rsidR="0090768F" w:rsidRDefault="00000000">
      <w:pPr>
        <w:pStyle w:val="FirstParagraph"/>
      </w:pPr>
      <w:r>
        <w:rPr>
          <w:b/>
          <w:bCs/>
        </w:rPr>
        <w:t>Der Schulautorisierungsmechanismus ist eine Verlautbarung, keine kodifizierte Ausnahme.</w:t>
      </w:r>
      <w:r>
        <w:t xml:space="preserve"> Die FTC hat ihn 2024 vorgeschlagen und zurückgezogen, um einer erwarteten FERPA-Rechtsetzung nicht vorzugreifen — </w:t>
      </w:r>
      <w:r>
        <w:rPr>
          <w:b/>
          <w:bCs/>
        </w:rPr>
        <w:t>die nicht ergangen ist</w:t>
      </w:r>
      <w:r>
        <w:t xml:space="preserve">. Das Ergebnis ist eine </w:t>
      </w:r>
      <w:r>
        <w:lastRenderedPageBreak/>
        <w:t xml:space="preserve">zweijährige Blockade: Die FTC hat auf das Bildungsministerium verwiesen, dieses wurde halbiert, und keines der Instrumente existiert. </w:t>
      </w:r>
      <w:r>
        <w:rPr>
          <w:b/>
          <w:bCs/>
        </w:rPr>
        <w:t>Mit dem Fortbestehen der Blockade planen.</w:t>
      </w:r>
      <w:r>
        <w:t xml:space="preserve"> Maßgeblich ist die FTC-Verlautbarung zu EdTech und COPPA von 2022: keine erzwungene Übererhebung; Nutzung nur zur Erbringung des angeforderten Dienstes; keine kommerzielle Nutzung; keine Aufbewahrung für spekulative künftige Zwecke; Sicherheitsmängel verstoßen auch ohne Vorfall; und </w:t>
      </w:r>
      <w:r>
        <w:rPr>
          <w:i/>
          <w:iCs/>
        </w:rPr>
        <w:t>„the responsibility for COPPA compliance is on businesses, not schools or parents.”</w:t>
      </w:r>
    </w:p>
    <w:p w14:paraId="57A00866" w14:textId="77777777" w:rsidR="0090768F" w:rsidRDefault="00000000">
      <w:pPr>
        <w:pStyle w:val="BodyText"/>
      </w:pPr>
      <w:r>
        <w:rPr>
          <w:b/>
          <w:bCs/>
        </w:rPr>
        <w:t>Die Edmodo-Verfügung ist der Mahnfall</w:t>
      </w:r>
      <w:r>
        <w:t xml:space="preserve"> — 6 Mio. USD Buße, wegen Zahlungsunfähigkeit ausgesetzt, und das Unternehmen überlebte den Reputationsschaden nicht. Zwei Elemente sind erheblich </w:t>
      </w:r>
      <w:r>
        <w:rPr>
          <w:i/>
          <w:iCs/>
        </w:rPr>
        <w:t>(Sekundärquelle; der Verfügungstext war nicht abrufbar)</w:t>
      </w:r>
      <w:r>
        <w:t xml:space="preserve">: </w:t>
      </w:r>
      <w:r>
        <w:rPr>
          <w:b/>
          <w:bCs/>
        </w:rPr>
        <w:t>algorithmische Herausgabe</w:t>
      </w:r>
      <w:r>
        <w:t xml:space="preserve"> — Löschung von Modellen oder Algorithmen, die mit ohne wirksame Einwilligung oder Schulautorisierung erhobenen Kinderdaten entwickelt wurden, also die schärfste denkbare Sanktion gegen einen KI-Korrekturanbieter, weil sie den Vermögenswert vernichtet statt ihn zu bebußen; und die Definition von „School” im </w:t>
      </w:r>
      <w:r>
        <w:rPr>
          <w:b/>
          <w:bCs/>
        </w:rPr>
        <w:t>Singular</w:t>
      </w:r>
      <w:r>
        <w:t>, was FTC-Skepsis gegenüber diffusen „der Bezirk hat zugestimmt”-Ketten signalisiert.</w:t>
      </w:r>
    </w:p>
    <w:p w14:paraId="316F2306" w14:textId="77777777" w:rsidR="0090768F" w:rsidRDefault="00000000">
      <w:pPr>
        <w:pStyle w:val="Heading3"/>
      </w:pPr>
      <w:bookmarkStart w:id="175" w:name="Xa753bf4fd000a396c892f06d5d33be7bf3438ee"/>
      <w:bookmarkEnd w:id="174"/>
      <w:r>
        <w:t>10.5 Bürgerrechte — und wo das reale Risiko nun liegt</w:t>
      </w:r>
    </w:p>
    <w:p w14:paraId="0F9F5B39" w14:textId="77777777" w:rsidR="0090768F" w:rsidRDefault="00000000">
      <w:pPr>
        <w:pStyle w:val="FirstParagraph"/>
      </w:pPr>
      <w:r>
        <w:rPr>
          <w:b/>
          <w:bCs/>
        </w:rPr>
        <w:t>Die mittelbare Diskriminierung ist bundesrechtlich eingeschränkt worden; das ist weder zu verschweigen noch zu überzeichnen.</w:t>
      </w:r>
      <w:r>
        <w:t xml:space="preserve"> EO 14281 (23. April 2025) wies die Behörden an, die Durchsetzung von Disparate-Impact-Haftung herabzustufen; das Bildungsministerium setzte dies mit einer am </w:t>
      </w:r>
      <w:r>
        <w:rPr>
          <w:b/>
          <w:bCs/>
        </w:rPr>
        <w:t>24. Juli 2026</w:t>
      </w:r>
      <w:r>
        <w:t xml:space="preserve"> veröffentlichten Endregel um, die 34 CFR § 100.3(b)(2) und verwandte Title-VI-Bestimmungen aufhob, ohne Anhörungsverfahren unter Berufung auf die Ausnahme für Förderregelungen </w:t>
      </w:r>
      <w:r>
        <w:rPr>
          <w:i/>
          <w:iCs/>
        </w:rPr>
        <w:t>(eine Verfahrenswahl, die selbst angreifbar ist; ob Klagen anhängig sind, konnte nicht verifiziert werden)</w:t>
      </w:r>
      <w:r>
        <w:t>.</w:t>
      </w:r>
    </w:p>
    <w:tbl>
      <w:tblPr>
        <w:tblStyle w:val="Table"/>
        <w:tblW w:w="5000" w:type="pct"/>
        <w:tblLook w:val="0020" w:firstRow="1" w:lastRow="0" w:firstColumn="0" w:lastColumn="0" w:noHBand="0" w:noVBand="0"/>
      </w:tblPr>
      <w:tblGrid>
        <w:gridCol w:w="5779"/>
        <w:gridCol w:w="3581"/>
      </w:tblGrid>
      <w:tr w:rsidR="0090768F" w14:paraId="46CD3B9F"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6F7B5C77" w14:textId="77777777" w:rsidR="0090768F" w:rsidRDefault="00000000">
            <w:pPr>
              <w:pStyle w:val="Compact"/>
            </w:pPr>
            <w:r>
              <w:t>Bleibt bestehen</w:t>
            </w:r>
          </w:p>
        </w:tc>
        <w:tc>
          <w:tcPr>
            <w:tcW w:w="0" w:type="auto"/>
          </w:tcPr>
          <w:p w14:paraId="6A973B5C" w14:textId="77777777" w:rsidR="0090768F" w:rsidRDefault="00000000">
            <w:pPr>
              <w:pStyle w:val="Compact"/>
            </w:pPr>
            <w:r>
              <w:t>Geschwächt oder entfallen</w:t>
            </w:r>
          </w:p>
        </w:tc>
      </w:tr>
      <w:tr w:rsidR="0090768F" w14:paraId="3C38DED6" w14:textId="77777777">
        <w:tc>
          <w:tcPr>
            <w:tcW w:w="0" w:type="auto"/>
          </w:tcPr>
          <w:p w14:paraId="4A751EA0" w14:textId="77777777" w:rsidR="0090768F" w:rsidRDefault="00000000">
            <w:pPr>
              <w:pStyle w:val="Compact"/>
            </w:pPr>
            <w:r>
              <w:rPr>
                <w:b/>
                <w:bCs/>
              </w:rPr>
              <w:t>Vorsätzliche</w:t>
            </w:r>
            <w:r>
              <w:t xml:space="preserve"> Diskriminierung nach Title VI — gesetzlich</w:t>
            </w:r>
          </w:p>
        </w:tc>
        <w:tc>
          <w:tcPr>
            <w:tcW w:w="0" w:type="auto"/>
          </w:tcPr>
          <w:p w14:paraId="0A24AE21" w14:textId="77777777" w:rsidR="0090768F" w:rsidRDefault="00000000">
            <w:pPr>
              <w:pStyle w:val="Compact"/>
            </w:pPr>
            <w:r>
              <w:t xml:space="preserve">Regulatorische </w:t>
            </w:r>
            <w:r>
              <w:rPr>
                <w:b/>
                <w:bCs/>
              </w:rPr>
              <w:t>Disparate-Impact</w:t>
            </w:r>
            <w:r>
              <w:t>-Haftung nach Title VI</w:t>
            </w:r>
          </w:p>
        </w:tc>
      </w:tr>
      <w:tr w:rsidR="0090768F" w14:paraId="7A3D9632" w14:textId="77777777">
        <w:tc>
          <w:tcPr>
            <w:tcW w:w="0" w:type="auto"/>
          </w:tcPr>
          <w:p w14:paraId="6CC99015" w14:textId="77777777" w:rsidR="0090768F" w:rsidRDefault="00000000">
            <w:pPr>
              <w:pStyle w:val="Compact"/>
            </w:pPr>
            <w:r>
              <w:rPr>
                <w:b/>
                <w:bCs/>
              </w:rPr>
              <w:t>Section 504 / ADA</w:t>
            </w:r>
            <w:r>
              <w:t xml:space="preserve"> — wirkungsbezogen angelegt; unterlassene Vorkehrungen und Verwaltungsmethoden setzen keinen Vorsatz voraus</w:t>
            </w:r>
          </w:p>
        </w:tc>
        <w:tc>
          <w:tcPr>
            <w:tcW w:w="0" w:type="auto"/>
          </w:tcPr>
          <w:p w14:paraId="0BA95564" w14:textId="77777777" w:rsidR="0090768F" w:rsidRDefault="00000000">
            <w:pPr>
              <w:pStyle w:val="Compact"/>
            </w:pPr>
            <w:r>
              <w:t>Bundesweite Durchsetzungspriorität für Wirkungsklagen</w:t>
            </w:r>
          </w:p>
        </w:tc>
      </w:tr>
      <w:tr w:rsidR="0090768F" w14:paraId="41C84DF7" w14:textId="77777777">
        <w:tc>
          <w:tcPr>
            <w:tcW w:w="0" w:type="auto"/>
          </w:tcPr>
          <w:p w14:paraId="27B7F733" w14:textId="77777777" w:rsidR="0090768F" w:rsidRDefault="00000000">
            <w:pPr>
              <w:pStyle w:val="Compact"/>
            </w:pPr>
            <w:r>
              <w:t>Title-IX-Wirkungsanalyse (eigene Vorschriften)</w:t>
            </w:r>
          </w:p>
        </w:tc>
        <w:tc>
          <w:tcPr>
            <w:tcW w:w="0" w:type="auto"/>
          </w:tcPr>
          <w:p w14:paraId="57931CE4" w14:textId="77777777" w:rsidR="0090768F" w:rsidRDefault="00000000">
            <w:pPr>
              <w:pStyle w:val="Compact"/>
            </w:pPr>
            <w:r>
              <w:t>—</w:t>
            </w:r>
          </w:p>
        </w:tc>
      </w:tr>
      <w:tr w:rsidR="0090768F" w14:paraId="2F9B4639" w14:textId="77777777">
        <w:tc>
          <w:tcPr>
            <w:tcW w:w="0" w:type="auto"/>
          </w:tcPr>
          <w:p w14:paraId="3C63CF3A" w14:textId="77777777" w:rsidR="0090768F" w:rsidRDefault="00000000">
            <w:pPr>
              <w:pStyle w:val="Compact"/>
            </w:pPr>
            <w:r>
              <w:rPr>
                <w:b/>
                <w:bCs/>
              </w:rPr>
              <w:t>Einzelstaatliches</w:t>
            </w:r>
            <w:r>
              <w:t xml:space="preserve"> Antidiskriminierungs- und KI-Recht</w:t>
            </w:r>
          </w:p>
        </w:tc>
        <w:tc>
          <w:tcPr>
            <w:tcW w:w="0" w:type="auto"/>
          </w:tcPr>
          <w:p w14:paraId="5C11BD62" w14:textId="77777777" w:rsidR="0090768F" w:rsidRDefault="00000000">
            <w:pPr>
              <w:pStyle w:val="Compact"/>
            </w:pPr>
            <w:r>
              <w:t>—</w:t>
            </w:r>
          </w:p>
        </w:tc>
      </w:tr>
    </w:tbl>
    <w:p w14:paraId="72E1C894" w14:textId="77777777" w:rsidR="0090768F" w:rsidRDefault="00000000">
      <w:pPr>
        <w:pStyle w:val="BodyText"/>
      </w:pPr>
      <w:r>
        <w:rPr>
          <w:b/>
          <w:bCs/>
        </w:rPr>
        <w:t>Fazit: dem Unternehmen nicht sagen, das Bias-Risiko sei entfallen.</w:t>
      </w:r>
      <w:r>
        <w:t xml:space="preserve"> Der Behinderungsweg ist unberührt und für ein KI-Korrekturwerkzeug der wahrscheinlichere Angriffsvektor; das Landesrecht wächst; und Reputations- und Beschaffungsrisiko sind gegenüber der Dogmatik gleichgültig. Ein Bezirk, der eine Fehlerquotenlücke nach Untergruppen sieht, trennt sich vom Anbieter, unabhängig davon, ob jemand ermitteln würde.</w:t>
      </w:r>
    </w:p>
    <w:p w14:paraId="5AD8C7BB" w14:textId="77777777" w:rsidR="0090768F" w:rsidRDefault="00000000">
      <w:pPr>
        <w:pStyle w:val="BodyText"/>
      </w:pPr>
      <w:r>
        <w:rPr>
          <w:b/>
          <w:bCs/>
        </w:rPr>
        <w:lastRenderedPageBreak/>
        <w:t xml:space="preserve">Die OCR-Leitlinie </w:t>
      </w:r>
      <w:r>
        <w:rPr>
          <w:b/>
          <w:bCs/>
          <w:i/>
          <w:iCs/>
        </w:rPr>
        <w:t>Avoiding the Discriminatory Use of Artificial Intelligence</w:t>
      </w:r>
      <w:r>
        <w:rPr>
          <w:b/>
          <w:bCs/>
        </w:rPr>
        <w:t xml:space="preserve"> (November 2024, überarbeitet Januar 2025) wurde förmlich zurückgenommen</w:t>
      </w:r>
      <w:r>
        <w:t xml:space="preserve"> </w:t>
      </w:r>
      <w:r>
        <w:rPr>
          <w:i/>
          <w:iCs/>
        </w:rPr>
        <w:t>(Datum und Instrument der Rücknahme nicht feststellbar)</w:t>
      </w:r>
      <w:r>
        <w:t xml:space="preserve">. Sie bleibt das nützlichste Einzeldokument der Akte, weil die Rücknahme ihren Leitliniencharakter beseitigt, nicht aber ihren Wert als Landkarte möglicher Beschwerdeführung. Ihr Beispiel 1 ist unser Szenario mit anderen Etiketten: ein Werkzeug mit </w:t>
      </w:r>
      <w:r>
        <w:rPr>
          <w:i/>
          <w:iCs/>
        </w:rPr>
        <w:t>„a low error rate for evaluating essays written by native English speakers”</w:t>
      </w:r>
      <w:r>
        <w:t xml:space="preserve">, aber </w:t>
      </w:r>
      <w:r>
        <w:rPr>
          <w:i/>
          <w:iCs/>
        </w:rPr>
        <w:t>„a high error rate when evaluating essays written by non-native English speakers”</w:t>
      </w:r>
      <w:r>
        <w:t>. Der rote Faden ihrer Beispiele: Haftung entsteht nicht aus dem KI-Einsatz, sondern aus dem Vertrauen auf die Ausgabe, dem Unterlassen von Fehlerquotenprüfungen nach Untergruppen und dem Ignorieren von Beschwerden.</w:t>
      </w:r>
    </w:p>
    <w:p w14:paraId="4973356A" w14:textId="77777777" w:rsidR="0090768F" w:rsidRDefault="00000000">
      <w:pPr>
        <w:pStyle w:val="BodyText"/>
      </w:pPr>
      <w:r>
        <w:rPr>
          <w:b/>
          <w:bCs/>
        </w:rPr>
        <w:t>Nachteilsausgleiche sind eine Bauanforderung, keine Policy-Frage.</w:t>
      </w:r>
      <w:r>
        <w:t xml:space="preserve"> Die IDEA-Vertraulichkeitsregeln treten zu FERPA hinzu. Inhaltlich: Zeitverlängerung ist für die Korrektur ohne Belang; Schreibkraft oder Textverarbeitung verändern das Artefakt von Handschrift zu Text, und </w:t>
      </w:r>
      <w:r>
        <w:rPr>
          <w:b/>
          <w:bCs/>
        </w:rPr>
        <w:t>getippte Arbeiten dürfen nicht anders bewertet werden</w:t>
      </w:r>
      <w:r>
        <w:t xml:space="preserve">; Verzicht auf Rechtschreib- und Grammatikbewertung bedeutet, dass </w:t>
      </w:r>
      <w:r>
        <w:rPr>
          <w:b/>
          <w:bCs/>
        </w:rPr>
        <w:t>das Raster je Schüler änderbar sein muss</w:t>
      </w:r>
      <w:r>
        <w:t xml:space="preserve">; alternative oder gekürzte Antwortformate sind zu unterstützen. </w:t>
      </w:r>
      <w:r>
        <w:rPr>
          <w:b/>
          <w:bCs/>
        </w:rPr>
        <w:t>Ein System, das auf jede Arbeit dasselbe Raster anwendet, kann einen 504-Plan nicht umsetzen.</w:t>
      </w:r>
      <w:r>
        <w:t xml:space="preserve"> GRADIAS muss ein Kennzeichen für schülerbezogene Rasteranpassung annehmen und belegen, dass es angewandt wurde.</w:t>
      </w:r>
    </w:p>
    <w:p w14:paraId="63D4ED3C" w14:textId="77777777" w:rsidR="0090768F" w:rsidRDefault="00000000">
      <w:pPr>
        <w:pStyle w:val="Heading3"/>
      </w:pPr>
      <w:bookmarkStart w:id="176" w:name="X31ca63b0a173a400daeeed65e76b856a2eefe18"/>
      <w:bookmarkEnd w:id="175"/>
      <w:r>
        <w:t>10.6 Was die Evidenz zum Bewertungs-Bias tatsächlich zeigt</w:t>
      </w:r>
    </w:p>
    <w:p w14:paraId="7A9E0CCE" w14:textId="77777777" w:rsidR="0090768F" w:rsidRDefault="00000000">
      <w:pPr>
        <w:pStyle w:val="FirstParagraph"/>
      </w:pPr>
      <w:r>
        <w:t>Zwei Studien wurden verifiziert; sie sind sorgfältig und nicht schlagwortartig zu lesen.</w:t>
      </w:r>
    </w:p>
    <w:p w14:paraId="1C5E3E43" w14:textId="77777777" w:rsidR="0090768F" w:rsidRDefault="00000000">
      <w:pPr>
        <w:pStyle w:val="Compact"/>
        <w:numPr>
          <w:ilvl w:val="0"/>
          <w:numId w:val="44"/>
        </w:numPr>
      </w:pPr>
      <w:r>
        <w:rPr>
          <w:b/>
          <w:bCs/>
        </w:rPr>
        <w:t xml:space="preserve">Li, Qunhan &amp; Mao (2026), </w:t>
      </w:r>
      <w:r>
        <w:rPr>
          <w:b/>
          <w:bCs/>
          <w:i/>
          <w:iCs/>
        </w:rPr>
        <w:t>Scientific Reports</w:t>
      </w:r>
      <w:r>
        <w:rPr>
          <w:b/>
          <w:bCs/>
        </w:rPr>
        <w:t xml:space="preserve"> 16:17412</w:t>
      </w:r>
      <w:r>
        <w:t xml:space="preserve"> — Metaanalyse menschlicher und KI-Bewertung in Englischtests. Der gepoolte Effekt ist nicht signifikant (d = −0,144; p = 0,38), </w:t>
      </w:r>
      <w:r>
        <w:rPr>
          <w:b/>
          <w:bCs/>
        </w:rPr>
        <w:t>aber I² = 99,95 %</w:t>
      </w:r>
      <w:r>
        <w:t xml:space="preserve">, der Nullbefund verdeckt also enorme Streuung zwischen den Studien. In Untergruppen zeigten </w:t>
      </w:r>
      <w:r>
        <w:rPr>
          <w:b/>
          <w:bCs/>
        </w:rPr>
        <w:t>große Sprachmodelle die größte Abweichung (d = −1,14; k = 5)</w:t>
      </w:r>
      <w:r>
        <w:t xml:space="preserve"> mit signifikant höheren menschlichen Werten, spezialisierte NLP-Systeme dagegen kaum Unterschiede; auf GER-Niveau B1–C1 </w:t>
      </w:r>
      <w:r>
        <w:rPr>
          <w:b/>
          <w:bCs/>
        </w:rPr>
        <w:t>bewertete die KI signifikant höher als Menschen</w:t>
      </w:r>
      <w:r>
        <w:t xml:space="preserve">. Die operative Lesart ist nicht „LLM sind gegenüber Nichtmuttersprachlern voreingenommen”, sondern etwas Brauchbareres: </w:t>
      </w:r>
      <w:r>
        <w:rPr>
          <w:b/>
          <w:bCs/>
        </w:rPr>
        <w:t>Richtung und Ausmaß der Abweichung zwischen LLM und Mensch sind über Kompetenzniveaus hinweg nicht stabil</w:t>
      </w:r>
      <w:r>
        <w:t xml:space="preserve"> — genau das Muster, das ohne jedes geschützte Merkmal als Eingabe zu unterschiedlicher Genauigkeit zwischen EL- und Nicht-EL-Gruppen führt.</w:t>
      </w:r>
    </w:p>
    <w:p w14:paraId="66875AE4" w14:textId="77777777" w:rsidR="0090768F" w:rsidRDefault="00000000">
      <w:pPr>
        <w:pStyle w:val="Compact"/>
        <w:numPr>
          <w:ilvl w:val="0"/>
          <w:numId w:val="44"/>
        </w:numPr>
      </w:pPr>
      <w:r>
        <w:rPr>
          <w:b/>
          <w:bCs/>
        </w:rPr>
        <w:t>Guo et al. (2025), arXiv:2505.10643</w:t>
      </w:r>
      <w:r>
        <w:t xml:space="preserve"> — BERT, feinabgestimmt auf Freitextantworten des California Science Test. </w:t>
      </w:r>
      <w:r>
        <w:rPr>
          <w:b/>
          <w:bCs/>
        </w:rPr>
        <w:t>Bias ist eine Funktion von Umfang und Zusammensetzung der Trainingsdaten</w:t>
      </w:r>
      <w:r>
        <w:t xml:space="preserve">: bei rund 30.000 Antworten von Englischlernenden keine signifikanten Modellunterschiede; bei rund 200 signifikante Genauigkeitsunterschiede, und verzerrte mittlere Punktabstände, wenn die Trainingszusammensetzung von den realen Anteilen abwich. </w:t>
      </w:r>
      <w:r>
        <w:rPr>
          <w:b/>
          <w:bCs/>
        </w:rPr>
        <w:t xml:space="preserve">Das ist der handlungsrelevanteste verfügbare Befund: EL-Bias ist weitgehend ein Problem von Datenmenge und Repräsentativität und damit mess- und </w:t>
      </w:r>
      <w:r>
        <w:rPr>
          <w:b/>
          <w:bCs/>
        </w:rPr>
        <w:lastRenderedPageBreak/>
        <w:t>behebbar.</w:t>
      </w:r>
      <w:r>
        <w:t xml:space="preserve"> Er stützt eine konkrete Zusage — repräsentative Kalibrierungsdaten je Einsatzkontext und Genauigkeitsberichte nach Untergruppen.</w:t>
      </w:r>
    </w:p>
    <w:p w14:paraId="71B6D2C3" w14:textId="77777777" w:rsidR="0090768F" w:rsidRDefault="00000000">
      <w:pPr>
        <w:pStyle w:val="FirstParagraph"/>
      </w:pPr>
      <w:r>
        <w:rPr>
          <w:i/>
          <w:iCs/>
        </w:rPr>
        <w:t>(Bridgeman, Trapani &amp; Attali (2012), die kanonische ETS-e-rater-Untergruppenstudie, war nicht lesbar — der Verlag lieferte einen Fehler. Ihr keine konkreten Untergruppenbefunde zuschreiben.)</w:t>
      </w:r>
    </w:p>
    <w:p w14:paraId="0DC07F4D" w14:textId="77777777" w:rsidR="0090768F" w:rsidRDefault="00000000">
      <w:pPr>
        <w:pStyle w:val="BodyText"/>
      </w:pPr>
      <w:r>
        <w:rPr>
          <w:b/>
          <w:bCs/>
        </w:rPr>
        <w:t>Die Lücke, zu der wir uns bekennen sollten, statt sie zu entleihen.</w:t>
      </w:r>
      <w:r>
        <w:t xml:space="preserve"> </w:t>
      </w:r>
      <w:r>
        <w:rPr>
          <w:b/>
          <w:bCs/>
        </w:rPr>
        <w:t xml:space="preserve">Eine veröffentlichte Studie zum Bias der KI-Bewertung </w:t>
      </w:r>
      <w:r>
        <w:rPr>
          <w:b/>
          <w:bCs/>
          <w:i/>
          <w:iCs/>
        </w:rPr>
        <w:t>handschriftlicher</w:t>
      </w:r>
      <w:r>
        <w:rPr>
          <w:b/>
          <w:bCs/>
        </w:rPr>
        <w:t xml:space="preserve"> Arbeiten war nicht auffindbar.</w:t>
      </w:r>
      <w:r>
        <w:t xml:space="preserve"> Sämtliche Evidenz betrifft getippten oder transkribierten Text. Wir schieben eine OCR/HTR-Stufe davor, und </w:t>
      </w:r>
      <w:r>
        <w:rPr>
          <w:b/>
          <w:bCs/>
        </w:rPr>
        <w:t>Transkriptionsfehler sind selbst ein plausibler Bias-Vektor</w:t>
      </w:r>
      <w:r>
        <w:t xml:space="preserve">: Lesbarkeit korreliert mit feinmotorischer Beeinträchtigung, Dysgraphie, Alter und Unterrichtsqualität, und ein überwiegend auf einer Population trainierter Erkenner transkribiert andere schlechter. Ein Schüler, dessen Arbeit mit 92 % Zeichengenauigkeit transkribiert wird, und einer mit 98 % werden nicht am selben Artefakt bewertet. </w:t>
      </w:r>
      <w:r>
        <w:rPr>
          <w:b/>
          <w:bCs/>
        </w:rPr>
        <w:t>Abhilfe: Transkriptionsgenauigkeit nach Untergruppen messen und berichten; Arbeiten mit niedriger Konfidenz mit Originalbild an die Lehrkraft leiten; Arbeiten unterhalb einer Konfidenzschwelle nie bewerten.</w:t>
      </w:r>
      <w:r>
        <w:t xml:space="preserve"> Diese Forschungslücke könnten wir glaubwürdig schließen — ein echtes Differenzierungsmerkmal.</w:t>
      </w:r>
    </w:p>
    <w:p w14:paraId="2CE05536" w14:textId="77777777" w:rsidR="0090768F" w:rsidRDefault="00000000">
      <w:pPr>
        <w:pStyle w:val="Heading3"/>
      </w:pPr>
      <w:bookmarkStart w:id="177" w:name="hochschule-barrierefreiheit-haftung"/>
      <w:bookmarkEnd w:id="176"/>
      <w:r>
        <w:t>10.7 Hochschule, Barrierefreiheit, Haftung</w:t>
      </w:r>
    </w:p>
    <w:p w14:paraId="3531C0D9" w14:textId="77777777" w:rsidR="0090768F" w:rsidRDefault="00000000">
      <w:pPr>
        <w:pStyle w:val="FirstParagraph"/>
      </w:pPr>
      <w:r>
        <w:rPr>
          <w:b/>
          <w:bCs/>
        </w:rPr>
        <w:t>„Regular and substantive interaction” (34 CFR § 600.2).</w:t>
      </w:r>
      <w:r>
        <w:t xml:space="preserve"> Fernunterricht muss regelmäßige und substanzielle Interaktion mit </w:t>
      </w:r>
      <w:r>
        <w:rPr>
          <w:b/>
          <w:bCs/>
        </w:rPr>
        <w:t>einem Lehrenden</w:t>
      </w:r>
      <w:r>
        <w:t xml:space="preserve"> ermöglichen, definiert als </w:t>
      </w:r>
      <w:r>
        <w:rPr>
          <w:i/>
          <w:iCs/>
        </w:rPr>
        <w:t>„an individual”</w:t>
      </w:r>
      <w:r>
        <w:t xml:space="preserve">, der die Qualifikationsanforderungen der Akkreditierungsagentur erfüllt; substanzielle Interaktion erfordert mindestens zwei von fünf Tätigkeiten, deren zweite </w:t>
      </w:r>
      <w:r>
        <w:rPr>
          <w:i/>
          <w:iCs/>
        </w:rPr>
        <w:t>„assessing or providing feedback on a student’s coursework”</w:t>
      </w:r>
      <w:r>
        <w:t xml:space="preserve"> lautet — genau unsere. Ein Kurs, der daran scheitert, ist ein </w:t>
      </w:r>
      <w:r>
        <w:rPr>
          <w:b/>
          <w:bCs/>
        </w:rPr>
        <w:t>correspondence course</w:t>
      </w:r>
      <w:r>
        <w:t xml:space="preserve"> und damit in der Bundesförderung beschränkt. </w:t>
      </w:r>
      <w:r>
        <w:rPr>
          <w:b/>
          <w:bCs/>
        </w:rPr>
        <w:t>Unser Design ist sicher, weil die Lehrkraft prüft und entscheidet, das Feedback beim Studierenden also das des Lehrenden ist, KI-gestützt erstellt. Das Risiko liegt vollständig in Konfiguration und Vermarktung:</w:t>
      </w:r>
      <w:r>
        <w:t xml:space="preserve"> niemals eine Konfiguration, die im Fernunterricht KI-Feedback ohne Prüfung durch den Lehrenden ausliefert, und niemals Werbeaussagen, wir „ersetzten” die Korrektur durch Lehrende. </w:t>
      </w:r>
      <w:r>
        <w:rPr>
          <w:i/>
          <w:iCs/>
        </w:rPr>
        <w:t>(Die KI-Akkreditierungsrichtlinie der MSCHE von Juli 2025 und die C-RAC-Erklärung von Oktober 2025 waren nicht abrufbar; beide vor einer Festlegung zum US-Hochschulsegment beschaffen.)</w:t>
      </w:r>
    </w:p>
    <w:p w14:paraId="50C02291" w14:textId="77777777" w:rsidR="0090768F" w:rsidRDefault="00000000">
      <w:pPr>
        <w:pStyle w:val="BodyText"/>
      </w:pPr>
      <w:r>
        <w:rPr>
          <w:b/>
          <w:bCs/>
        </w:rPr>
        <w:t>Barrierefreiheit.</w:t>
      </w:r>
      <w:r>
        <w:t xml:space="preserve"> Section 508 bindet Bundesbehörden, nicht Bezirke oder Hochschulen — viele einzelstaatliche Vergabegesetze verweisen jedoch darauf, sodass ein VPAT praktisch verlangt wird. Maßgeblich für unsere Kunden ist die </w:t>
      </w:r>
      <w:r>
        <w:rPr>
          <w:b/>
          <w:bCs/>
        </w:rPr>
        <w:t>ADA-Title-II-Webregel (28 CFR Part 35 Subpart H, Endregel vom 24. April 2024), Maßstab WCAG 2.1 Level A und AA</w:t>
      </w:r>
      <w:r>
        <w:t xml:space="preserve">, mit durch Zwischenregel vom 20. April 2026 verlängerten Fristen: </w:t>
      </w:r>
      <w:r>
        <w:rPr>
          <w:b/>
          <w:bCs/>
        </w:rPr>
        <w:t>26. April 2027</w:t>
      </w:r>
      <w:r>
        <w:t xml:space="preserve"> für öffentliche Stellen ab 50.000 Einwohnern und </w:t>
      </w:r>
      <w:r>
        <w:rPr>
          <w:b/>
          <w:bCs/>
        </w:rPr>
        <w:t>26. April 2028</w:t>
      </w:r>
      <w:r>
        <w:t xml:space="preserve"> für kleinere Stellen und Sonderzweckverbände — was die meisten Schulbezirke sind. Entscheidend ist der Satz, dass die öffentliche Stelle verantwortlich bleibt, </w:t>
      </w:r>
      <w:r>
        <w:rPr>
          <w:i/>
          <w:iCs/>
        </w:rPr>
        <w:t>„even if it outsources the accessibility work to somebody else”</w:t>
      </w:r>
      <w:r>
        <w:t xml:space="preserve"> — Bezirke werden die Pflicht daher in den Vertrag schieben. Zwei </w:t>
      </w:r>
      <w:r>
        <w:lastRenderedPageBreak/>
        <w:t xml:space="preserve">produktspezifische Fallen: </w:t>
      </w:r>
      <w:r>
        <w:rPr>
          <w:b/>
          <w:bCs/>
        </w:rPr>
        <w:t>eingescannte Arbeiten sind Nicht-Text-Inhalte</w:t>
      </w:r>
      <w:r>
        <w:t xml:space="preserve"> und brauchen Alternativen für blinde oder sehbehinderte Prüfende; und farbcodierte Konfidenz- oder Annotationsebenen dürfen Information nicht allein über Farbe transportieren.</w:t>
      </w:r>
    </w:p>
    <w:p w14:paraId="75FAF76E" w14:textId="77777777" w:rsidR="0090768F" w:rsidRDefault="00000000">
      <w:pPr>
        <w:pStyle w:val="BodyText"/>
      </w:pPr>
      <w:r>
        <w:rPr>
          <w:b/>
          <w:bCs/>
        </w:rPr>
        <w:t>Haftung.</w:t>
      </w:r>
      <w:r>
        <w:t xml:space="preserve"> Ein bundesrechtliches KI-Haftungsgesetz existiert nicht; Ansprüche werden nach einzelstaatlichem Recht verfolgt — Fahrlässigkeit (die besten Tatsachen des Klägers sind eine bekannte, gemessene und nicht offengelegte Fehlerquote nach Untergruppen), Produkthaftung (ungeklärt, ob KI-Software ein Produkt ist), Irreführung und Verbraucherschutzrecht (übertriebene Genauigkeitsangaben sind der wahrscheinlichste erste Anspruch und der am günstigsten vermeidbare) sowie Vertrag und Freistellung (das realistische Hauptrisiko). </w:t>
      </w:r>
      <w:r>
        <w:rPr>
          <w:b/>
          <w:bCs/>
        </w:rPr>
        <w:t>Unser Schadensprofil ist ungewöhnlich: Eine Fehlbewertung ist ein kleiner Einzelschaden mit potenziell großer Klasse, weil ein Kalibrierungsfehler jede Arbeit eines Jahrgangs betrifft.</w:t>
      </w:r>
      <w:r>
        <w:t xml:space="preserve"> Der tragende Anspruch ist der Bildungsnachteil — eine Note, die eine Einstufung, einen Abschluss oder eine Zulassung verändert hat —, einzeln schwer zu beziffern, in der Summe leicht. Versicherungsfolge: Technologie-E&amp;O mit ausdrücklicher KI-Erweiterung, geprüft darauf, dass sie Ansprüche aus der </w:t>
      </w:r>
      <w:r>
        <w:rPr>
          <w:i/>
          <w:iCs/>
        </w:rPr>
        <w:t>Modellausgabe</w:t>
      </w:r>
      <w:r>
        <w:t xml:space="preserve"> und nicht nur aus Sicherheitsvorfällen deckt. </w:t>
      </w:r>
      <w:r>
        <w:rPr>
          <w:i/>
          <w:iCs/>
        </w:rPr>
        <w:t>(Der Versicherungsmarkt wurde nicht recherchiert; als Lücke vermerkt.)</w:t>
      </w:r>
    </w:p>
    <w:p w14:paraId="37F3203C" w14:textId="77777777" w:rsidR="0090768F" w:rsidRDefault="00000000">
      <w:pPr>
        <w:pStyle w:val="Heading2"/>
      </w:pPr>
      <w:bookmarkStart w:id="178" w:name="Xb7930e585919f908a26c36911d6b1bc0ef408d2"/>
      <w:bookmarkStart w:id="179" w:name="_Toc240060424"/>
      <w:bookmarkEnd w:id="169"/>
      <w:bookmarkEnd w:id="177"/>
      <w:r>
        <w:t>11. Vereinigte Staaten — die einzelstaatliche Ebene</w:t>
      </w:r>
      <w:bookmarkEnd w:id="179"/>
    </w:p>
    <w:p w14:paraId="05287F95" w14:textId="77777777" w:rsidR="0090768F" w:rsidRDefault="00000000">
      <w:pPr>
        <w:pStyle w:val="Heading3"/>
      </w:pPr>
      <w:bookmarkStart w:id="180" w:name="fünf-ebenen-drei-davon-produktprägend"/>
      <w:r>
        <w:t>11.1 Fünf Ebenen, drei davon produktprägend</w:t>
      </w:r>
    </w:p>
    <w:tbl>
      <w:tblPr>
        <w:tblStyle w:val="Table"/>
        <w:tblW w:w="5000" w:type="pct"/>
        <w:tblLook w:val="0020" w:firstRow="1" w:lastRow="0" w:firstColumn="0" w:lastColumn="0" w:noHBand="0" w:noVBand="0"/>
      </w:tblPr>
      <w:tblGrid>
        <w:gridCol w:w="3751"/>
        <w:gridCol w:w="3031"/>
        <w:gridCol w:w="2578"/>
      </w:tblGrid>
      <w:tr w:rsidR="0090768F" w14:paraId="6AFC9CC1"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7DB32C2D" w14:textId="77777777" w:rsidR="0090768F" w:rsidRDefault="00000000">
            <w:pPr>
              <w:pStyle w:val="Compact"/>
            </w:pPr>
            <w:r>
              <w:t>Ebene</w:t>
            </w:r>
          </w:p>
        </w:tc>
        <w:tc>
          <w:tcPr>
            <w:tcW w:w="0" w:type="auto"/>
          </w:tcPr>
          <w:p w14:paraId="5DB2AB43" w14:textId="77777777" w:rsidR="0090768F" w:rsidRDefault="00000000">
            <w:pPr>
              <w:pStyle w:val="Compact"/>
            </w:pPr>
            <w:r>
              <w:t>Bindungswirkung</w:t>
            </w:r>
          </w:p>
        </w:tc>
        <w:tc>
          <w:tcPr>
            <w:tcW w:w="0" w:type="auto"/>
          </w:tcPr>
          <w:p w14:paraId="2A611F5B" w14:textId="77777777" w:rsidR="0090768F" w:rsidRDefault="00000000">
            <w:pPr>
              <w:pStyle w:val="Compact"/>
            </w:pPr>
            <w:r>
              <w:t>Produktwirkung</w:t>
            </w:r>
          </w:p>
        </w:tc>
      </w:tr>
      <w:tr w:rsidR="0090768F" w14:paraId="73413D2C" w14:textId="77777777">
        <w:tc>
          <w:tcPr>
            <w:tcW w:w="0" w:type="auto"/>
          </w:tcPr>
          <w:p w14:paraId="781688E1" w14:textId="77777777" w:rsidR="0090768F" w:rsidRDefault="00000000">
            <w:pPr>
              <w:pStyle w:val="Compact"/>
            </w:pPr>
            <w:r>
              <w:t>Schülerdatenschutzgesetze für Anbieter (~40 Staaten)</w:t>
            </w:r>
          </w:p>
        </w:tc>
        <w:tc>
          <w:tcPr>
            <w:tcW w:w="0" w:type="auto"/>
          </w:tcPr>
          <w:p w14:paraId="138E07D1" w14:textId="77777777" w:rsidR="0090768F" w:rsidRDefault="00000000">
            <w:pPr>
              <w:pStyle w:val="Compact"/>
            </w:pPr>
            <w:r>
              <w:t xml:space="preserve">in den meisten unmittelbare Haftung als </w:t>
            </w:r>
            <w:r>
              <w:rPr>
                <w:i/>
                <w:iCs/>
              </w:rPr>
              <w:t>operator</w:t>
            </w:r>
            <w:r>
              <w:t>; sonst vertragliche Weitergabe</w:t>
            </w:r>
          </w:p>
        </w:tc>
        <w:tc>
          <w:tcPr>
            <w:tcW w:w="0" w:type="auto"/>
          </w:tcPr>
          <w:p w14:paraId="4ACE9BF1" w14:textId="77777777" w:rsidR="0090768F" w:rsidRDefault="00000000">
            <w:pPr>
              <w:pStyle w:val="Compact"/>
            </w:pPr>
            <w:r>
              <w:rPr>
                <w:b/>
                <w:bCs/>
              </w:rPr>
              <w:t>Hoch</w:t>
            </w:r>
            <w:r>
              <w:t xml:space="preserve"> — Nutzung, Aufbewahrung, Löschung, Sicherheit, Meldefristen, Veröffentlichung</w:t>
            </w:r>
          </w:p>
        </w:tc>
      </w:tr>
      <w:tr w:rsidR="0090768F" w14:paraId="196FF1D9" w14:textId="77777777">
        <w:tc>
          <w:tcPr>
            <w:tcW w:w="0" w:type="auto"/>
          </w:tcPr>
          <w:p w14:paraId="28D4ABE9" w14:textId="77777777" w:rsidR="0090768F" w:rsidRDefault="00000000">
            <w:pPr>
              <w:pStyle w:val="Compact"/>
            </w:pPr>
            <w:r>
              <w:t>Allgemeine Verbraucherdatenschutzgesetze (20 in Kraft)</w:t>
            </w:r>
          </w:p>
        </w:tc>
        <w:tc>
          <w:tcPr>
            <w:tcW w:w="0" w:type="auto"/>
          </w:tcPr>
          <w:p w14:paraId="01D3C4EB" w14:textId="77777777" w:rsidR="0090768F" w:rsidRDefault="00000000">
            <w:pPr>
              <w:pStyle w:val="Compact"/>
            </w:pPr>
            <w:r>
              <w:t>für K-12 weitgehend durch FERPA-Ausnahmen verdrängt</w:t>
            </w:r>
          </w:p>
        </w:tc>
        <w:tc>
          <w:tcPr>
            <w:tcW w:w="0" w:type="auto"/>
          </w:tcPr>
          <w:p w14:paraId="3436127C" w14:textId="77777777" w:rsidR="0090768F" w:rsidRDefault="00000000">
            <w:pPr>
              <w:pStyle w:val="Compact"/>
            </w:pPr>
            <w:r>
              <w:t xml:space="preserve">Gering für K-12; </w:t>
            </w:r>
            <w:r>
              <w:rPr>
                <w:b/>
                <w:bCs/>
              </w:rPr>
              <w:t>real für Hochschule und Unternehmen</w:t>
            </w:r>
          </w:p>
        </w:tc>
      </w:tr>
      <w:tr w:rsidR="0090768F" w14:paraId="4D3CAE54" w14:textId="77777777">
        <w:tc>
          <w:tcPr>
            <w:tcW w:w="0" w:type="auto"/>
          </w:tcPr>
          <w:p w14:paraId="769DD14B" w14:textId="77777777" w:rsidR="0090768F" w:rsidRDefault="00000000">
            <w:pPr>
              <w:pStyle w:val="Compact"/>
            </w:pPr>
            <w:r>
              <w:t>Einzelstaatliche KI-Gesetze</w:t>
            </w:r>
          </w:p>
        </w:tc>
        <w:tc>
          <w:tcPr>
            <w:tcW w:w="0" w:type="auto"/>
          </w:tcPr>
          <w:p w14:paraId="1F7324AE" w14:textId="77777777" w:rsidR="0090768F" w:rsidRDefault="00000000">
            <w:pPr>
              <w:pStyle w:val="Compact"/>
            </w:pPr>
            <w:r>
              <w:t>zwei greifen: Kaliforniens ADMT-Verordnung und Colorado SB 26-189, beide mit Bildungsbezug</w:t>
            </w:r>
          </w:p>
        </w:tc>
        <w:tc>
          <w:tcPr>
            <w:tcW w:w="0" w:type="auto"/>
          </w:tcPr>
          <w:p w14:paraId="1F52F98F" w14:textId="77777777" w:rsidR="0090768F" w:rsidRDefault="00000000">
            <w:pPr>
              <w:pStyle w:val="Compact"/>
            </w:pPr>
            <w:r>
              <w:rPr>
                <w:b/>
                <w:bCs/>
              </w:rPr>
              <w:t>Am höchsten</w:t>
            </w:r>
          </w:p>
        </w:tc>
      </w:tr>
      <w:tr w:rsidR="0090768F" w14:paraId="0DDD5779" w14:textId="77777777">
        <w:tc>
          <w:tcPr>
            <w:tcW w:w="0" w:type="auto"/>
          </w:tcPr>
          <w:p w14:paraId="2BF89C04" w14:textId="77777777" w:rsidR="0090768F" w:rsidRDefault="00000000">
            <w:pPr>
              <w:pStyle w:val="Compact"/>
            </w:pPr>
            <w:r>
              <w:t>KI-Leitlinien der Landesbildungsbehörden (~35 Staaten)</w:t>
            </w:r>
          </w:p>
        </w:tc>
        <w:tc>
          <w:tcPr>
            <w:tcW w:w="0" w:type="auto"/>
          </w:tcPr>
          <w:p w14:paraId="7B861493" w14:textId="77777777" w:rsidR="0090768F" w:rsidRDefault="00000000">
            <w:pPr>
              <w:pStyle w:val="Compact"/>
            </w:pPr>
            <w:r>
              <w:t>kein Recht, aber Beschaffungsdoktrin</w:t>
            </w:r>
          </w:p>
        </w:tc>
        <w:tc>
          <w:tcPr>
            <w:tcW w:w="0" w:type="auto"/>
          </w:tcPr>
          <w:p w14:paraId="61D04469" w14:textId="77777777" w:rsidR="0090768F" w:rsidRDefault="00000000">
            <w:pPr>
              <w:pStyle w:val="Compact"/>
            </w:pPr>
            <w:r>
              <w:rPr>
                <w:b/>
                <w:bCs/>
              </w:rPr>
              <w:t>Kommerziell hoch</w:t>
            </w:r>
          </w:p>
        </w:tc>
      </w:tr>
      <w:tr w:rsidR="0090768F" w14:paraId="015C67BA" w14:textId="77777777">
        <w:tc>
          <w:tcPr>
            <w:tcW w:w="0" w:type="auto"/>
          </w:tcPr>
          <w:p w14:paraId="7F7182F0" w14:textId="77777777" w:rsidR="0090768F" w:rsidRDefault="00000000">
            <w:pPr>
              <w:pStyle w:val="Compact"/>
            </w:pPr>
            <w:r>
              <w:t>SDPC National DPA</w:t>
            </w:r>
          </w:p>
        </w:tc>
        <w:tc>
          <w:tcPr>
            <w:tcW w:w="0" w:type="auto"/>
          </w:tcPr>
          <w:p w14:paraId="40B9240E" w14:textId="77777777" w:rsidR="0090768F" w:rsidRDefault="00000000">
            <w:pPr>
              <w:pStyle w:val="Compact"/>
            </w:pPr>
            <w:r>
              <w:t>vertraglich</w:t>
            </w:r>
          </w:p>
        </w:tc>
        <w:tc>
          <w:tcPr>
            <w:tcW w:w="0" w:type="auto"/>
          </w:tcPr>
          <w:p w14:paraId="19A8F219" w14:textId="77777777" w:rsidR="0090768F" w:rsidRDefault="00000000">
            <w:pPr>
              <w:pStyle w:val="Compact"/>
            </w:pPr>
            <w:r>
              <w:rPr>
                <w:b/>
                <w:bCs/>
              </w:rPr>
              <w:t>Operativ hoch</w:t>
            </w:r>
          </w:p>
        </w:tc>
      </w:tr>
    </w:tbl>
    <w:p w14:paraId="5103F85A" w14:textId="77777777" w:rsidR="0090768F" w:rsidRDefault="00000000">
      <w:pPr>
        <w:pStyle w:val="Heading3"/>
      </w:pPr>
      <w:bookmarkStart w:id="181" w:name="die-drei-wichtigsten-korrekturen"/>
      <w:bookmarkEnd w:id="180"/>
      <w:r>
        <w:t>11.2 Die drei wichtigsten Korrekturen</w:t>
      </w:r>
    </w:p>
    <w:p w14:paraId="205B6DDD" w14:textId="77777777" w:rsidR="0090768F" w:rsidRDefault="00000000">
      <w:pPr>
        <w:pStyle w:val="FirstParagraph"/>
      </w:pPr>
      <w:r>
        <w:rPr>
          <w:b/>
          <w:bCs/>
        </w:rPr>
        <w:t>1. Colorado SB 24-205 — das Gesetz, auf das sich alle eingestellt hatten — ist tot. Nicht darauf bauen.</w:t>
      </w:r>
      <w:r>
        <w:t xml:space="preserve"> Es trat nie in Kraft und wurde nie durchgesetzt. Chronologie: Mai 2024 unterzeichnet (Inkrafttreten 1. Februar 2026); durch SB 25B-004 in der </w:t>
      </w:r>
      <w:r>
        <w:lastRenderedPageBreak/>
        <w:t xml:space="preserve">Sondersitzung August 2025 auf den 30. Juni 2026 verschoben; </w:t>
      </w:r>
      <w:r>
        <w:rPr>
          <w:b/>
          <w:bCs/>
        </w:rPr>
        <w:t>Klage von xAI am 9. April 2026</w:t>
      </w:r>
      <w:r>
        <w:t xml:space="preserve"> (D. Colo. Nr. 1:26-cv-01515); </w:t>
      </w:r>
      <w:r>
        <w:rPr>
          <w:b/>
          <w:bCs/>
        </w:rPr>
        <w:t>Beitritt des Justizministeriums als Kläger am 24. April 2026</w:t>
      </w:r>
      <w:r>
        <w:t xml:space="preserve">; Durchsetzungssperre durch Bundesmagistrat am 27. April 2026; und </w:t>
      </w:r>
      <w:r>
        <w:rPr>
          <w:b/>
          <w:bCs/>
        </w:rPr>
        <w:t>SB 26-189 am 14. Mai 2026 unterzeichnet, das es aufhebt und ersetzt</w:t>
      </w:r>
      <w:r>
        <w:t>.</w:t>
      </w:r>
    </w:p>
    <w:p w14:paraId="6E927C11" w14:textId="77777777" w:rsidR="0090768F" w:rsidRDefault="00000000">
      <w:pPr>
        <w:pStyle w:val="BodyText"/>
      </w:pPr>
      <w:r>
        <w:rPr>
          <w:b/>
          <w:bCs/>
        </w:rPr>
        <w:t>2. Die bundesrechtliche Verdrängung ist nicht eingetreten; der Flickenteppich bleibt.</w:t>
      </w:r>
      <w:r>
        <w:t xml:space="preserve"> Das Moratorium von 2025 wurde mit 99:1 aus dem Senat gestrichen. </w:t>
      </w:r>
      <w:r>
        <w:rPr>
          <w:b/>
          <w:bCs/>
        </w:rPr>
        <w:t>EO 14365 (11. Dezember 2025)</w:t>
      </w:r>
      <w:r>
        <w:t xml:space="preserve"> ordnete eine KI-Prozessführungs-Task-Force, eine Bewertung einzelstaatlicher KI-Gesetze durch das Handelsministerium (fällig 11. März 2026, </w:t>
      </w:r>
      <w:r>
        <w:rPr>
          <w:b/>
          <w:bCs/>
        </w:rPr>
        <w:t>nicht veröffentlicht</w:t>
      </w:r>
      <w:r>
        <w:t xml:space="preserve"> zumindest bis April 2026), BEAD-Förderbedingungen, ein FCC-Verfahren und einen Gesetzentwurf zur Verdrängung an. Ergebnis bislang: kein Gesetz, keine veröffentlichte Liste, ein Beitritt zu fremder Klage und ein unverbindlicher Rahmen vom März 2026. </w:t>
      </w:r>
      <w:r>
        <w:rPr>
          <w:b/>
          <w:bCs/>
        </w:rPr>
        <w:t>Entscheidend: Die legislative Empfehlung der EO selbst sieht Ausnahmen zum Kinderschutz vor — und die einzelstaatlichen Schülerdatenschutzgesetze sind genau die Normen, die uns am stärksten binden und am wenigsten verdrängungsanfällig sind.</w:t>
      </w:r>
      <w:r>
        <w:t xml:space="preserve"> Die Schülerdatenschutzebene unbedingt bedienen; die KI-Ebene als volatil behandeln und die ADMT-Steuerungen konfigurierbar halten.</w:t>
      </w:r>
    </w:p>
    <w:p w14:paraId="04AE8EA4" w14:textId="77777777" w:rsidR="0090768F" w:rsidRDefault="00000000">
      <w:pPr>
        <w:pStyle w:val="BodyText"/>
      </w:pPr>
      <w:r>
        <w:rPr>
          <w:b/>
          <w:bCs/>
        </w:rPr>
        <w:t>3. Zwei KI-Gesetze greifen, und beide nennen Bildung.</w:t>
      </w:r>
    </w:p>
    <w:p w14:paraId="37A2E3CC" w14:textId="77777777" w:rsidR="0090768F" w:rsidRDefault="00000000">
      <w:pPr>
        <w:pStyle w:val="BodyText"/>
      </w:pPr>
      <w:r>
        <w:rPr>
          <w:b/>
          <w:bCs/>
        </w:rPr>
        <w:t>Kalifornien — die ADMT-Verordnung der CPPA.</w:t>
      </w:r>
      <w:r>
        <w:t xml:space="preserve"> Genehmigt am 23. September 2025; die meisten Bestimmungen seit 1. Januar 2026 in Kraft; </w:t>
      </w:r>
      <w:r>
        <w:rPr>
          <w:b/>
          <w:bCs/>
        </w:rPr>
        <w:t>ADMT-Compliance ab 1. Januar 2027</w:t>
      </w:r>
      <w:r>
        <w:t xml:space="preserve">. Eine „significant decision” umfasst ausdrücklich </w:t>
      </w:r>
      <w:r>
        <w:rPr>
          <w:i/>
          <w:iCs/>
        </w:rPr>
        <w:t>„education enrollment or opportunities”</w:t>
      </w:r>
      <w:r>
        <w:t xml:space="preserve">. </w:t>
      </w:r>
      <w:r>
        <w:rPr>
          <w:b/>
          <w:bCs/>
        </w:rPr>
        <w:t>Der Safe Harbour ist unsere rechtliche Kernarchitektur und gehört auswendig gelernt:</w:t>
      </w:r>
      <w:r>
        <w:t xml:space="preserve"> Menschliche Entscheidungsfindung wird nicht wesentlich ersetzt, wenn der Prüfende (i) die Ausgabe zu interpretieren weiß, (ii) sie zusammen mit anderen relevanten Informationen prüft und analysiert und (iii) befugt ist, die Entscheidung zu treffen oder zu ändern. </w:t>
      </w:r>
      <w:r>
        <w:rPr>
          <w:b/>
          <w:bCs/>
        </w:rPr>
        <w:t>Liegen alle drei vor, sind wir vollständig außerhalb der ADMT-Regeln.</w:t>
      </w:r>
      <w:r>
        <w:t xml:space="preserve"> Andernfalls greifen Vorabinformation, Widerspruchsrecht oder aussagekräftige Beschwerde binnen 15 Werktagen und ein Auskunftsrecht auf eine allgemeinverständliche Erläuterung. </w:t>
      </w:r>
      <w:r>
        <w:rPr>
          <w:b/>
          <w:bCs/>
        </w:rPr>
        <w:t>Zu beachten: Zwei Auslöser für die Risikobewertung greifen auch innerhalb des Safe Harbour — Training auf Schülerdaten und die Ableitung von Merkmalen im Bildungskontext. Die kalifornische Risikobewertung ist als unvermeidbar zu behandeln.</w:t>
      </w:r>
      <w:r>
        <w:t xml:space="preserve"> (Erste Bewertungen für Bestandsverarbeitungen bis 31. Dezember 2027, erste Einreichung 1. April 2028. Umsatz- und Volumenschwellen der CCPA können uns heute ausnehmen und nach Wachstum erfassen — modellieren.)</w:t>
      </w:r>
    </w:p>
    <w:p w14:paraId="7F09E81D" w14:textId="77777777" w:rsidR="0090768F" w:rsidRDefault="00000000">
      <w:pPr>
        <w:pStyle w:val="BodyText"/>
      </w:pPr>
      <w:r>
        <w:rPr>
          <w:b/>
          <w:bCs/>
        </w:rPr>
        <w:t>Colorado SB 26-189 (ADMTA), in Kraft ab 1. Januar 2027.</w:t>
      </w:r>
      <w:r>
        <w:t xml:space="preserve"> Die „consequential decision” umfasst ausdrücklich Bildung. Als </w:t>
      </w:r>
      <w:r>
        <w:rPr>
          <w:b/>
          <w:bCs/>
        </w:rPr>
        <w:t>Entwickler</w:t>
      </w:r>
      <w:r>
        <w:t xml:space="preserve"> müssen wir Betreibern Unterlagen zu bestimmungsgemäßen Verwendungen, bekannten schädlichen Verwendungen und Grenzen, Kategorien der Trainingsdaten und </w:t>
      </w:r>
      <w:r>
        <w:rPr>
          <w:b/>
          <w:bCs/>
        </w:rPr>
        <w:t>Anleitungen zur Umsetzung menschlicher Aufsicht</w:t>
      </w:r>
      <w:r>
        <w:t xml:space="preserve"> bereitstellen, wesentliche Änderungen mitteilen und Aufzeichnungen mindestens drei Jahre aufbewahren. Die </w:t>
      </w:r>
      <w:r>
        <w:rPr>
          <w:b/>
          <w:bCs/>
        </w:rPr>
        <w:t>Schule als Betreiber</w:t>
      </w:r>
      <w:r>
        <w:t xml:space="preserve"> muss vorab informieren, binnen </w:t>
      </w:r>
      <w:r>
        <w:rPr>
          <w:b/>
          <w:bCs/>
        </w:rPr>
        <w:t>30 Tagen nach einem nachteiligen Ergebnis</w:t>
      </w:r>
      <w:r>
        <w:t xml:space="preserve"> eine allgemeinverständliche Beschreibung der Entscheidung, der Rolle der Technologie und der Rechte einschließlich menschlicher Überprüfung liefern und ein </w:t>
      </w:r>
      <w:r>
        <w:rPr>
          <w:b/>
          <w:bCs/>
        </w:rPr>
        <w:t>aussagekräftiges menschliches Überprüfungsverfahren</w:t>
      </w:r>
      <w:r>
        <w:t xml:space="preserve"> einrichten, barrierefrei und für Personen mit begrenzten Englischkenntnissen zugänglich. </w:t>
      </w:r>
      <w:r>
        <w:lastRenderedPageBreak/>
        <w:t xml:space="preserve">Gegenüber dem aufgehobenen Gesetz entfallen Folgenabschätzungen, Risikomanagementpflicht und Anzeigepflicht gegenüber der Generalstaatsanwaltschaft; das Modell ist nun informationsbasiert. Durchsetzung ausschließlich durch die Generalstaatsanwaltschaft, bis 20.000 USD je Verstoß, 60-Tage-Heilung bis 1. Januar 2030, kein Klagerecht Einzelner. </w:t>
      </w:r>
      <w:r>
        <w:rPr>
          <w:b/>
          <w:bCs/>
        </w:rPr>
        <w:t>Die Ausnahme für Werkzeuge, die lediglich zusammenfassen, ohne Bewertungen oder Ranglisten zu erzeugen, greift bei uns nicht — mit vollen Entwicklerpflichten planen.</w:t>
      </w:r>
      <w:r>
        <w:t xml:space="preserve"> </w:t>
      </w:r>
      <w:r>
        <w:rPr>
          <w:i/>
          <w:iCs/>
        </w:rPr>
        <w:t>(Kommentatoren erwarten, dass auch SB 26-189 angegriffen wird.)</w:t>
      </w:r>
    </w:p>
    <w:p w14:paraId="3A1AAD07" w14:textId="77777777" w:rsidR="0090768F" w:rsidRDefault="00000000">
      <w:pPr>
        <w:pStyle w:val="Heading3"/>
      </w:pPr>
      <w:bookmarkStart w:id="182" w:name="Xb9e5bcca09dc5c9d6d5e5752c218c7e54318e00"/>
      <w:bookmarkEnd w:id="181"/>
      <w:r>
        <w:t>11.3 Die Schülerdatenschutzgesetze, die das Design tatsächlich ändern</w:t>
      </w:r>
    </w:p>
    <w:p w14:paraId="2C6CAF33" w14:textId="77777777" w:rsidR="0090768F" w:rsidRDefault="00000000">
      <w:pPr>
        <w:pStyle w:val="FirstParagraph"/>
      </w:pPr>
      <w:r>
        <w:t>Rund vierzig Staaten stellen Anforderungen; etwa acht stellen solche, die ein Standardvertrag und ein SOC-2-Bericht nicht erfüllen.</w:t>
      </w:r>
    </w:p>
    <w:p w14:paraId="608A0035" w14:textId="77777777" w:rsidR="0090768F" w:rsidRDefault="00000000">
      <w:pPr>
        <w:pStyle w:val="Compact"/>
        <w:numPr>
          <w:ilvl w:val="0"/>
          <w:numId w:val="45"/>
        </w:numPr>
      </w:pPr>
      <w:r>
        <w:rPr>
          <w:b/>
          <w:bCs/>
        </w:rPr>
        <w:t>New York — Education Law § 2-d und 8 NYCRR Part 121. Das strengste Regime des Landes und der Maßstab, der unsere globale Grundlinie setzen sollte.</w:t>
      </w:r>
      <w:r>
        <w:t xml:space="preserve"> Ein Drittauftragnehmer muss </w:t>
      </w:r>
      <w:r>
        <w:rPr>
          <w:b/>
          <w:bCs/>
        </w:rPr>
        <w:t>jeder Stelle einen Data Security and Privacy Plan vorlegen</w:t>
      </w:r>
      <w:r>
        <w:t xml:space="preserve">; Schutzmaßnahmen am </w:t>
      </w:r>
      <w:r>
        <w:rPr>
          <w:b/>
          <w:bCs/>
        </w:rPr>
        <w:t>NIST Cybersecurity Framework v1.1</w:t>
      </w:r>
      <w:r>
        <w:t xml:space="preserve"> ausrichten (v1.1, nicht CSF 2.0 — eine Zuordnung vorhalten); die ergänzenden Angaben zur Parents’ Bill of Rights zu Zwecken, Unterauftragnehmern, Laufzeit und Verbleib, Richtigkeitsrügen, Speicherort und </w:t>
      </w:r>
      <w:r>
        <w:rPr>
          <w:b/>
          <w:bCs/>
        </w:rPr>
        <w:t>Verschlüsselung bei Übertragung und Speicherung</w:t>
      </w:r>
      <w:r>
        <w:t xml:space="preserve"> liefern; und eine </w:t>
      </w:r>
      <w:r>
        <w:rPr>
          <w:b/>
          <w:bCs/>
        </w:rPr>
        <w:t>Datenpanne binnen 7 Kalendertagen</w:t>
      </w:r>
      <w:r>
        <w:t xml:space="preserve"> melden und die Benachrichtigungskosten tragen. Sanktionen bis 10.000 USD für Folgeverstöße zuzüglich </w:t>
      </w:r>
      <w:r>
        <w:rPr>
          <w:b/>
          <w:bCs/>
        </w:rPr>
        <w:t>Ausschluss vom Erhalt von Schülerdaten für bis zu fünf Jahre</w:t>
      </w:r>
      <w:r>
        <w:t xml:space="preserve"> — der Ausschluss, nicht die Buße, ist kommerziell erheblich. </w:t>
      </w:r>
      <w:r>
        <w:rPr>
          <w:b/>
          <w:bCs/>
        </w:rPr>
        <w:t>Einen Generator für den Plan bauen und die 7-Tage-Frist global als Standard setzen.</w:t>
      </w:r>
    </w:p>
    <w:p w14:paraId="2936D270" w14:textId="77777777" w:rsidR="0090768F" w:rsidRDefault="00000000">
      <w:pPr>
        <w:pStyle w:val="Compact"/>
        <w:numPr>
          <w:ilvl w:val="0"/>
          <w:numId w:val="45"/>
        </w:numPr>
      </w:pPr>
      <w:r>
        <w:rPr>
          <w:b/>
          <w:bCs/>
        </w:rPr>
        <w:t>Connecticut — Conn. Gen. Stat. §§ 10-234aa ff.</w:t>
      </w:r>
      <w:r>
        <w:t xml:space="preserve"> Zehn zwingende Vertragsklauseln, darunter, dass Schülerdaten </w:t>
      </w:r>
      <w:r>
        <w:rPr>
          <w:b/>
          <w:bCs/>
        </w:rPr>
        <w:t>nicht Eigentum des Auftragnehmers</w:t>
      </w:r>
      <w:r>
        <w:t xml:space="preserve"> sind und dass Recht von Connecticut gilt. Ungewöhnlich: Der Schulvorstand muss den Vertrag </w:t>
      </w:r>
      <w:r>
        <w:rPr>
          <w:b/>
          <w:bCs/>
        </w:rPr>
        <w:t>binnen fünf Werktagen nach Abschluss auf seiner Website veröffentlichen</w:t>
      </w:r>
      <w:r>
        <w:t xml:space="preserve">. </w:t>
      </w:r>
      <w:r>
        <w:rPr>
          <w:b/>
          <w:bCs/>
        </w:rPr>
        <w:t>Unsere Verträge in Connecticut werden binnen einer Woche öffentlich — Preisstruktur, Modellangaben und Sicherheitsarchitektur gehören nicht in den Vertragskörper, sondern in eine gesonderte, nicht veröffentlichte kommerzielle Vereinbarung.</w:t>
      </w:r>
      <w:r>
        <w:t xml:space="preserve"> Seit 1. Juli 2026 erstreckt Connecticut das Widerspruchsrecht zudem auf </w:t>
      </w:r>
      <w:r>
        <w:rPr>
          <w:i/>
          <w:iCs/>
        </w:rPr>
        <w:t>„any automated decision”</w:t>
      </w:r>
      <w:r>
        <w:t xml:space="preserve">, nicht nur auf ausschließlich automatisierte — </w:t>
      </w:r>
      <w:r>
        <w:rPr>
          <w:b/>
          <w:bCs/>
        </w:rPr>
        <w:t>die Bestimmung, die das Standardargument „es ist ein Mensch beteiligt” aushebelt</w:t>
      </w:r>
      <w:r>
        <w:t xml:space="preserve"> — und ergänzt ein Anfechtungsrecht sowie Profiling-Folgenabschätzungen. </w:t>
      </w:r>
      <w:r>
        <w:rPr>
          <w:b/>
          <w:bCs/>
        </w:rPr>
        <w:t>Connecticut ist der operativ anspruchsvollste Einzelstaat.</w:t>
      </w:r>
    </w:p>
    <w:p w14:paraId="3733DCB8" w14:textId="77777777" w:rsidR="0090768F" w:rsidRDefault="00000000">
      <w:pPr>
        <w:pStyle w:val="Compact"/>
        <w:numPr>
          <w:ilvl w:val="0"/>
          <w:numId w:val="45"/>
        </w:numPr>
      </w:pPr>
      <w:r>
        <w:rPr>
          <w:b/>
          <w:bCs/>
        </w:rPr>
        <w:t>Illinois — SOPPA, 105 ILCS 85.</w:t>
      </w:r>
      <w:r>
        <w:t xml:space="preserve"> Schriftliche Vereinbarung </w:t>
      </w:r>
      <w:r>
        <w:rPr>
          <w:b/>
          <w:bCs/>
        </w:rPr>
        <w:t>vor</w:t>
      </w:r>
      <w:r>
        <w:t xml:space="preserve"> Datenerhalt; Erklärung, dass wir als </w:t>
      </w:r>
      <w:r>
        <w:rPr>
          <w:i/>
          <w:iCs/>
        </w:rPr>
        <w:t>school official</w:t>
      </w:r>
      <w:r>
        <w:t xml:space="preserve"> nach FERPA handeln; Verteilung der Kosten für Untersuchung und Behebung von Datenpannen; </w:t>
      </w:r>
      <w:r>
        <w:rPr>
          <w:b/>
          <w:bCs/>
        </w:rPr>
        <w:t>30-Tage-Meldung</w:t>
      </w:r>
      <w:r>
        <w:t xml:space="preserve"> an die Schule; öffentliche Veröffentlichung der Vereinbarung; und eine </w:t>
      </w:r>
      <w:r>
        <w:rPr>
          <w:b/>
          <w:bCs/>
        </w:rPr>
        <w:t>jährlich veröffentlichte Liste der Dritten und verbundenen Unternehmen</w:t>
      </w:r>
      <w:r>
        <w:t xml:space="preserve">, die Schülerdaten erhalten — eine Drittanbieter-Modell-API wird damit öffentlich </w:t>
      </w:r>
      <w:r>
        <w:lastRenderedPageBreak/>
        <w:t xml:space="preserve">gelistet. ISSRA enthält gesondert ein </w:t>
      </w:r>
      <w:r>
        <w:rPr>
          <w:b/>
          <w:bCs/>
        </w:rPr>
        <w:t>Klagerecht Einzelner</w:t>
      </w:r>
      <w:r>
        <w:t>, was in diesem Feld selten ist.</w:t>
      </w:r>
    </w:p>
    <w:p w14:paraId="5BA74400" w14:textId="77777777" w:rsidR="0090768F" w:rsidRDefault="00000000">
      <w:pPr>
        <w:pStyle w:val="Compact"/>
        <w:numPr>
          <w:ilvl w:val="0"/>
          <w:numId w:val="45"/>
        </w:numPr>
      </w:pPr>
      <w:r>
        <w:rPr>
          <w:b/>
          <w:bCs/>
        </w:rPr>
        <w:t>Colorado Student Data Transparency and Security Act.</w:t>
      </w:r>
      <w:r>
        <w:t xml:space="preserve"> Veröffentlichung von Datenelementen, Lernzwecken und Weitergabepraxis in laienverständlicher Form; Vorabmitteilung wesentlicher Änderungen; kein Verkauf, keine gezielte Werbung, keine unbefugten Profile; Informationssicherheitsprogramm; Meldung von Missbrauch </w:t>
      </w:r>
      <w:r>
        <w:rPr>
          <w:b/>
          <w:bCs/>
        </w:rPr>
        <w:t>„so bald wie möglich, unabhängig von der Schwere”</w:t>
      </w:r>
      <w:r>
        <w:t xml:space="preserve">; </w:t>
      </w:r>
      <w:r>
        <w:rPr>
          <w:b/>
          <w:bCs/>
        </w:rPr>
        <w:t>Ermöglichung der Berichtigung sachlich unrichtiger Schülerdaten</w:t>
      </w:r>
      <w:r>
        <w:t xml:space="preserve">; Bindung und Haftung für Unterauftragnehmer; und Vernichtung aller Schülerdaten bei Vertragsende mit schriftlicher Bestätigung. </w:t>
      </w:r>
      <w:r>
        <w:rPr>
          <w:b/>
          <w:bCs/>
        </w:rPr>
        <w:t>Die Berichtigungspflicht trifft uns unmittelbar: Colorado verlangt unabhängig von jedem KI-Gesetz einen Mechanismus zur Korrektur eines falschen KI-erzeugten Datenpunkts.</w:t>
      </w:r>
    </w:p>
    <w:p w14:paraId="3AE8A6F1" w14:textId="77777777" w:rsidR="0090768F" w:rsidRDefault="00000000">
      <w:pPr>
        <w:pStyle w:val="Compact"/>
        <w:numPr>
          <w:ilvl w:val="0"/>
          <w:numId w:val="45"/>
        </w:numPr>
      </w:pPr>
      <w:r>
        <w:rPr>
          <w:b/>
          <w:bCs/>
        </w:rPr>
        <w:t>Kalifornien — SOPIPA (Bus. &amp; Prof. Code § 22584) bindet den Anbieter unmittelbar, ohne Vertrag</w:t>
      </w:r>
      <w:r>
        <w:t xml:space="preserve">, untersagt gezielte Werbung, nicht schulbezogenes Profiling und Verkauf und erlaubt de-identifizierte Daten </w:t>
      </w:r>
      <w:r>
        <w:rPr>
          <w:b/>
          <w:bCs/>
        </w:rPr>
        <w:t>nur</w:t>
      </w:r>
      <w:r>
        <w:t xml:space="preserve"> zur Verbesserung von Bildungsprodukten, zum Wirksamkeitsnachweis und zur Entwicklung von Bildungsdiensten. </w:t>
      </w:r>
      <w:r>
        <w:rPr>
          <w:b/>
          <w:bCs/>
        </w:rPr>
        <w:t>AB 1584 (Educ. Code § 49073.1)</w:t>
      </w:r>
      <w:r>
        <w:t xml:space="preserve"> regelt den Vertrag mit dem Schulbezirk. </w:t>
      </w:r>
      <w:r>
        <w:rPr>
          <w:b/>
          <w:bCs/>
        </w:rPr>
        <w:t xml:space="preserve">Die SOPIPA-Ausnahme ist die kalifornische Antwort auf die Trainingsfrage: Produktverbesserung nur auf </w:t>
      </w:r>
      <w:r>
        <w:rPr>
          <w:b/>
          <w:bCs/>
          <w:i/>
          <w:iCs/>
        </w:rPr>
        <w:t>de-identifizierten</w:t>
      </w:r>
      <w:r>
        <w:rPr>
          <w:b/>
          <w:bCs/>
        </w:rPr>
        <w:t xml:space="preserve"> Daten, dokumentiert — nie ein allgemeines Modell auf identifizierbaren Schülerarbeiten.</w:t>
      </w:r>
      <w:r>
        <w:t xml:space="preserve"> Kalifornien hat zudem </w:t>
      </w:r>
      <w:r>
        <w:rPr>
          <w:b/>
          <w:bCs/>
        </w:rPr>
        <w:t>keine datenbezogene FERPA-Ausnahme</w:t>
      </w:r>
      <w:r>
        <w:t xml:space="preserve"> in seinem allgemeinen Gesetz, weshalb diese Analyse dort mehr wiegt als anderswo.</w:t>
      </w:r>
    </w:p>
    <w:p w14:paraId="0A593775" w14:textId="77777777" w:rsidR="0090768F" w:rsidRDefault="00000000">
      <w:pPr>
        <w:pStyle w:val="Compact"/>
        <w:numPr>
          <w:ilvl w:val="0"/>
          <w:numId w:val="45"/>
        </w:numPr>
      </w:pPr>
      <w:r>
        <w:rPr>
          <w:b/>
          <w:bCs/>
        </w:rPr>
        <w:t>Texas — Educ. Code Kap. 32, Subchapter D, §§ 32.151–32.156</w:t>
      </w:r>
      <w:r>
        <w:t xml:space="preserve"> (nicht Subchapter C). „Covered information” umfasst ausdrücklich Noten, Testergebnisse, Bildungsakten, biometrische Informationen und Fotografien — eingescannte Arbeiten und abgeleitete Bewertungen sind damit klar erfasst. HB 18 (2023) fügt TEA-Standards und Elterneinwilligung hinzu.</w:t>
      </w:r>
    </w:p>
    <w:p w14:paraId="1BB1370F" w14:textId="77777777" w:rsidR="0090768F" w:rsidRDefault="00000000">
      <w:pPr>
        <w:pStyle w:val="Compact"/>
        <w:numPr>
          <w:ilvl w:val="0"/>
          <w:numId w:val="45"/>
        </w:numPr>
      </w:pPr>
      <w:r>
        <w:rPr>
          <w:b/>
          <w:bCs/>
        </w:rPr>
        <w:t>Ohio — SB 29</w:t>
      </w:r>
      <w:r>
        <w:t xml:space="preserve"> (seit Oktober 2024): Akten sind ausschließlich Eigentum des Bezirks; interner Zugriff beschränkt; kommerzielle Verbreitung untersagt; </w:t>
      </w:r>
      <w:r>
        <w:rPr>
          <w:b/>
          <w:bCs/>
        </w:rPr>
        <w:t>Löschung, Vernichtung oder Rückgabe binnen 90 Tagen nach Vertragsende</w:t>
      </w:r>
      <w:r>
        <w:t xml:space="preserve">; und </w:t>
      </w:r>
      <w:r>
        <w:rPr>
          <w:b/>
          <w:bCs/>
        </w:rPr>
        <w:t>Elternbenachrichtigung binnen 72 Stunden — die kürzeste Frist des Landes, die unser globales Incident-Response-SLA bestimmen sollte.</w:t>
      </w:r>
      <w:r>
        <w:t xml:space="preserve"> Gesondert hat ORC § 3301.24(B) Ohio zum ersten Staat gemacht, der von jedem Bezirk eine förmliche KI-Richtlinie verlangt, </w:t>
      </w:r>
      <w:r>
        <w:rPr>
          <w:b/>
          <w:bCs/>
        </w:rPr>
        <w:t>bis 1. Juli 2026</w:t>
      </w:r>
      <w:r>
        <w:t>.</w:t>
      </w:r>
    </w:p>
    <w:p w14:paraId="7899ECB9" w14:textId="77777777" w:rsidR="0090768F" w:rsidRDefault="00000000">
      <w:pPr>
        <w:pStyle w:val="Compact"/>
        <w:numPr>
          <w:ilvl w:val="0"/>
          <w:numId w:val="45"/>
        </w:numPr>
      </w:pPr>
      <w:r>
        <w:rPr>
          <w:b/>
          <w:bCs/>
        </w:rPr>
        <w:t>Utah — HB 55 (2026), in Kraft seit 1. Juli 2026</w:t>
      </w:r>
      <w:r>
        <w:t xml:space="preserve">, das anbieterunfreundlichste neue Schülerdatenschutzgesetz: Bezirke müssen Anbieter über erfasste Verstöße informieren und Abhilfe ermöglichen; </w:t>
      </w:r>
      <w:r>
        <w:rPr>
          <w:b/>
          <w:bCs/>
        </w:rPr>
        <w:t>bleibt die Abhilfe aus, muss der Bezirk binnen 30 Tagen kündigen</w:t>
      </w:r>
      <w:r>
        <w:t xml:space="preserve">; und </w:t>
      </w:r>
      <w:r>
        <w:rPr>
          <w:b/>
          <w:bCs/>
        </w:rPr>
        <w:t>Verträge dürfen für eine gesetzlich gebotene Kündigung keine Gebühr, keinen Schadensersatz und keine sonstige finanzielle Belastung des Bezirks vorsehen</w:t>
      </w:r>
      <w:r>
        <w:t xml:space="preserve">. </w:t>
      </w:r>
      <w:r>
        <w:rPr>
          <w:b/>
          <w:bCs/>
        </w:rPr>
        <w:t>Utah-Verträge mit einem sanktionsfreien gesetzlichen Kündigungsrecht gestalten und jeden Utah-Vertrag auf pauschalierten Schadensersatz und Mindestlaufzeiten prüfen.</w:t>
      </w:r>
    </w:p>
    <w:p w14:paraId="441B70D7" w14:textId="77777777" w:rsidR="0090768F" w:rsidRDefault="00000000">
      <w:pPr>
        <w:pStyle w:val="Compact"/>
        <w:numPr>
          <w:ilvl w:val="0"/>
          <w:numId w:val="45"/>
        </w:numPr>
      </w:pPr>
      <w:r>
        <w:t xml:space="preserve">Ebenfalls zu nennen: </w:t>
      </w:r>
      <w:r>
        <w:rPr>
          <w:b/>
          <w:bCs/>
        </w:rPr>
        <w:t>Georgia</w:t>
      </w:r>
      <w:r>
        <w:t xml:space="preserve"> (45-Tage-Löschung auf Verlangen), </w:t>
      </w:r>
      <w:r>
        <w:rPr>
          <w:b/>
          <w:bCs/>
        </w:rPr>
        <w:t>Washington</w:t>
      </w:r>
      <w:r>
        <w:t xml:space="preserve"> (RCW Kap. 28A.604), </w:t>
      </w:r>
      <w:r>
        <w:rPr>
          <w:b/>
          <w:bCs/>
        </w:rPr>
        <w:t>Louisiana</w:t>
      </w:r>
      <w:r>
        <w:t xml:space="preserve"> (R.S. 17:3914 mit Sanktionen — die meisten dieser Gesetze haben keine) und </w:t>
      </w:r>
      <w:r>
        <w:rPr>
          <w:b/>
          <w:bCs/>
        </w:rPr>
        <w:t>DC</w:t>
      </w:r>
      <w:r>
        <w:t xml:space="preserve"> (§ 38-831.02, volle Anbieterpflichten).</w:t>
      </w:r>
    </w:p>
    <w:p w14:paraId="6BC4B6DA" w14:textId="77777777" w:rsidR="0090768F" w:rsidRDefault="00000000">
      <w:pPr>
        <w:pStyle w:val="FirstParagraph"/>
      </w:pPr>
      <w:r>
        <w:rPr>
          <w:b/>
          <w:bCs/>
        </w:rPr>
        <w:lastRenderedPageBreak/>
        <w:t>Die Hochschullücke ist ein echtes und kontraintuitives Risiko.</w:t>
      </w:r>
      <w:r>
        <w:t xml:space="preserve"> Fast jedes einzelstaatliche Anbietergesetz ist über die Definition des „school purpose” auf K-12 beschränkt. Unser Hochschulgeschäft fällt damit </w:t>
      </w:r>
      <w:r>
        <w:rPr>
          <w:b/>
          <w:bCs/>
        </w:rPr>
        <w:t>aus</w:t>
      </w:r>
      <w:r>
        <w:t xml:space="preserve"> diesem schützenden, aber berechenbaren Regime heraus und </w:t>
      </w:r>
      <w:r>
        <w:rPr>
          <w:b/>
          <w:bCs/>
        </w:rPr>
        <w:t>in</w:t>
      </w:r>
      <w:r>
        <w:t xml:space="preserve"> die allgemeinen Verbraucherdatenschutzgesetze — wo die datenbezogene FERPA-Ausnahme einen Anbieter, der nicht selbst die erfasste Einrichtung ist, möglicherweise nicht rettet und die Gemeinnützigkeitsausnahme die Hochschule schützt, nicht uns. </w:t>
      </w:r>
      <w:r>
        <w:rPr>
          <w:b/>
          <w:bCs/>
        </w:rPr>
        <w:t xml:space="preserve">Das kehrt das übliche Risikobild um: Der Hochschulbereich ist unter den Datenschutz- und Profiling-Regimen die </w:t>
      </w:r>
      <w:r>
        <w:rPr>
          <w:b/>
          <w:bCs/>
          <w:i/>
          <w:iCs/>
        </w:rPr>
        <w:t>stärker</w:t>
      </w:r>
      <w:r>
        <w:rPr>
          <w:b/>
          <w:bCs/>
        </w:rPr>
        <w:t xml:space="preserve"> exponierte Linie und verdient vor dem Start eine eigene Analyse.</w:t>
      </w:r>
    </w:p>
    <w:p w14:paraId="74A7C5B9" w14:textId="77777777" w:rsidR="0090768F" w:rsidRDefault="00000000">
      <w:pPr>
        <w:pStyle w:val="Heading3"/>
      </w:pPr>
      <w:bookmarkStart w:id="183" w:name="X152b59733d7ff4a8874c5e081f4e90eb296101e"/>
      <w:bookmarkEnd w:id="182"/>
      <w:r>
        <w:t>11.4 Allgemeine Datenschutzgesetze — in Kraft am 11. September 2026</w:t>
      </w:r>
    </w:p>
    <w:p w14:paraId="63594636" w14:textId="77777777" w:rsidR="0090768F" w:rsidRDefault="00000000">
      <w:pPr>
        <w:pStyle w:val="FirstParagraph"/>
      </w:pPr>
      <w:r>
        <w:t>Zwanzig Staaten: Kalifornien (1.1.2020), Virginia (1.1.2023), Colorado (1.7.2023), Connecticut (1.7.2023), Utah (31.12.2023), Texas (1.7.2024), Oregon (1.7.2024), Florida (1.7.2024, nur &gt;1 Mrd. USD Umsatz), Montana (1.10.2024), Delaware (1.1.2025), Iowa (1.1.2025), Nebraska (1.1.2025), New Hampshire (1.1.2025), New Jersey (15.1.2025), Tennessee (1.7.2025), Minnesota (31.7.2025), Maryland (1.10.2025), Indiana (1.1.2026), Kentucky (1.1.2026), Rhode Island (1.1.2026). Verabschiedet, aber noch nicht in Kraft: Louisiana und Oklahoma (1.1.2027), Alabama (1.5.2027), Vermont (1.1.2028).</w:t>
      </w:r>
    </w:p>
    <w:p w14:paraId="72E77721" w14:textId="77777777" w:rsidR="0090768F" w:rsidRDefault="00000000">
      <w:pPr>
        <w:pStyle w:val="BodyText"/>
      </w:pPr>
      <w:r>
        <w:rPr>
          <w:b/>
          <w:bCs/>
        </w:rPr>
        <w:t>Siebzehn von neunzehn untersuchten Gesetzen enthalten eine datenbezogene FERPA-Ausnahme</w:t>
      </w:r>
      <w:r>
        <w:t xml:space="preserve">, sodass Daten, die wir als </w:t>
      </w:r>
      <w:r>
        <w:rPr>
          <w:i/>
          <w:iCs/>
        </w:rPr>
        <w:t>school official</w:t>
      </w:r>
      <w:r>
        <w:t xml:space="preserve"> verarbeiten, herausfallen. </w:t>
      </w:r>
      <w:r>
        <w:rPr>
          <w:b/>
          <w:bCs/>
        </w:rPr>
        <w:t>Die beiden Ausnahmen sind Kalifornien und New Jersey.</w:t>
      </w:r>
      <w:r>
        <w:t xml:space="preserve"> Drei Einschränkungen: Die Gemeinnützigkeitsausnahme schützt die Schule, nicht uns, und sieben Staaten kennen sie gar nicht; die FERPA-Ausnahme ist datenbezogen, unsere Lehrkraftkonten, Verwaltungsansprechpartner, Interessenten und Websitebesucher sind also überall voll erfasst; und im Hochschul- und Unternehmensgeschäft greift sie nicht.</w:t>
      </w:r>
    </w:p>
    <w:p w14:paraId="34D2344F" w14:textId="77777777" w:rsidR="0090768F" w:rsidRDefault="00000000">
      <w:pPr>
        <w:pStyle w:val="BodyText"/>
      </w:pPr>
      <w:r>
        <w:t xml:space="preserve">Die Bestimmungen, die bei Wegfall der Ausnahme wirkten: </w:t>
      </w:r>
      <w:r>
        <w:rPr>
          <w:b/>
          <w:bCs/>
        </w:rPr>
        <w:t>Minnesotas</w:t>
      </w:r>
      <w:r>
        <w:t xml:space="preserve"> Erläuterungsrecht (Ergebnis hinterfragen, Grund erfahren, Daten einsehen, Berichtigung verlangen); </w:t>
      </w:r>
      <w:r>
        <w:rPr>
          <w:b/>
          <w:bCs/>
        </w:rPr>
        <w:t>Connecticuts</w:t>
      </w:r>
      <w:r>
        <w:t xml:space="preserve"> Widerspruch gegen „any automated decision” ab 1. Juli 2026; </w:t>
      </w:r>
      <w:r>
        <w:rPr>
          <w:b/>
          <w:bCs/>
        </w:rPr>
        <w:t>Vermonts</w:t>
      </w:r>
      <w:r>
        <w:t xml:space="preserve"> Hinterfragungsrecht und Profiling-Folgenabschätzung ab 2028; und </w:t>
      </w:r>
      <w:r>
        <w:rPr>
          <w:b/>
          <w:bCs/>
        </w:rPr>
        <w:t>Colorados</w:t>
      </w:r>
      <w:r>
        <w:t xml:space="preserve"> Profiling-Widerspruch. </w:t>
      </w:r>
      <w:r>
        <w:rPr>
          <w:b/>
          <w:bCs/>
        </w:rPr>
        <w:t>Iowa</w:t>
      </w:r>
      <w:r>
        <w:t xml:space="preserve"> — kein Profiling-Widerspruch, keine Bewertungspflicht — ist der Boden.</w:t>
      </w:r>
    </w:p>
    <w:p w14:paraId="7F2D9655" w14:textId="77777777" w:rsidR="0090768F" w:rsidRDefault="00000000">
      <w:pPr>
        <w:pStyle w:val="BodyText"/>
      </w:pPr>
      <w:r>
        <w:rPr>
          <w:i/>
          <w:iCs/>
        </w:rPr>
        <w:t>(Zwei Tabellenkorrekturen: Illinois hat kein allgemeines Verbraucherdatenschutzgesetz, sondern nur BIPA und SOPPA; und das behauptete allgemeine Gesetz in Arkansas wird vom IAPP-Tracker nicht geführt und ist als nicht in Kraft zu behandeln. Arkansas hat allerdings ein Kinder- und Jugendonlinedatenschutzgesetz mit Änderungen zum 1. Juli 2026.)</w:t>
      </w:r>
    </w:p>
    <w:p w14:paraId="12ED40B4" w14:textId="77777777" w:rsidR="0090768F" w:rsidRDefault="00000000">
      <w:pPr>
        <w:pStyle w:val="Heading3"/>
      </w:pPr>
      <w:bookmarkStart w:id="184" w:name="Xbbb7f9b83a8ddda03237f7f3c2f911cf14e7896"/>
      <w:bookmarkEnd w:id="183"/>
      <w:r>
        <w:t>11.5 Biometrie — Handschrift ist sicher, Gesichter sind es nicht</w:t>
      </w:r>
    </w:p>
    <w:p w14:paraId="32D7FCC1" w14:textId="77777777" w:rsidR="0090768F" w:rsidRDefault="00000000">
      <w:pPr>
        <w:pStyle w:val="FirstParagraph"/>
      </w:pPr>
      <w:r>
        <w:rPr>
          <w:b/>
          <w:bCs/>
        </w:rPr>
        <w:t>Das Illinois BIPA erfasst Handschrift nicht.</w:t>
      </w:r>
      <w:r>
        <w:t xml:space="preserve"> Die Definition des „biometric identifier” ist eine abschließende Liste — </w:t>
      </w:r>
      <w:r>
        <w:rPr>
          <w:i/>
          <w:iCs/>
        </w:rPr>
        <w:t>„a retina or iris scan, fingerprint, voiceprint, or scan of hand or face geometry”</w:t>
      </w:r>
      <w:r>
        <w:t xml:space="preserve"> — und </w:t>
      </w:r>
      <w:r>
        <w:rPr>
          <w:b/>
          <w:bCs/>
        </w:rPr>
        <w:t>nimmt „writing samples, written signatures, photographs” ausdrücklich aus</w:t>
      </w:r>
      <w:r>
        <w:t xml:space="preserve">. Eine eingescannte handschriftliche Arbeit ist doppelt ausgenommen. Auch die handschriftbasierte Urheberidentifikation liegt außerhalb, weil ausgenommene Eingaben keine erfassten Ausgaben erzeugen können. Washingtons Gesetz nimmt </w:t>
      </w:r>
      <w:r>
        <w:lastRenderedPageBreak/>
        <w:t>Fotografien und daraus erzeugte Daten ebenfalls aus; das texanische CUBI wird nur von der Generalstaatsanwaltschaft durchgesetzt.</w:t>
      </w:r>
    </w:p>
    <w:p w14:paraId="230836E8" w14:textId="77777777" w:rsidR="0090768F" w:rsidRDefault="00000000">
      <w:pPr>
        <w:pStyle w:val="BodyText"/>
      </w:pPr>
      <w:r>
        <w:rPr>
          <w:b/>
          <w:bCs/>
        </w:rPr>
        <w:t>Das Risiko ist die Gesichtserfassung.</w:t>
      </w:r>
      <w:r>
        <w:t xml:space="preserve"> Fügen wir je Fernaufsicht, Selfie-Identitätsprüfung oder eine Verarbeitung der Gesichtsgeometrie hinzu, landen wir unmittelbar im BIPA — </w:t>
      </w:r>
      <w:r>
        <w:rPr>
          <w:i/>
          <w:iCs/>
        </w:rPr>
        <w:t>„scan of … face geometry”</w:t>
      </w:r>
      <w:r>
        <w:t xml:space="preserve"> ist ausdrücklich gelistet, und </w:t>
      </w:r>
      <w:r>
        <w:rPr>
          <w:b/>
          <w:bCs/>
        </w:rPr>
        <w:t>BIPA kennt ein Klagerecht Einzelner mit gesetzlichem Schadensersatz ohne Schadensnachweis, das größte Prozessrisiko im US-Datenschutzrecht. Eine harte architektonische Sperre für die Verarbeitung von Gesichtsgeometrie setzen, durchgesetzt im Code und in der Roadmap, nicht als Policy-Erklärung.</w:t>
      </w:r>
    </w:p>
    <w:p w14:paraId="0D2F1E01" w14:textId="77777777" w:rsidR="0090768F" w:rsidRDefault="00000000">
      <w:pPr>
        <w:pStyle w:val="Heading3"/>
      </w:pPr>
      <w:bookmarkStart w:id="185" w:name="X4cc0feb118b3bc7f40f257964ed5827fd5a8c66"/>
      <w:bookmarkEnd w:id="184"/>
      <w:r>
        <w:t>11.6 Einzelstaatliche Gesetze zu KI in der Bildung — was tatsächlich verabschiedet wurde</w:t>
      </w:r>
    </w:p>
    <w:p w14:paraId="639EB6EC" w14:textId="77777777" w:rsidR="0090768F" w:rsidRDefault="00000000">
      <w:pPr>
        <w:pStyle w:val="FirstParagraph"/>
      </w:pPr>
      <w:r>
        <w:t>In der Sitzungsperiode 2026 wurden 134 Entwürfe in 31 Staaten verfolgt; rund zehn wurden Gesetz.</w:t>
      </w:r>
    </w:p>
    <w:p w14:paraId="5ADC5C2A" w14:textId="77777777" w:rsidR="0090768F" w:rsidRDefault="00000000">
      <w:pPr>
        <w:pStyle w:val="BodyText"/>
      </w:pPr>
      <w:r>
        <w:rPr>
          <w:b/>
          <w:bCs/>
        </w:rPr>
        <w:t>Der einzige unmittelbar bewertungsbezogene: Oklahoma SB 1734, Oklahoma Responsible Technology in Schools Act.</w:t>
      </w:r>
      <w:r>
        <w:t xml:space="preserve"> Unterzeichnet am 12. Mai 2026; Verhaltensanforderungen seit </w:t>
      </w:r>
      <w:r>
        <w:rPr>
          <w:b/>
          <w:bCs/>
        </w:rPr>
        <w:t>1. Juli 2026</w:t>
      </w:r>
      <w:r>
        <w:t xml:space="preserve">; Bezirks-KI-Richtlinie vor dem Schuljahr 2027/28. Berichteten Angaben zufolge: </w:t>
      </w:r>
      <w:r>
        <w:rPr>
          <w:b/>
          <w:bCs/>
        </w:rPr>
        <w:t>KI darf nicht die primäre Grundlage für Benotung, Disziplinarmaßnahmen, Einstufung, Versetzung, Nichtversetzung oder andere folgenreiche Bildungsentscheidungen sein</w:t>
      </w:r>
      <w:r>
        <w:t xml:space="preserve">; </w:t>
      </w:r>
      <w:r>
        <w:rPr>
          <w:b/>
          <w:bCs/>
        </w:rPr>
        <w:t>KI-Ausgaben müssen von einer Lehrkraft geprüft werden, bevor sie für Unterricht, Feedback, Leistungsfeststellung oder eine schülerbezogene Entscheidung verwendet werden</w:t>
      </w:r>
      <w:r>
        <w:t xml:space="preserve">; unterrichtliche Nutzung nur lehrkraftgesteuert mit Echtzeitaufsicht; eine </w:t>
      </w:r>
      <w:r>
        <w:rPr>
          <w:b/>
          <w:bCs/>
        </w:rPr>
        <w:t>jährliche Offenlegung gegenüber den Familien</w:t>
      </w:r>
      <w:r>
        <w:t xml:space="preserve"> mit Nennung jedes an der Schule tätigen KI-Anbieters und der jeweils erhobenen Schülerdaten; und ein </w:t>
      </w:r>
      <w:r>
        <w:rPr>
          <w:b/>
          <w:bCs/>
        </w:rPr>
        <w:t>Opt-out</w:t>
      </w:r>
      <w:r>
        <w:t xml:space="preserve"> der Eltern von schülerseitigen KI-Werkzeugen ohne Nachteil, mit alternativem Kernunterricht. Nicht konforme Bezirke riskieren Programmfähigkeit und Akkreditierungsprüfung. </w:t>
      </w:r>
      <w:r>
        <w:rPr>
          <w:i/>
          <w:iCs/>
        </w:rPr>
        <w:t>(Der verabschiedete Text war nicht abrufbar; die Bestimmungen werden von vier unabhängigen Sekundärquellen übereinstimmend berichtet, der genaue Gesetzeswortlaut ist aber unverifiziert. Vor Zitierung in Vertrag oder Vermerk beschaffen.)</w:t>
      </w:r>
    </w:p>
    <w:p w14:paraId="52C8AEB1" w14:textId="77777777" w:rsidR="0090768F" w:rsidRDefault="00000000">
      <w:pPr>
        <w:pStyle w:val="BodyText"/>
      </w:pPr>
      <w:r>
        <w:t xml:space="preserve">Weitere Verabschiedungen 2026, keine ebenso unmittelbar bewertungsbezogen: </w:t>
      </w:r>
      <w:r>
        <w:rPr>
          <w:b/>
          <w:bCs/>
        </w:rPr>
        <w:t>Idaho SB 1227</w:t>
      </w:r>
      <w:r>
        <w:t xml:space="preserve"> (KI darf Lehrkräfte nicht ersetzen); </w:t>
      </w:r>
      <w:r>
        <w:rPr>
          <w:b/>
          <w:bCs/>
        </w:rPr>
        <w:t>Maryland SB 720</w:t>
      </w:r>
      <w:r>
        <w:t xml:space="preserve"> (Bezirksrichtlinie binnen 120 Tagen nach Landesleitlinie, KI-Koordinator); </w:t>
      </w:r>
      <w:r>
        <w:rPr>
          <w:b/>
          <w:bCs/>
        </w:rPr>
        <w:t>Virginia HB 1186</w:t>
      </w:r>
      <w:r>
        <w:t xml:space="preserve">, seit 1. Juli 2026 (Richtlinien im Einklang mit Landesleitlinien, die FERPA, COPPA, Bias und </w:t>
      </w:r>
      <w:r>
        <w:rPr>
          <w:b/>
          <w:bCs/>
        </w:rPr>
        <w:t>folgenreiche Entscheidungen</w:t>
      </w:r>
      <w:r>
        <w:t xml:space="preserve"> adressieren müssen); </w:t>
      </w:r>
      <w:r>
        <w:rPr>
          <w:b/>
          <w:bCs/>
        </w:rPr>
        <w:t>Utah HB 273</w:t>
      </w:r>
      <w:r>
        <w:t xml:space="preserve"> (Modellrichtlinien für Klassenzimmertechnik und KI) und HB 218 (KI-Kompetenz); </w:t>
      </w:r>
      <w:r>
        <w:rPr>
          <w:b/>
          <w:bCs/>
        </w:rPr>
        <w:t>North Carolina</w:t>
      </w:r>
      <w:r>
        <w:t xml:space="preserve"> (Landesmodellrichtlinie bis 31. Dezember 2026, Bezirksrichtlinien bis 30. Juni 2027); </w:t>
      </w:r>
      <w:r>
        <w:rPr>
          <w:b/>
          <w:bCs/>
        </w:rPr>
        <w:t>Tennessee</w:t>
      </w:r>
      <w:r>
        <w:t xml:space="preserve"> (Bezirks-KI-Richtlinien und Jahresberichte). </w:t>
      </w:r>
      <w:r>
        <w:rPr>
          <w:i/>
          <w:iCs/>
        </w:rPr>
        <w:t>(Alabama HB 329, Hawaii SB 2212 und West Virginia HB 5205 sind als verabschiedet gelistet, ihr Inhalt konnte nicht verifiziert werden.)</w:t>
      </w:r>
    </w:p>
    <w:p w14:paraId="77E2AAAB" w14:textId="77777777" w:rsidR="0090768F" w:rsidRDefault="00000000">
      <w:pPr>
        <w:pStyle w:val="BodyText"/>
      </w:pPr>
      <w:r>
        <w:rPr>
          <w:b/>
          <w:bCs/>
        </w:rPr>
        <w:t>Zwei gescheiterte Entwürfe, die wiederkommen werden.</w:t>
      </w:r>
      <w:r>
        <w:t xml:space="preserve"> </w:t>
      </w:r>
      <w:r>
        <w:rPr>
          <w:b/>
          <w:bCs/>
        </w:rPr>
        <w:t>Illinois SB 3735</w:t>
      </w:r>
      <w:r>
        <w:t xml:space="preserve"> scheiterte am 22. Mai 2026 im Ausschuss; er hätte ein </w:t>
      </w:r>
      <w:r>
        <w:rPr>
          <w:b/>
          <w:bCs/>
        </w:rPr>
        <w:t>Recht der Schüler auf Widerspruch gegen KI-erzeugte Noten</w:t>
      </w:r>
      <w:r>
        <w:t xml:space="preserve"> geschaffen, den Erwerb biometrischer Systeme für Schüler untersagt und </w:t>
      </w:r>
      <w:r>
        <w:rPr>
          <w:b/>
          <w:bCs/>
        </w:rPr>
        <w:t>Anbietern das Training von KI-Modellen auf Bildungsdaten beschränkt</w:t>
      </w:r>
      <w:r>
        <w:t xml:space="preserve">. </w:t>
      </w:r>
      <w:r>
        <w:rPr>
          <w:b/>
          <w:bCs/>
        </w:rPr>
        <w:t xml:space="preserve">Das ist </w:t>
      </w:r>
      <w:r>
        <w:rPr>
          <w:b/>
          <w:bCs/>
        </w:rPr>
        <w:lastRenderedPageBreak/>
        <w:t>der für unser Geschäftsmodell gefährlichste Entwurf.</w:t>
      </w:r>
      <w:r>
        <w:t xml:space="preserve"> </w:t>
      </w:r>
      <w:r>
        <w:rPr>
          <w:b/>
          <w:bCs/>
        </w:rPr>
        <w:t>South Carolina H.5253</w:t>
      </w:r>
      <w:r>
        <w:t xml:space="preserve"> liegt im Ausschuss und ist </w:t>
      </w:r>
      <w:r>
        <w:rPr>
          <w:b/>
          <w:bCs/>
        </w:rPr>
        <w:t>nicht verabschiedet</w:t>
      </w:r>
      <w:r>
        <w:t xml:space="preserve">, obwohl ein Tracker ihn als verabschiedet führt </w:t>
      </w:r>
      <w:r>
        <w:rPr>
          <w:i/>
          <w:iCs/>
        </w:rPr>
        <w:t>(die Seite des Parlaments weist Einbringung am 24. Februar 2026 und fehlende Unterzeichnung aus — die Primärquelle gilt)</w:t>
      </w:r>
      <w:r>
        <w:t xml:space="preserve">; sein Text ist ein guter Indikator des Trends: </w:t>
      </w:r>
      <w:r>
        <w:rPr>
          <w:i/>
          <w:iCs/>
        </w:rPr>
        <w:t>„Artificial intelligence shall not replace a licensed teacher in providing core academic instruction or assigning final grades.”</w:t>
      </w:r>
      <w:r>
        <w:t xml:space="preserve"> Ferner anhängig: </w:t>
      </w:r>
      <w:r>
        <w:rPr>
          <w:b/>
          <w:bCs/>
        </w:rPr>
        <w:t>Kalifornien AB 1159</w:t>
      </w:r>
      <w:r>
        <w:t xml:space="preserve"> (Verbot der Nutzung von Schülerdaten für KI-Training) und </w:t>
      </w:r>
      <w:r>
        <w:rPr>
          <w:b/>
          <w:bCs/>
        </w:rPr>
        <w:t>Vermont HB 650</w:t>
      </w:r>
      <w:r>
        <w:t xml:space="preserve"> (Registrierung und Datenschutzzertifizierung für EdTech-Anbieter — Registrierungsregime sind teuer). Und eine </w:t>
      </w:r>
      <w:r>
        <w:rPr>
          <w:b/>
          <w:bCs/>
        </w:rPr>
        <w:t>Regel des Florida State Board of Education</w:t>
      </w:r>
      <w:r>
        <w:t xml:space="preserve"> war zur Abstimmung am </w:t>
      </w:r>
      <w:r>
        <w:rPr>
          <w:b/>
          <w:bCs/>
        </w:rPr>
        <w:t>16. September 2026</w:t>
      </w:r>
      <w:r>
        <w:t xml:space="preserve"> angesetzt, fünf Tage nach dem Datum dieses Papiers: für K-12 Elterninformation bei Freigabe von KI-Unterrichtswerkzeugen und ein Opt-out; für die staatlichen Colleges institutionelle KI-Richtlinien zu akademischer Integrität, Aufgaben und </w:t>
      </w:r>
      <w:r>
        <w:rPr>
          <w:b/>
          <w:bCs/>
        </w:rPr>
        <w:t>Benotung</w:t>
      </w:r>
      <w:r>
        <w:t xml:space="preserve">. </w:t>
      </w:r>
      <w:r>
        <w:rPr>
          <w:b/>
          <w:bCs/>
        </w:rPr>
        <w:t>Das Ergebnis prüfen.</w:t>
      </w:r>
    </w:p>
    <w:p w14:paraId="4DBA5150" w14:textId="77777777" w:rsidR="0090768F" w:rsidRDefault="00000000">
      <w:pPr>
        <w:pStyle w:val="Heading3"/>
      </w:pPr>
      <w:bookmarkStart w:id="186" w:name="X99a6374a7fc5535b297e920270c657c2cd7db21"/>
      <w:bookmarkEnd w:id="185"/>
      <w:r>
        <w:t>11.7 Leitlinien der Landesbildungsbehörden — der kommerzielle Gatekeeper</w:t>
      </w:r>
    </w:p>
    <w:p w14:paraId="7FCE592D" w14:textId="77777777" w:rsidR="0090768F" w:rsidRDefault="00000000">
      <w:pPr>
        <w:pStyle w:val="FirstParagraph"/>
      </w:pPr>
      <w:r>
        <w:t xml:space="preserve">Rund </w:t>
      </w:r>
      <w:r>
        <w:rPr>
          <w:b/>
          <w:bCs/>
        </w:rPr>
        <w:t>35 Staaten zuzüglich DC und Puerto Rico</w:t>
      </w:r>
      <w:r>
        <w:t xml:space="preserve"> haben KI-Leitlinien veröffentlicht </w:t>
      </w:r>
      <w:r>
        <w:rPr>
          <w:i/>
          <w:iCs/>
        </w:rPr>
        <w:t>(die Zählungen der Tracker differieren — 35, 34, 27, 26+ —, weil „Leitlinie” unterschiedlich definiert wird; „rund 35” verwenden und den Tracker zitieren statt einer festen Zahl)</w:t>
      </w:r>
      <w:r>
        <w:t>. Sie sind kein Recht. Sie sind Beschaffungsdoktrin, und sie konvergieren auf eine Regel.</w:t>
      </w:r>
    </w:p>
    <w:p w14:paraId="2A4021DD" w14:textId="77777777" w:rsidR="0090768F" w:rsidRDefault="00000000">
      <w:pPr>
        <w:pStyle w:val="BodyText"/>
      </w:pPr>
      <w:r>
        <w:rPr>
          <w:b/>
          <w:bCs/>
        </w:rPr>
        <w:t>Georgia ist am ausdrücklichsten, und seine Linie verläuft genau durch unser Produkt.</w:t>
      </w:r>
      <w:r>
        <w:t xml:space="preserve"> </w:t>
      </w:r>
      <w:r>
        <w:rPr>
          <w:i/>
          <w:iCs/>
        </w:rPr>
        <w:t>Leveraging AI in the K-12 Setting</w:t>
      </w:r>
      <w:r>
        <w:t xml:space="preserve"> (Januar 2025) führt als </w:t>
      </w:r>
      <w:r>
        <w:rPr>
          <w:b/>
          <w:bCs/>
        </w:rPr>
        <w:t>nicht empfohlen</w:t>
      </w:r>
      <w:r>
        <w:t xml:space="preserve"> auf: </w:t>
      </w:r>
      <w:r>
        <w:rPr>
          <w:i/>
          <w:iCs/>
        </w:rPr>
        <w:t xml:space="preserve">„Grade student assignments or projects that are </w:t>
      </w:r>
      <w:r>
        <w:rPr>
          <w:b/>
          <w:bCs/>
          <w:i/>
          <w:iCs/>
        </w:rPr>
        <w:t>subjective</w:t>
      </w:r>
      <w:r>
        <w:rPr>
          <w:i/>
          <w:iCs/>
        </w:rPr>
        <w:t>”</w:t>
      </w:r>
      <w:r>
        <w:t xml:space="preserve"> und </w:t>
      </w:r>
      <w:r>
        <w:rPr>
          <w:i/>
          <w:iCs/>
        </w:rPr>
        <w:t>„Evaluate educators”</w:t>
      </w:r>
      <w:r>
        <w:t xml:space="preserve">; und als </w:t>
      </w:r>
      <w:r>
        <w:rPr>
          <w:b/>
          <w:bCs/>
        </w:rPr>
        <w:t>akzeptabel</w:t>
      </w:r>
      <w:r>
        <w:t xml:space="preserve">: </w:t>
      </w:r>
      <w:r>
        <w:rPr>
          <w:i/>
          <w:iCs/>
        </w:rPr>
        <w:t>„Grade multiple choice exams”</w:t>
      </w:r>
      <w:r>
        <w:t xml:space="preserve">, </w:t>
      </w:r>
      <w:r>
        <w:rPr>
          <w:i/>
          <w:iCs/>
        </w:rPr>
        <w:t>„Assist in the development of a rubric for an assignment”</w:t>
      </w:r>
      <w:r>
        <w:t xml:space="preserve">, </w:t>
      </w:r>
      <w:r>
        <w:rPr>
          <w:i/>
          <w:iCs/>
        </w:rPr>
        <w:t>„Provide feedback on a non-graded assignment/project”</w:t>
      </w:r>
      <w:r>
        <w:t xml:space="preserve"> — mit dem Leitsatz </w:t>
      </w:r>
      <w:r>
        <w:rPr>
          <w:i/>
          <w:iCs/>
        </w:rPr>
        <w:t>„Final decision-making should always involve human judgment.”</w:t>
      </w:r>
    </w:p>
    <w:p w14:paraId="795FE157" w14:textId="77777777" w:rsidR="0090768F" w:rsidRDefault="00000000">
      <w:pPr>
        <w:pStyle w:val="BodyText"/>
      </w:pPr>
      <w:r>
        <w:t xml:space="preserve">Handschriftliche Freitextklausuren sind subjektive Bewertung. </w:t>
      </w:r>
      <w:r>
        <w:rPr>
          <w:b/>
          <w:bCs/>
        </w:rPr>
        <w:t>Wörtlich gelesen empfiehlt die Leitlinie Georgias unseren Kernanwendungsfall nicht. Das ist der kommerziell wichtigste Einzelbefund des US-Teils.</w:t>
      </w:r>
      <w:r>
        <w:t xml:space="preserve"> Die Gegenposition muss lauten, dass wir </w:t>
      </w:r>
      <w:r>
        <w:rPr>
          <w:i/>
          <w:iCs/>
        </w:rPr>
        <w:t>vorschlagen</w:t>
      </w:r>
      <w:r>
        <w:t xml:space="preserve"> und die Lehrkraft </w:t>
      </w:r>
      <w:r>
        <w:rPr>
          <w:i/>
          <w:iCs/>
        </w:rPr>
        <w:t>entscheidet</w:t>
      </w:r>
      <w:r>
        <w:t xml:space="preserve"> — ein Raster- und Feedbackassistent mit menschlichem Bewerter, kein KI-Bewerter — und das Produkt muss das in einer fünfminütigen Demonstration zeigen können.</w:t>
      </w:r>
    </w:p>
    <w:p w14:paraId="6E54C070" w14:textId="77777777" w:rsidR="0090768F" w:rsidRDefault="00000000">
      <w:pPr>
        <w:pStyle w:val="BodyText"/>
      </w:pPr>
      <w:r>
        <w:t xml:space="preserve">Weitere repräsentative Positionen: </w:t>
      </w:r>
      <w:r>
        <w:rPr>
          <w:b/>
          <w:bCs/>
        </w:rPr>
        <w:t>DC (OSSE, 2. September 2026)</w:t>
      </w:r>
      <w:r>
        <w:t xml:space="preserve"> ordnet KI-gestützte Bewertung der Stufe „mit Vorsicht verwenden” mit erheblicher menschlicher Aufsicht zu und </w:t>
      </w:r>
      <w:r>
        <w:rPr>
          <w:b/>
          <w:bCs/>
        </w:rPr>
        <w:t>untersagt KI für Entscheidungen über Förderpläne und Disziplinarmaßnahmen vollständig</w:t>
      </w:r>
      <w:r>
        <w:t xml:space="preserve"> </w:t>
      </w:r>
      <w:r>
        <w:rPr>
          <w:i/>
          <w:iCs/>
        </w:rPr>
        <w:t>(über Presseberichterstattung wiedergegeben; das OSSE-Dokument vor Zitierung beschaffen)</w:t>
      </w:r>
      <w:r>
        <w:t xml:space="preserve">; </w:t>
      </w:r>
      <w:r>
        <w:rPr>
          <w:b/>
          <w:bCs/>
        </w:rPr>
        <w:t>Alabama</w:t>
      </w:r>
      <w:r>
        <w:t xml:space="preserve"> verlangt </w:t>
      </w:r>
      <w:r>
        <w:rPr>
          <w:i/>
          <w:iCs/>
        </w:rPr>
        <w:t>„human verification of AI-generated content and grading”</w:t>
      </w:r>
      <w:r>
        <w:t xml:space="preserve">; </w:t>
      </w:r>
      <w:r>
        <w:rPr>
          <w:b/>
          <w:bCs/>
        </w:rPr>
        <w:t>Vermont</w:t>
      </w:r>
      <w:r>
        <w:t xml:space="preserve"> verlangt die Prüfung aller Ausgaben durch Lehrkräfte; </w:t>
      </w:r>
      <w:r>
        <w:rPr>
          <w:b/>
          <w:bCs/>
        </w:rPr>
        <w:t>North Carolina</w:t>
      </w:r>
      <w:r>
        <w:t xml:space="preserve"> und </w:t>
      </w:r>
      <w:r>
        <w:rPr>
          <w:b/>
          <w:bCs/>
        </w:rPr>
        <w:t>Maine</w:t>
      </w:r>
      <w:r>
        <w:t xml:space="preserve"> verlangen, dass KI das professionelle Urteil ergänzt und nicht ersetzt; </w:t>
      </w:r>
      <w:r>
        <w:rPr>
          <w:b/>
          <w:bCs/>
        </w:rPr>
        <w:t>Massachusetts</w:t>
      </w:r>
      <w:r>
        <w:t xml:space="preserve"> ist transparenzorientiert und </w:t>
      </w:r>
      <w:r>
        <w:rPr>
          <w:b/>
          <w:bCs/>
        </w:rPr>
        <w:t>lehnt KI-Erkennungswerkzeuge ausdrücklich ab</w:t>
      </w:r>
      <w:r>
        <w:t xml:space="preserve">, was relevant wird, falls wir je eine Plagiatserkennung bündeln; </w:t>
      </w:r>
      <w:r>
        <w:rPr>
          <w:b/>
          <w:bCs/>
        </w:rPr>
        <w:t>Washington</w:t>
      </w:r>
      <w:r>
        <w:t xml:space="preserve"> formuliert ein „Human–AI–Human”-Modell.</w:t>
      </w:r>
    </w:p>
    <w:p w14:paraId="44677004" w14:textId="77777777" w:rsidR="0090768F" w:rsidRDefault="00000000">
      <w:pPr>
        <w:pStyle w:val="BodyText"/>
      </w:pPr>
      <w:r>
        <w:rPr>
          <w:b/>
          <w:bCs/>
        </w:rPr>
        <w:t>Der durchgängige Befund über alle geprüften Tracker: Kein Staat erlaubt KI als alleinige Grundlage einer Note.</w:t>
      </w:r>
      <w:r>
        <w:t xml:space="preserve"> In Oklahoma ist das inzwischen Gesetz und wird es nach </w:t>
      </w:r>
      <w:r>
        <w:lastRenderedPageBreak/>
        <w:t>dem erkennbaren Muster in drei oder vier weiteren Staaten binnen zweier Sitzungsperioden sein.</w:t>
      </w:r>
    </w:p>
    <w:p w14:paraId="4F410F83" w14:textId="77777777" w:rsidR="0090768F" w:rsidRDefault="00000000">
      <w:pPr>
        <w:pStyle w:val="Heading3"/>
      </w:pPr>
      <w:bookmarkStart w:id="187" w:name="die-50-staaten-matrix"/>
      <w:bookmarkEnd w:id="186"/>
      <w:r>
        <w:t>11.8 Die 50-Staaten-Matrix</w:t>
      </w:r>
    </w:p>
    <w:p w14:paraId="0DFCE810" w14:textId="77777777" w:rsidR="0090768F" w:rsidRDefault="00000000">
      <w:pPr>
        <w:pStyle w:val="FirstParagraph"/>
      </w:pPr>
      <w:r>
        <w:t xml:space="preserve">Lesehinweise. Spalte 1 stützt sich überwiegend auf die Übersicht von FPF/Student Privacy Compass und einen anbieterseitig veröffentlichten Aggregator, primärrechtlich abgeglichen nur für die in §11.3 behandelten Staaten; mit </w:t>
      </w:r>
      <w:r>
        <w:rPr>
          <w:b/>
          <w:bCs/>
        </w:rPr>
        <w:t>(agg.)</w:t>
      </w:r>
      <w:r>
        <w:t xml:space="preserve"> markierte Einträge sind </w:t>
      </w:r>
      <w:r>
        <w:rPr>
          <w:b/>
          <w:bCs/>
        </w:rPr>
        <w:t>nicht eigenständig am Gesetzestext verifiziert und dürfen ohne Prüfung der Norm nicht in ein kundenseitiges Dokument übernommen werden</w:t>
      </w:r>
      <w:r>
        <w:t>. Spalte 2 bedeutet: in Kraft am 11. September 2026. Spalte 4 folgt dem Tracker von AI for Education; die Zählungen der Tracker differieren, weil „Leitlinie“ unterschiedlich definiert wird — als Näherung behandeln.</w:t>
      </w:r>
    </w:p>
    <w:tbl>
      <w:tblPr>
        <w:tblStyle w:val="Table"/>
        <w:tblW w:w="5000" w:type="pct"/>
        <w:tblLook w:val="0020" w:firstRow="1" w:lastRow="0" w:firstColumn="0" w:lastColumn="0" w:noHBand="0" w:noVBand="0"/>
      </w:tblPr>
      <w:tblGrid>
        <w:gridCol w:w="1187"/>
        <w:gridCol w:w="1964"/>
        <w:gridCol w:w="2308"/>
        <w:gridCol w:w="2064"/>
        <w:gridCol w:w="1837"/>
      </w:tblGrid>
      <w:tr w:rsidR="0090768F" w14:paraId="22C84DE7"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3A5F6EA0" w14:textId="77777777" w:rsidR="0090768F" w:rsidRDefault="00000000">
            <w:pPr>
              <w:pStyle w:val="Compact"/>
            </w:pPr>
            <w:r>
              <w:t>Staat</w:t>
            </w:r>
          </w:p>
        </w:tc>
        <w:tc>
          <w:tcPr>
            <w:tcW w:w="0" w:type="auto"/>
          </w:tcPr>
          <w:p w14:paraId="7A23CE88" w14:textId="77777777" w:rsidR="0090768F" w:rsidRDefault="00000000">
            <w:pPr>
              <w:pStyle w:val="Compact"/>
            </w:pPr>
            <w:r>
              <w:t>Schülerdatenschutzgesetz für Anbieter</w:t>
            </w:r>
          </w:p>
        </w:tc>
        <w:tc>
          <w:tcPr>
            <w:tcW w:w="0" w:type="auto"/>
          </w:tcPr>
          <w:p w14:paraId="4AB73283" w14:textId="77777777" w:rsidR="0090768F" w:rsidRDefault="00000000">
            <w:pPr>
              <w:pStyle w:val="Compact"/>
            </w:pPr>
            <w:r>
              <w:t>Allgemeines Datenschutzgesetz in Kraft</w:t>
            </w:r>
          </w:p>
        </w:tc>
        <w:tc>
          <w:tcPr>
            <w:tcW w:w="0" w:type="auto"/>
          </w:tcPr>
          <w:p w14:paraId="7119B636" w14:textId="77777777" w:rsidR="0090768F" w:rsidRDefault="00000000">
            <w:pPr>
              <w:pStyle w:val="Compact"/>
            </w:pPr>
            <w:r>
              <w:t>Für uns relevantes KI-Gesetz</w:t>
            </w:r>
          </w:p>
        </w:tc>
        <w:tc>
          <w:tcPr>
            <w:tcW w:w="0" w:type="auto"/>
          </w:tcPr>
          <w:p w14:paraId="027021AB" w14:textId="77777777" w:rsidR="0090768F" w:rsidRDefault="00000000">
            <w:pPr>
              <w:pStyle w:val="Compact"/>
            </w:pPr>
            <w:r>
              <w:t>KI-Leitlinie der Landesbildungsbehörde</w:t>
            </w:r>
          </w:p>
        </w:tc>
      </w:tr>
      <w:tr w:rsidR="0090768F" w14:paraId="425377E9" w14:textId="77777777">
        <w:tc>
          <w:tcPr>
            <w:tcW w:w="0" w:type="auto"/>
          </w:tcPr>
          <w:p w14:paraId="796153E9" w14:textId="77777777" w:rsidR="0090768F" w:rsidRDefault="00000000">
            <w:pPr>
              <w:pStyle w:val="Compact"/>
            </w:pPr>
            <w:r>
              <w:t>Alabama</w:t>
            </w:r>
          </w:p>
        </w:tc>
        <w:tc>
          <w:tcPr>
            <w:tcW w:w="0" w:type="auto"/>
          </w:tcPr>
          <w:p w14:paraId="25DCFCF2" w14:textId="77777777" w:rsidR="0090768F" w:rsidRDefault="00000000">
            <w:pPr>
              <w:pStyle w:val="Compact"/>
            </w:pPr>
            <w:r>
              <w:t>keine spezifische — nur COPPA/FERPA (agg.)</w:t>
            </w:r>
          </w:p>
        </w:tc>
        <w:tc>
          <w:tcPr>
            <w:tcW w:w="0" w:type="auto"/>
          </w:tcPr>
          <w:p w14:paraId="29E08796" w14:textId="77777777" w:rsidR="0090768F" w:rsidRDefault="00000000">
            <w:pPr>
              <w:pStyle w:val="Compact"/>
            </w:pPr>
            <w:r>
              <w:t>nein (verabschiedet; ab 1.5.2027)</w:t>
            </w:r>
          </w:p>
        </w:tc>
        <w:tc>
          <w:tcPr>
            <w:tcW w:w="0" w:type="auto"/>
          </w:tcPr>
          <w:p w14:paraId="25BE5DC2" w14:textId="77777777" w:rsidR="0090768F" w:rsidRDefault="00000000">
            <w:pPr>
              <w:pStyle w:val="Compact"/>
            </w:pPr>
            <w:r>
              <w:t>HB 329 (2026, verabschiedet; Inhalt unverifiziert)</w:t>
            </w:r>
          </w:p>
        </w:tc>
        <w:tc>
          <w:tcPr>
            <w:tcW w:w="0" w:type="auto"/>
          </w:tcPr>
          <w:p w14:paraId="131FB445" w14:textId="77777777" w:rsidR="0090768F" w:rsidRDefault="00000000">
            <w:pPr>
              <w:pStyle w:val="Compact"/>
            </w:pPr>
            <w:r>
              <w:t>J — verlangt „human verification of AI-generated content and grading“</w:t>
            </w:r>
          </w:p>
        </w:tc>
      </w:tr>
      <w:tr w:rsidR="0090768F" w14:paraId="3B229721" w14:textId="77777777">
        <w:tc>
          <w:tcPr>
            <w:tcW w:w="0" w:type="auto"/>
          </w:tcPr>
          <w:p w14:paraId="172BEC01" w14:textId="77777777" w:rsidR="0090768F" w:rsidRDefault="00000000">
            <w:pPr>
              <w:pStyle w:val="Compact"/>
            </w:pPr>
            <w:r>
              <w:t>Alaska</w:t>
            </w:r>
          </w:p>
        </w:tc>
        <w:tc>
          <w:tcPr>
            <w:tcW w:w="0" w:type="auto"/>
          </w:tcPr>
          <w:p w14:paraId="0B09AB59" w14:textId="77777777" w:rsidR="0090768F" w:rsidRDefault="00000000">
            <w:pPr>
              <w:pStyle w:val="Compact"/>
            </w:pPr>
            <w:r>
              <w:t>keine spezifische — nur Meldegesetz (agg.)</w:t>
            </w:r>
          </w:p>
        </w:tc>
        <w:tc>
          <w:tcPr>
            <w:tcW w:w="0" w:type="auto"/>
          </w:tcPr>
          <w:p w14:paraId="0CFF25AA" w14:textId="77777777" w:rsidR="0090768F" w:rsidRDefault="00000000">
            <w:pPr>
              <w:pStyle w:val="Compact"/>
            </w:pPr>
            <w:r>
              <w:t>nein</w:t>
            </w:r>
          </w:p>
        </w:tc>
        <w:tc>
          <w:tcPr>
            <w:tcW w:w="0" w:type="auto"/>
          </w:tcPr>
          <w:p w14:paraId="3354A44E" w14:textId="77777777" w:rsidR="0090768F" w:rsidRDefault="00000000">
            <w:pPr>
              <w:pStyle w:val="Compact"/>
            </w:pPr>
            <w:r>
              <w:t>keine</w:t>
            </w:r>
          </w:p>
        </w:tc>
        <w:tc>
          <w:tcPr>
            <w:tcW w:w="0" w:type="auto"/>
          </w:tcPr>
          <w:p w14:paraId="51300AFE" w14:textId="77777777" w:rsidR="0090768F" w:rsidRDefault="00000000">
            <w:pPr>
              <w:pStyle w:val="Compact"/>
            </w:pPr>
            <w:r>
              <w:t>J (allgemein)</w:t>
            </w:r>
          </w:p>
        </w:tc>
      </w:tr>
      <w:tr w:rsidR="0090768F" w14:paraId="18059DC9" w14:textId="77777777">
        <w:tc>
          <w:tcPr>
            <w:tcW w:w="0" w:type="auto"/>
          </w:tcPr>
          <w:p w14:paraId="390C9332" w14:textId="77777777" w:rsidR="0090768F" w:rsidRDefault="00000000">
            <w:pPr>
              <w:pStyle w:val="Compact"/>
            </w:pPr>
            <w:r>
              <w:t>Arizona</w:t>
            </w:r>
          </w:p>
        </w:tc>
        <w:tc>
          <w:tcPr>
            <w:tcW w:w="0" w:type="auto"/>
          </w:tcPr>
          <w:p w14:paraId="3277C692" w14:textId="77777777" w:rsidR="0090768F" w:rsidRDefault="00000000">
            <w:pPr>
              <w:pStyle w:val="Compact"/>
            </w:pPr>
            <w:r>
              <w:t>A.R.S. § 15-1046 (Anbieter: keine gezielte Werbung, kein Verkauf, kein Profiling)</w:t>
            </w:r>
          </w:p>
        </w:tc>
        <w:tc>
          <w:tcPr>
            <w:tcW w:w="0" w:type="auto"/>
          </w:tcPr>
          <w:p w14:paraId="3809ADF9" w14:textId="77777777" w:rsidR="0090768F" w:rsidRDefault="00000000">
            <w:pPr>
              <w:pStyle w:val="Compact"/>
            </w:pPr>
            <w:r>
              <w:t>nein</w:t>
            </w:r>
          </w:p>
        </w:tc>
        <w:tc>
          <w:tcPr>
            <w:tcW w:w="0" w:type="auto"/>
          </w:tcPr>
          <w:p w14:paraId="6664089D" w14:textId="77777777" w:rsidR="0090768F" w:rsidRDefault="00000000">
            <w:pPr>
              <w:pStyle w:val="Compact"/>
            </w:pPr>
            <w:r>
              <w:t>keine</w:t>
            </w:r>
          </w:p>
        </w:tc>
        <w:tc>
          <w:tcPr>
            <w:tcW w:w="0" w:type="auto"/>
          </w:tcPr>
          <w:p w14:paraId="26AB631A" w14:textId="77777777" w:rsidR="0090768F" w:rsidRDefault="00000000">
            <w:pPr>
              <w:pStyle w:val="Compact"/>
            </w:pPr>
            <w:r>
              <w:t>J (allgemein)</w:t>
            </w:r>
          </w:p>
        </w:tc>
      </w:tr>
      <w:tr w:rsidR="0090768F" w14:paraId="3F2F1CC2" w14:textId="77777777">
        <w:tc>
          <w:tcPr>
            <w:tcW w:w="0" w:type="auto"/>
          </w:tcPr>
          <w:p w14:paraId="2A82EA7C" w14:textId="77777777" w:rsidR="0090768F" w:rsidRDefault="00000000">
            <w:pPr>
              <w:pStyle w:val="Compact"/>
            </w:pPr>
            <w:r>
              <w:t>Arkansas</w:t>
            </w:r>
          </w:p>
        </w:tc>
        <w:tc>
          <w:tcPr>
            <w:tcW w:w="0" w:type="auto"/>
          </w:tcPr>
          <w:p w14:paraId="7B6A4EF1" w14:textId="77777777" w:rsidR="0090768F" w:rsidRDefault="00000000">
            <w:pPr>
              <w:pStyle w:val="Compact"/>
            </w:pPr>
            <w:r>
              <w:t>Act 1196 (2015); Student Data Vendor Security Act, Ark. Code §§ 6-18-2601–2608</w:t>
            </w:r>
          </w:p>
        </w:tc>
        <w:tc>
          <w:tcPr>
            <w:tcW w:w="0" w:type="auto"/>
          </w:tcPr>
          <w:p w14:paraId="386360B9" w14:textId="77777777" w:rsidR="0090768F" w:rsidRDefault="00000000">
            <w:pPr>
              <w:pStyle w:val="Compact"/>
            </w:pPr>
            <w:r>
              <w:rPr>
                <w:b/>
                <w:bCs/>
              </w:rPr>
              <w:t>nein — behauptetes allgemeines Gesetz unverifiziert; als nicht in Kraft behandeln</w:t>
            </w:r>
          </w:p>
        </w:tc>
        <w:tc>
          <w:tcPr>
            <w:tcW w:w="0" w:type="auto"/>
          </w:tcPr>
          <w:p w14:paraId="578265B5" w14:textId="77777777" w:rsidR="0090768F" w:rsidRDefault="00000000">
            <w:pPr>
              <w:pStyle w:val="Compact"/>
            </w:pPr>
            <w:r>
              <w:t>keine</w:t>
            </w:r>
          </w:p>
        </w:tc>
        <w:tc>
          <w:tcPr>
            <w:tcW w:w="0" w:type="auto"/>
          </w:tcPr>
          <w:p w14:paraId="4084BC0D" w14:textId="77777777" w:rsidR="0090768F" w:rsidRDefault="00000000">
            <w:pPr>
              <w:pStyle w:val="Compact"/>
            </w:pPr>
            <w:r>
              <w:t>N</w:t>
            </w:r>
          </w:p>
        </w:tc>
      </w:tr>
      <w:tr w:rsidR="0090768F" w14:paraId="0ABB771C" w14:textId="77777777">
        <w:tc>
          <w:tcPr>
            <w:tcW w:w="0" w:type="auto"/>
          </w:tcPr>
          <w:p w14:paraId="0D6F16BF" w14:textId="77777777" w:rsidR="0090768F" w:rsidRDefault="00000000">
            <w:pPr>
              <w:pStyle w:val="Compact"/>
            </w:pPr>
            <w:r>
              <w:t>California</w:t>
            </w:r>
          </w:p>
        </w:tc>
        <w:tc>
          <w:tcPr>
            <w:tcW w:w="0" w:type="auto"/>
          </w:tcPr>
          <w:p w14:paraId="79C84FCF" w14:textId="77777777" w:rsidR="0090768F" w:rsidRDefault="00000000">
            <w:pPr>
              <w:pStyle w:val="Compact"/>
            </w:pPr>
            <w:r>
              <w:rPr>
                <w:b/>
                <w:bCs/>
              </w:rPr>
              <w:t>SOPIPA, Bus. &amp; Prof. Code § 22584; AB 1584, Educ. Code § 49073.1</w:t>
            </w:r>
          </w:p>
        </w:tc>
        <w:tc>
          <w:tcPr>
            <w:tcW w:w="0" w:type="auto"/>
          </w:tcPr>
          <w:p w14:paraId="14AAC1C5" w14:textId="77777777" w:rsidR="0090768F" w:rsidRDefault="00000000">
            <w:pPr>
              <w:pStyle w:val="Compact"/>
            </w:pPr>
            <w:r>
              <w:rPr>
                <w:b/>
                <w:bCs/>
              </w:rPr>
              <w:t>ja — CCPA/CPRA, 1.1.2020</w:t>
            </w:r>
          </w:p>
        </w:tc>
        <w:tc>
          <w:tcPr>
            <w:tcW w:w="0" w:type="auto"/>
          </w:tcPr>
          <w:p w14:paraId="75D868EC" w14:textId="77777777" w:rsidR="0090768F" w:rsidRDefault="00000000">
            <w:pPr>
              <w:pStyle w:val="Compact"/>
            </w:pPr>
            <w:r>
              <w:rPr>
                <w:b/>
                <w:bCs/>
              </w:rPr>
              <w:t>CPPA ADMT regs (Compliance ab 1.1.2027)</w:t>
            </w:r>
            <w:r>
              <w:t>; AB 2013 (1.1.2026); SB 942/AB 853</w:t>
            </w:r>
          </w:p>
        </w:tc>
        <w:tc>
          <w:tcPr>
            <w:tcW w:w="0" w:type="auto"/>
          </w:tcPr>
          <w:p w14:paraId="0A3E1515" w14:textId="77777777" w:rsidR="0090768F" w:rsidRDefault="00000000">
            <w:pPr>
              <w:pStyle w:val="Compact"/>
            </w:pPr>
            <w:r>
              <w:t xml:space="preserve">J — menschliche Aufsicht; Modellrichtlinie SB 1288 ausdrücklich </w:t>
            </w:r>
            <w:r>
              <w:lastRenderedPageBreak/>
              <w:t>unverbindlich</w:t>
            </w:r>
          </w:p>
        </w:tc>
      </w:tr>
      <w:tr w:rsidR="0090768F" w14:paraId="4420DEB4" w14:textId="77777777">
        <w:tc>
          <w:tcPr>
            <w:tcW w:w="0" w:type="auto"/>
          </w:tcPr>
          <w:p w14:paraId="54D534A7" w14:textId="77777777" w:rsidR="0090768F" w:rsidRDefault="00000000">
            <w:pPr>
              <w:pStyle w:val="Compact"/>
            </w:pPr>
            <w:r>
              <w:lastRenderedPageBreak/>
              <w:t>Colorado</w:t>
            </w:r>
          </w:p>
        </w:tc>
        <w:tc>
          <w:tcPr>
            <w:tcW w:w="0" w:type="auto"/>
          </w:tcPr>
          <w:p w14:paraId="1251CF73" w14:textId="77777777" w:rsidR="0090768F" w:rsidRDefault="00000000">
            <w:pPr>
              <w:pStyle w:val="Compact"/>
            </w:pPr>
            <w:r>
              <w:rPr>
                <w:b/>
                <w:bCs/>
              </w:rPr>
              <w:t>Student Data Transparency and Security Act, C.R.S. § 22-16-101 ff.</w:t>
            </w:r>
          </w:p>
        </w:tc>
        <w:tc>
          <w:tcPr>
            <w:tcW w:w="0" w:type="auto"/>
          </w:tcPr>
          <w:p w14:paraId="67902E04" w14:textId="77777777" w:rsidR="0090768F" w:rsidRDefault="00000000">
            <w:pPr>
              <w:pStyle w:val="Compact"/>
            </w:pPr>
            <w:r>
              <w:t>ja — CPA, 1.7.2023 (Profiling-Widerspruch)</w:t>
            </w:r>
          </w:p>
        </w:tc>
        <w:tc>
          <w:tcPr>
            <w:tcW w:w="0" w:type="auto"/>
          </w:tcPr>
          <w:p w14:paraId="214234FC" w14:textId="77777777" w:rsidR="0090768F" w:rsidRDefault="00000000">
            <w:pPr>
              <w:pStyle w:val="Compact"/>
            </w:pPr>
            <w:r>
              <w:rPr>
                <w:b/>
                <w:bCs/>
              </w:rPr>
              <w:t>SB 26-189 (ADMTA), ab 1.1.2027 — Bildung ist eine folgenreiche Entscheidung. SB 24-205 aufgehoben</w:t>
            </w:r>
          </w:p>
        </w:tc>
        <w:tc>
          <w:tcPr>
            <w:tcW w:w="0" w:type="auto"/>
          </w:tcPr>
          <w:p w14:paraId="03F75FBF" w14:textId="77777777" w:rsidR="0090768F" w:rsidRDefault="00000000">
            <w:pPr>
              <w:pStyle w:val="Compact"/>
            </w:pPr>
            <w:r>
              <w:t>J (allgemein)</w:t>
            </w:r>
          </w:p>
        </w:tc>
      </w:tr>
      <w:tr w:rsidR="0090768F" w14:paraId="742FECEC" w14:textId="77777777">
        <w:tc>
          <w:tcPr>
            <w:tcW w:w="0" w:type="auto"/>
          </w:tcPr>
          <w:p w14:paraId="3C0C81B2" w14:textId="77777777" w:rsidR="0090768F" w:rsidRDefault="00000000">
            <w:pPr>
              <w:pStyle w:val="Compact"/>
            </w:pPr>
            <w:r>
              <w:t>Connecticut</w:t>
            </w:r>
          </w:p>
        </w:tc>
        <w:tc>
          <w:tcPr>
            <w:tcW w:w="0" w:type="auto"/>
          </w:tcPr>
          <w:p w14:paraId="46D86F7E" w14:textId="77777777" w:rsidR="0090768F" w:rsidRDefault="00000000">
            <w:pPr>
              <w:pStyle w:val="Compact"/>
            </w:pPr>
            <w:r>
              <w:rPr>
                <w:b/>
                <w:bCs/>
              </w:rPr>
              <w:t>Conn. Gen. Stat. §§ 10-234aa–10-234ff</w:t>
            </w:r>
            <w:r>
              <w:t xml:space="preserve"> — 10 Pflichtklauseln + Veröffentlichung binnen 5 Werktagen</w:t>
            </w:r>
          </w:p>
        </w:tc>
        <w:tc>
          <w:tcPr>
            <w:tcW w:w="0" w:type="auto"/>
          </w:tcPr>
          <w:p w14:paraId="783A08D7" w14:textId="77777777" w:rsidR="0090768F" w:rsidRDefault="00000000">
            <w:pPr>
              <w:pStyle w:val="Compact"/>
            </w:pPr>
            <w:r>
              <w:t xml:space="preserve">ja — CTDPA, 1.7.2023; </w:t>
            </w:r>
            <w:r>
              <w:rPr>
                <w:b/>
                <w:bCs/>
              </w:rPr>
              <w:t>SB 1295 amendments ab 1.7.2026</w:t>
            </w:r>
          </w:p>
        </w:tc>
        <w:tc>
          <w:tcPr>
            <w:tcW w:w="0" w:type="auto"/>
          </w:tcPr>
          <w:p w14:paraId="657218AA" w14:textId="77777777" w:rsidR="0090768F" w:rsidRDefault="00000000">
            <w:pPr>
              <w:pStyle w:val="Compact"/>
            </w:pPr>
            <w:r>
              <w:t>keine spezifische</w:t>
            </w:r>
          </w:p>
        </w:tc>
        <w:tc>
          <w:tcPr>
            <w:tcW w:w="0" w:type="auto"/>
          </w:tcPr>
          <w:p w14:paraId="652915A3" w14:textId="77777777" w:rsidR="0090768F" w:rsidRDefault="00000000">
            <w:pPr>
              <w:pStyle w:val="Compact"/>
            </w:pPr>
            <w:r>
              <w:t>J (allgemein)</w:t>
            </w:r>
          </w:p>
        </w:tc>
      </w:tr>
      <w:tr w:rsidR="0090768F" w14:paraId="72840339" w14:textId="77777777">
        <w:tc>
          <w:tcPr>
            <w:tcW w:w="0" w:type="auto"/>
          </w:tcPr>
          <w:p w14:paraId="6DA10A59" w14:textId="77777777" w:rsidR="0090768F" w:rsidRDefault="00000000">
            <w:pPr>
              <w:pStyle w:val="Compact"/>
            </w:pPr>
            <w:r>
              <w:t>Delaware</w:t>
            </w:r>
          </w:p>
        </w:tc>
        <w:tc>
          <w:tcPr>
            <w:tcW w:w="0" w:type="auto"/>
          </w:tcPr>
          <w:p w14:paraId="5616F8D5" w14:textId="77777777" w:rsidR="0090768F" w:rsidRDefault="00000000">
            <w:pPr>
              <w:pStyle w:val="Compact"/>
            </w:pPr>
            <w:r>
              <w:t>Student Data Privacy Protection Act, 14 Del. C. ch. 81A</w:t>
            </w:r>
          </w:p>
        </w:tc>
        <w:tc>
          <w:tcPr>
            <w:tcW w:w="0" w:type="auto"/>
          </w:tcPr>
          <w:p w14:paraId="4A54F100" w14:textId="77777777" w:rsidR="0090768F" w:rsidRDefault="00000000">
            <w:pPr>
              <w:pStyle w:val="Compact"/>
            </w:pPr>
            <w:r>
              <w:t>ja — DPDPA, 1.1.2025</w:t>
            </w:r>
          </w:p>
        </w:tc>
        <w:tc>
          <w:tcPr>
            <w:tcW w:w="0" w:type="auto"/>
          </w:tcPr>
          <w:p w14:paraId="37AE5CE0" w14:textId="77777777" w:rsidR="0090768F" w:rsidRDefault="00000000">
            <w:pPr>
              <w:pStyle w:val="Compact"/>
            </w:pPr>
            <w:r>
              <w:t>keine</w:t>
            </w:r>
          </w:p>
        </w:tc>
        <w:tc>
          <w:tcPr>
            <w:tcW w:w="0" w:type="auto"/>
          </w:tcPr>
          <w:p w14:paraId="372DC8FA" w14:textId="77777777" w:rsidR="0090768F" w:rsidRDefault="00000000">
            <w:pPr>
              <w:pStyle w:val="Compact"/>
            </w:pPr>
            <w:r>
              <w:t>J (allgemein)</w:t>
            </w:r>
          </w:p>
        </w:tc>
      </w:tr>
      <w:tr w:rsidR="0090768F" w14:paraId="419B4DE6" w14:textId="77777777">
        <w:tc>
          <w:tcPr>
            <w:tcW w:w="0" w:type="auto"/>
          </w:tcPr>
          <w:p w14:paraId="4D7C8AD5" w14:textId="77777777" w:rsidR="0090768F" w:rsidRDefault="00000000">
            <w:pPr>
              <w:pStyle w:val="Compact"/>
            </w:pPr>
            <w:r>
              <w:t>District of Columbia</w:t>
            </w:r>
          </w:p>
        </w:tc>
        <w:tc>
          <w:tcPr>
            <w:tcW w:w="0" w:type="auto"/>
          </w:tcPr>
          <w:p w14:paraId="3DE6E139" w14:textId="77777777" w:rsidR="0090768F" w:rsidRDefault="00000000">
            <w:pPr>
              <w:pStyle w:val="Compact"/>
            </w:pPr>
            <w:r>
              <w:t>Protecting Students Digital Privacy Act, D.C. Code § 38-831.02</w:t>
            </w:r>
          </w:p>
        </w:tc>
        <w:tc>
          <w:tcPr>
            <w:tcW w:w="0" w:type="auto"/>
          </w:tcPr>
          <w:p w14:paraId="5D5B2B5C" w14:textId="77777777" w:rsidR="0090768F" w:rsidRDefault="00000000">
            <w:pPr>
              <w:pStyle w:val="Compact"/>
            </w:pPr>
            <w:r>
              <w:t>nein</w:t>
            </w:r>
          </w:p>
        </w:tc>
        <w:tc>
          <w:tcPr>
            <w:tcW w:w="0" w:type="auto"/>
          </w:tcPr>
          <w:p w14:paraId="0D9B5898" w14:textId="77777777" w:rsidR="0090768F" w:rsidRDefault="00000000">
            <w:pPr>
              <w:pStyle w:val="Compact"/>
            </w:pPr>
            <w:r>
              <w:t>keine</w:t>
            </w:r>
          </w:p>
        </w:tc>
        <w:tc>
          <w:tcPr>
            <w:tcW w:w="0" w:type="auto"/>
          </w:tcPr>
          <w:p w14:paraId="1BA26F7A" w14:textId="77777777" w:rsidR="0090768F" w:rsidRDefault="00000000">
            <w:pPr>
              <w:pStyle w:val="Compact"/>
            </w:pPr>
            <w:r>
              <w:t xml:space="preserve">J — </w:t>
            </w:r>
            <w:r>
              <w:rPr>
                <w:b/>
                <w:bCs/>
              </w:rPr>
              <w:t>OSSE (2.9.2026): Bewertung „mit Vorsicht“; Förderpläne und Disziplin untersagt</w:t>
            </w:r>
          </w:p>
        </w:tc>
      </w:tr>
      <w:tr w:rsidR="0090768F" w14:paraId="0252C885" w14:textId="77777777">
        <w:tc>
          <w:tcPr>
            <w:tcW w:w="0" w:type="auto"/>
          </w:tcPr>
          <w:p w14:paraId="7E083B54" w14:textId="77777777" w:rsidR="0090768F" w:rsidRDefault="00000000">
            <w:pPr>
              <w:pStyle w:val="Compact"/>
            </w:pPr>
            <w:r>
              <w:t>Florida</w:t>
            </w:r>
          </w:p>
        </w:tc>
        <w:tc>
          <w:tcPr>
            <w:tcW w:w="0" w:type="auto"/>
          </w:tcPr>
          <w:p w14:paraId="1CD9105C" w14:textId="77777777" w:rsidR="0090768F" w:rsidRDefault="00000000">
            <w:pPr>
              <w:pStyle w:val="Compact"/>
            </w:pPr>
            <w:r>
              <w:t>Student Online Personal Information Protection Act (HB 662, 2023)</w:t>
            </w:r>
          </w:p>
        </w:tc>
        <w:tc>
          <w:tcPr>
            <w:tcW w:w="0" w:type="auto"/>
          </w:tcPr>
          <w:p w14:paraId="4E55633A" w14:textId="77777777" w:rsidR="0090768F" w:rsidRDefault="00000000">
            <w:pPr>
              <w:pStyle w:val="Compact"/>
            </w:pPr>
            <w:r>
              <w:t>FDBR, 1.7.2024 — nur &gt;1 Mrd. USD Umsatz; nahezu sicher nicht anwendbar</w:t>
            </w:r>
          </w:p>
        </w:tc>
        <w:tc>
          <w:tcPr>
            <w:tcW w:w="0" w:type="auto"/>
          </w:tcPr>
          <w:p w14:paraId="3CCC7EB0" w14:textId="77777777" w:rsidR="0090768F" w:rsidRDefault="00000000">
            <w:pPr>
              <w:pStyle w:val="Compact"/>
            </w:pPr>
            <w:r>
              <w:t xml:space="preserve">keine verabschiedet; </w:t>
            </w:r>
            <w:r>
              <w:rPr>
                <w:b/>
                <w:bCs/>
              </w:rPr>
              <w:t>Abstimmung des State Board am 16.9.2026</w:t>
            </w:r>
          </w:p>
        </w:tc>
        <w:tc>
          <w:tcPr>
            <w:tcW w:w="0" w:type="auto"/>
          </w:tcPr>
          <w:p w14:paraId="0C24FEE2" w14:textId="77777777" w:rsidR="0090768F" w:rsidRDefault="00000000">
            <w:pPr>
              <w:pStyle w:val="Compact"/>
            </w:pPr>
            <w:r>
              <w:t>N laut Tracker</w:t>
            </w:r>
          </w:p>
        </w:tc>
      </w:tr>
      <w:tr w:rsidR="0090768F" w14:paraId="52BC78AF" w14:textId="77777777">
        <w:tc>
          <w:tcPr>
            <w:tcW w:w="0" w:type="auto"/>
          </w:tcPr>
          <w:p w14:paraId="3CE3546F" w14:textId="77777777" w:rsidR="0090768F" w:rsidRDefault="00000000">
            <w:pPr>
              <w:pStyle w:val="Compact"/>
            </w:pPr>
            <w:r>
              <w:t>Georgia</w:t>
            </w:r>
          </w:p>
        </w:tc>
        <w:tc>
          <w:tcPr>
            <w:tcW w:w="0" w:type="auto"/>
          </w:tcPr>
          <w:p w14:paraId="782AF00E" w14:textId="77777777" w:rsidR="0090768F" w:rsidRDefault="00000000">
            <w:pPr>
              <w:pStyle w:val="Compact"/>
            </w:pPr>
            <w:r>
              <w:rPr>
                <w:b/>
                <w:bCs/>
              </w:rPr>
              <w:t>O.C.G.A. §§ 20-2-660–668; § 20-2-666 Anbietergrenzen; 45-Tage-Löschung</w:t>
            </w:r>
          </w:p>
        </w:tc>
        <w:tc>
          <w:tcPr>
            <w:tcW w:w="0" w:type="auto"/>
          </w:tcPr>
          <w:p w14:paraId="22482FBD" w14:textId="77777777" w:rsidR="0090768F" w:rsidRDefault="00000000">
            <w:pPr>
              <w:pStyle w:val="Compact"/>
            </w:pPr>
            <w:r>
              <w:t>nein</w:t>
            </w:r>
          </w:p>
        </w:tc>
        <w:tc>
          <w:tcPr>
            <w:tcW w:w="0" w:type="auto"/>
          </w:tcPr>
          <w:p w14:paraId="465C39CE" w14:textId="77777777" w:rsidR="0090768F" w:rsidRDefault="00000000">
            <w:pPr>
              <w:pStyle w:val="Compact"/>
            </w:pPr>
            <w:r>
              <w:t>SB 179 (Informatik-/KI-Abschlussanforderung)</w:t>
            </w:r>
          </w:p>
        </w:tc>
        <w:tc>
          <w:tcPr>
            <w:tcW w:w="0" w:type="auto"/>
          </w:tcPr>
          <w:p w14:paraId="5B226D00" w14:textId="77777777" w:rsidR="0090768F" w:rsidRDefault="00000000">
            <w:pPr>
              <w:pStyle w:val="Compact"/>
            </w:pPr>
            <w:r>
              <w:t xml:space="preserve">J — </w:t>
            </w:r>
            <w:r>
              <w:rPr>
                <w:b/>
                <w:bCs/>
              </w:rPr>
              <w:t>deutlichste Formulierung: KI nicht zur Bewertung subjektiver Arbeiten einsetzen</w:t>
            </w:r>
          </w:p>
        </w:tc>
      </w:tr>
      <w:tr w:rsidR="0090768F" w14:paraId="5B8E7B4A" w14:textId="77777777">
        <w:tc>
          <w:tcPr>
            <w:tcW w:w="0" w:type="auto"/>
          </w:tcPr>
          <w:p w14:paraId="236EA9B1" w14:textId="77777777" w:rsidR="0090768F" w:rsidRDefault="00000000">
            <w:pPr>
              <w:pStyle w:val="Compact"/>
            </w:pPr>
            <w:r>
              <w:t>Hawaii</w:t>
            </w:r>
          </w:p>
        </w:tc>
        <w:tc>
          <w:tcPr>
            <w:tcW w:w="0" w:type="auto"/>
          </w:tcPr>
          <w:p w14:paraId="6770B627" w14:textId="77777777" w:rsidR="0090768F" w:rsidRDefault="00000000">
            <w:pPr>
              <w:pStyle w:val="Compact"/>
            </w:pPr>
            <w:r>
              <w:t xml:space="preserve">HRS § 302A-500 </w:t>
            </w:r>
            <w:r>
              <w:lastRenderedPageBreak/>
              <w:t>(agg.)</w:t>
            </w:r>
          </w:p>
        </w:tc>
        <w:tc>
          <w:tcPr>
            <w:tcW w:w="0" w:type="auto"/>
          </w:tcPr>
          <w:p w14:paraId="6A08E19D" w14:textId="77777777" w:rsidR="0090768F" w:rsidRDefault="00000000">
            <w:pPr>
              <w:pStyle w:val="Compact"/>
            </w:pPr>
            <w:r>
              <w:lastRenderedPageBreak/>
              <w:t>nein</w:t>
            </w:r>
          </w:p>
        </w:tc>
        <w:tc>
          <w:tcPr>
            <w:tcW w:w="0" w:type="auto"/>
          </w:tcPr>
          <w:p w14:paraId="71C43001" w14:textId="77777777" w:rsidR="0090768F" w:rsidRDefault="00000000">
            <w:pPr>
              <w:pStyle w:val="Compact"/>
            </w:pPr>
            <w:r>
              <w:t xml:space="preserve">SB 2212 (2026, verabschiedet; </w:t>
            </w:r>
            <w:r>
              <w:lastRenderedPageBreak/>
              <w:t>Inhalt unverifiziert)</w:t>
            </w:r>
          </w:p>
        </w:tc>
        <w:tc>
          <w:tcPr>
            <w:tcW w:w="0" w:type="auto"/>
          </w:tcPr>
          <w:p w14:paraId="0E728CC1" w14:textId="77777777" w:rsidR="0090768F" w:rsidRDefault="00000000">
            <w:pPr>
              <w:pStyle w:val="Compact"/>
            </w:pPr>
            <w:r>
              <w:lastRenderedPageBreak/>
              <w:t>J (allgemein)</w:t>
            </w:r>
          </w:p>
        </w:tc>
      </w:tr>
      <w:tr w:rsidR="0090768F" w14:paraId="7E47C985" w14:textId="77777777">
        <w:tc>
          <w:tcPr>
            <w:tcW w:w="0" w:type="auto"/>
          </w:tcPr>
          <w:p w14:paraId="041CA20C" w14:textId="77777777" w:rsidR="0090768F" w:rsidRDefault="00000000">
            <w:pPr>
              <w:pStyle w:val="Compact"/>
            </w:pPr>
            <w:r>
              <w:t>Idaho</w:t>
            </w:r>
          </w:p>
        </w:tc>
        <w:tc>
          <w:tcPr>
            <w:tcW w:w="0" w:type="auto"/>
          </w:tcPr>
          <w:p w14:paraId="598169DE" w14:textId="77777777" w:rsidR="0090768F" w:rsidRDefault="00000000">
            <w:pPr>
              <w:pStyle w:val="Compact"/>
            </w:pPr>
            <w:r>
              <w:t>Idaho Code § 33-133; SB 1372 (2014)</w:t>
            </w:r>
          </w:p>
        </w:tc>
        <w:tc>
          <w:tcPr>
            <w:tcW w:w="0" w:type="auto"/>
          </w:tcPr>
          <w:p w14:paraId="54C75CBD" w14:textId="77777777" w:rsidR="0090768F" w:rsidRDefault="00000000">
            <w:pPr>
              <w:pStyle w:val="Compact"/>
            </w:pPr>
            <w:r>
              <w:t>nein</w:t>
            </w:r>
          </w:p>
        </w:tc>
        <w:tc>
          <w:tcPr>
            <w:tcW w:w="0" w:type="auto"/>
          </w:tcPr>
          <w:p w14:paraId="7F3D987F" w14:textId="77777777" w:rsidR="0090768F" w:rsidRDefault="00000000">
            <w:pPr>
              <w:pStyle w:val="Compact"/>
            </w:pPr>
            <w:r>
              <w:rPr>
                <w:b/>
                <w:bCs/>
              </w:rPr>
              <w:t>SB 1227 (2026)</w:t>
            </w:r>
            <w:r>
              <w:t xml:space="preserve"> — untersagt den Ersatz von Lehrkräften durch KI</w:t>
            </w:r>
          </w:p>
        </w:tc>
        <w:tc>
          <w:tcPr>
            <w:tcW w:w="0" w:type="auto"/>
          </w:tcPr>
          <w:p w14:paraId="7910382B" w14:textId="77777777" w:rsidR="0090768F" w:rsidRDefault="00000000">
            <w:pPr>
              <w:pStyle w:val="Compact"/>
            </w:pPr>
            <w:r>
              <w:t>N</w:t>
            </w:r>
          </w:p>
        </w:tc>
      </w:tr>
      <w:tr w:rsidR="0090768F" w14:paraId="12B126C2" w14:textId="77777777">
        <w:tc>
          <w:tcPr>
            <w:tcW w:w="0" w:type="auto"/>
          </w:tcPr>
          <w:p w14:paraId="230AF5EB" w14:textId="77777777" w:rsidR="0090768F" w:rsidRDefault="00000000">
            <w:pPr>
              <w:pStyle w:val="Compact"/>
            </w:pPr>
            <w:r>
              <w:t>Illinois</w:t>
            </w:r>
          </w:p>
        </w:tc>
        <w:tc>
          <w:tcPr>
            <w:tcW w:w="0" w:type="auto"/>
          </w:tcPr>
          <w:p w14:paraId="768902EC" w14:textId="77777777" w:rsidR="0090768F" w:rsidRDefault="00000000">
            <w:pPr>
              <w:pStyle w:val="Compact"/>
            </w:pPr>
            <w:r>
              <w:rPr>
                <w:b/>
                <w:bCs/>
              </w:rPr>
              <w:t>SOPPA, 105 ILCS 85</w:t>
            </w:r>
            <w:r>
              <w:t xml:space="preserve"> — schriftliche Vereinbarung, 30-Tage-Meldung, öffentliche Veröffentlichung, jährliche Drittanbieterliste; ISSRA (Klagerecht Einzelner)</w:t>
            </w:r>
          </w:p>
        </w:tc>
        <w:tc>
          <w:tcPr>
            <w:tcW w:w="0" w:type="auto"/>
          </w:tcPr>
          <w:p w14:paraId="01420DAD" w14:textId="77777777" w:rsidR="0090768F" w:rsidRDefault="00000000">
            <w:pPr>
              <w:pStyle w:val="Compact"/>
            </w:pPr>
            <w:r>
              <w:rPr>
                <w:b/>
                <w:bCs/>
              </w:rPr>
              <w:t>kein allgemeines Gesetz</w:t>
            </w:r>
            <w:r>
              <w:t xml:space="preserve"> (nur BIPA und SOPPA)</w:t>
            </w:r>
          </w:p>
        </w:tc>
        <w:tc>
          <w:tcPr>
            <w:tcW w:w="0" w:type="auto"/>
          </w:tcPr>
          <w:p w14:paraId="5E1355BA" w14:textId="77777777" w:rsidR="0090768F" w:rsidRDefault="00000000">
            <w:pPr>
              <w:pStyle w:val="Compact"/>
            </w:pPr>
            <w:r>
              <w:t xml:space="preserve">HB 3773 (IHRA, nur Beschäftigung, 1.1.2026); </w:t>
            </w:r>
            <w:r>
              <w:rPr>
                <w:b/>
                <w:bCs/>
              </w:rPr>
              <w:t>BIPA, 740 ILCS 14</w:t>
            </w:r>
          </w:p>
        </w:tc>
        <w:tc>
          <w:tcPr>
            <w:tcW w:w="0" w:type="auto"/>
          </w:tcPr>
          <w:p w14:paraId="26CC9D09" w14:textId="77777777" w:rsidR="0090768F" w:rsidRDefault="00000000">
            <w:pPr>
              <w:pStyle w:val="Compact"/>
            </w:pPr>
            <w:r>
              <w:t>J; Leitlinie des State Board bis 1.7.2026</w:t>
            </w:r>
          </w:p>
        </w:tc>
      </w:tr>
      <w:tr w:rsidR="0090768F" w14:paraId="72B124DA" w14:textId="77777777">
        <w:tc>
          <w:tcPr>
            <w:tcW w:w="0" w:type="auto"/>
          </w:tcPr>
          <w:p w14:paraId="312894B4" w14:textId="77777777" w:rsidR="0090768F" w:rsidRDefault="00000000">
            <w:pPr>
              <w:pStyle w:val="Compact"/>
            </w:pPr>
            <w:r>
              <w:t>Indiana</w:t>
            </w:r>
          </w:p>
        </w:tc>
        <w:tc>
          <w:tcPr>
            <w:tcW w:w="0" w:type="auto"/>
          </w:tcPr>
          <w:p w14:paraId="7CDD8804" w14:textId="77777777" w:rsidR="0090768F" w:rsidRDefault="00000000">
            <w:pPr>
              <w:pStyle w:val="Compact"/>
            </w:pPr>
            <w:r>
              <w:t>keine spezifische (agg.)</w:t>
            </w:r>
          </w:p>
        </w:tc>
        <w:tc>
          <w:tcPr>
            <w:tcW w:w="0" w:type="auto"/>
          </w:tcPr>
          <w:p w14:paraId="59B7FE5B" w14:textId="77777777" w:rsidR="0090768F" w:rsidRDefault="00000000">
            <w:pPr>
              <w:pStyle w:val="Compact"/>
            </w:pPr>
            <w:r>
              <w:t>ja — SB 5, 1.1.2026</w:t>
            </w:r>
          </w:p>
        </w:tc>
        <w:tc>
          <w:tcPr>
            <w:tcW w:w="0" w:type="auto"/>
          </w:tcPr>
          <w:p w14:paraId="02A5E179" w14:textId="77777777" w:rsidR="0090768F" w:rsidRDefault="00000000">
            <w:pPr>
              <w:pStyle w:val="Compact"/>
            </w:pPr>
            <w:r>
              <w:t>keine</w:t>
            </w:r>
          </w:p>
        </w:tc>
        <w:tc>
          <w:tcPr>
            <w:tcW w:w="0" w:type="auto"/>
          </w:tcPr>
          <w:p w14:paraId="30C78E76" w14:textId="77777777" w:rsidR="0090768F" w:rsidRDefault="00000000">
            <w:pPr>
              <w:pStyle w:val="Compact"/>
            </w:pPr>
            <w:r>
              <w:t>J (allgemein)</w:t>
            </w:r>
          </w:p>
        </w:tc>
      </w:tr>
      <w:tr w:rsidR="0090768F" w14:paraId="1A908C04" w14:textId="77777777">
        <w:tc>
          <w:tcPr>
            <w:tcW w:w="0" w:type="auto"/>
          </w:tcPr>
          <w:p w14:paraId="10DFA3D4" w14:textId="77777777" w:rsidR="0090768F" w:rsidRDefault="00000000">
            <w:pPr>
              <w:pStyle w:val="Compact"/>
            </w:pPr>
            <w:r>
              <w:t>Iowa</w:t>
            </w:r>
          </w:p>
        </w:tc>
        <w:tc>
          <w:tcPr>
            <w:tcW w:w="0" w:type="auto"/>
          </w:tcPr>
          <w:p w14:paraId="6E9CAD64" w14:textId="77777777" w:rsidR="0090768F" w:rsidRDefault="00000000">
            <w:pPr>
              <w:pStyle w:val="Compact"/>
            </w:pPr>
            <w:r>
              <w:t>HF 2354 (2018) Anbietergesetz</w:t>
            </w:r>
          </w:p>
        </w:tc>
        <w:tc>
          <w:tcPr>
            <w:tcW w:w="0" w:type="auto"/>
          </w:tcPr>
          <w:p w14:paraId="0BB4CA12" w14:textId="77777777" w:rsidR="0090768F" w:rsidRDefault="00000000">
            <w:pPr>
              <w:pStyle w:val="Compact"/>
            </w:pPr>
            <w:r>
              <w:t>ja — SF 262, 1.1.2025 (kein Profiling-Widerspruch, keine Vertragspflicht)</w:t>
            </w:r>
          </w:p>
        </w:tc>
        <w:tc>
          <w:tcPr>
            <w:tcW w:w="0" w:type="auto"/>
          </w:tcPr>
          <w:p w14:paraId="31B8C804" w14:textId="77777777" w:rsidR="0090768F" w:rsidRDefault="00000000">
            <w:pPr>
              <w:pStyle w:val="Compact"/>
            </w:pPr>
            <w:r>
              <w:t>keine</w:t>
            </w:r>
          </w:p>
        </w:tc>
        <w:tc>
          <w:tcPr>
            <w:tcW w:w="0" w:type="auto"/>
          </w:tcPr>
          <w:p w14:paraId="18DE1321" w14:textId="77777777" w:rsidR="0090768F" w:rsidRDefault="00000000">
            <w:pPr>
              <w:pStyle w:val="Compact"/>
            </w:pPr>
            <w:r>
              <w:t>N</w:t>
            </w:r>
          </w:p>
        </w:tc>
      </w:tr>
      <w:tr w:rsidR="0090768F" w14:paraId="7DF4C2B8" w14:textId="77777777">
        <w:tc>
          <w:tcPr>
            <w:tcW w:w="0" w:type="auto"/>
          </w:tcPr>
          <w:p w14:paraId="365843AE" w14:textId="77777777" w:rsidR="0090768F" w:rsidRDefault="00000000">
            <w:pPr>
              <w:pStyle w:val="Compact"/>
            </w:pPr>
            <w:r>
              <w:t>Kansas</w:t>
            </w:r>
          </w:p>
        </w:tc>
        <w:tc>
          <w:tcPr>
            <w:tcW w:w="0" w:type="auto"/>
          </w:tcPr>
          <w:p w14:paraId="732935F6" w14:textId="77777777" w:rsidR="0090768F" w:rsidRDefault="00000000">
            <w:pPr>
              <w:pStyle w:val="Compact"/>
            </w:pPr>
            <w:r>
              <w:t>Student Data Privacy Act, K.S.A. §§ 72-6312–6320</w:t>
            </w:r>
          </w:p>
        </w:tc>
        <w:tc>
          <w:tcPr>
            <w:tcW w:w="0" w:type="auto"/>
          </w:tcPr>
          <w:p w14:paraId="0F0810B6" w14:textId="77777777" w:rsidR="0090768F" w:rsidRDefault="00000000">
            <w:pPr>
              <w:pStyle w:val="Compact"/>
            </w:pPr>
            <w:r>
              <w:t>nein</w:t>
            </w:r>
          </w:p>
        </w:tc>
        <w:tc>
          <w:tcPr>
            <w:tcW w:w="0" w:type="auto"/>
          </w:tcPr>
          <w:p w14:paraId="4375D0C9" w14:textId="77777777" w:rsidR="0090768F" w:rsidRDefault="00000000">
            <w:pPr>
              <w:pStyle w:val="Compact"/>
            </w:pPr>
            <w:r>
              <w:t>keine</w:t>
            </w:r>
          </w:p>
        </w:tc>
        <w:tc>
          <w:tcPr>
            <w:tcW w:w="0" w:type="auto"/>
          </w:tcPr>
          <w:p w14:paraId="19D7917A" w14:textId="77777777" w:rsidR="0090768F" w:rsidRDefault="00000000">
            <w:pPr>
              <w:pStyle w:val="Compact"/>
            </w:pPr>
            <w:r>
              <w:t>N</w:t>
            </w:r>
          </w:p>
        </w:tc>
      </w:tr>
      <w:tr w:rsidR="0090768F" w14:paraId="5DE4F99C" w14:textId="77777777">
        <w:tc>
          <w:tcPr>
            <w:tcW w:w="0" w:type="auto"/>
          </w:tcPr>
          <w:p w14:paraId="31DEFF09" w14:textId="77777777" w:rsidR="0090768F" w:rsidRDefault="00000000">
            <w:pPr>
              <w:pStyle w:val="Compact"/>
            </w:pPr>
            <w:r>
              <w:t>Kentucky</w:t>
            </w:r>
          </w:p>
        </w:tc>
        <w:tc>
          <w:tcPr>
            <w:tcW w:w="0" w:type="auto"/>
          </w:tcPr>
          <w:p w14:paraId="52EACF37" w14:textId="77777777" w:rsidR="0090768F" w:rsidRDefault="00000000">
            <w:pPr>
              <w:pStyle w:val="Compact"/>
            </w:pPr>
            <w:r>
              <w:t>KRS 365.734 (Cloud-Beschränkung); HB 232 (2014)</w:t>
            </w:r>
          </w:p>
        </w:tc>
        <w:tc>
          <w:tcPr>
            <w:tcW w:w="0" w:type="auto"/>
          </w:tcPr>
          <w:p w14:paraId="151C4DBF" w14:textId="77777777" w:rsidR="0090768F" w:rsidRDefault="00000000">
            <w:pPr>
              <w:pStyle w:val="Compact"/>
            </w:pPr>
            <w:r>
              <w:t>ja — HB 15, 1.1.2026</w:t>
            </w:r>
          </w:p>
        </w:tc>
        <w:tc>
          <w:tcPr>
            <w:tcW w:w="0" w:type="auto"/>
          </w:tcPr>
          <w:p w14:paraId="79DF46EA" w14:textId="77777777" w:rsidR="0090768F" w:rsidRDefault="00000000">
            <w:pPr>
              <w:pStyle w:val="Compact"/>
            </w:pPr>
            <w:r>
              <w:t>keine</w:t>
            </w:r>
          </w:p>
        </w:tc>
        <w:tc>
          <w:tcPr>
            <w:tcW w:w="0" w:type="auto"/>
          </w:tcPr>
          <w:p w14:paraId="05B0777F" w14:textId="77777777" w:rsidR="0090768F" w:rsidRDefault="00000000">
            <w:pPr>
              <w:pStyle w:val="Compact"/>
            </w:pPr>
            <w:r>
              <w:t>J (allgemein)</w:t>
            </w:r>
          </w:p>
        </w:tc>
      </w:tr>
      <w:tr w:rsidR="0090768F" w14:paraId="565DB3C1" w14:textId="77777777">
        <w:tc>
          <w:tcPr>
            <w:tcW w:w="0" w:type="auto"/>
          </w:tcPr>
          <w:p w14:paraId="3448B189" w14:textId="77777777" w:rsidR="0090768F" w:rsidRDefault="00000000">
            <w:pPr>
              <w:pStyle w:val="Compact"/>
            </w:pPr>
            <w:r>
              <w:t>Louisiana</w:t>
            </w:r>
          </w:p>
        </w:tc>
        <w:tc>
          <w:tcPr>
            <w:tcW w:w="0" w:type="auto"/>
          </w:tcPr>
          <w:p w14:paraId="63CFA2C5" w14:textId="77777777" w:rsidR="0090768F" w:rsidRDefault="00000000">
            <w:pPr>
              <w:pStyle w:val="Compact"/>
            </w:pPr>
            <w:r>
              <w:rPr>
                <w:b/>
                <w:bCs/>
              </w:rPr>
              <w:t>La. R.S. 17:3914 — carries criminal/civil penalties</w:t>
            </w:r>
            <w:r>
              <w:t>; HB 946 (2014)</w:t>
            </w:r>
          </w:p>
        </w:tc>
        <w:tc>
          <w:tcPr>
            <w:tcW w:w="0" w:type="auto"/>
          </w:tcPr>
          <w:p w14:paraId="2FA43CC7" w14:textId="77777777" w:rsidR="0090768F" w:rsidRDefault="00000000">
            <w:pPr>
              <w:pStyle w:val="Compact"/>
            </w:pPr>
            <w:r>
              <w:t>nein (verabschiedet; ab 1.1.2027)</w:t>
            </w:r>
          </w:p>
        </w:tc>
        <w:tc>
          <w:tcPr>
            <w:tcW w:w="0" w:type="auto"/>
          </w:tcPr>
          <w:p w14:paraId="4ABC76A2" w14:textId="77777777" w:rsidR="0090768F" w:rsidRDefault="00000000">
            <w:pPr>
              <w:pStyle w:val="Compact"/>
            </w:pPr>
            <w:r>
              <w:t>keine</w:t>
            </w:r>
          </w:p>
        </w:tc>
        <w:tc>
          <w:tcPr>
            <w:tcW w:w="0" w:type="auto"/>
          </w:tcPr>
          <w:p w14:paraId="3B20049C" w14:textId="77777777" w:rsidR="0090768F" w:rsidRDefault="00000000">
            <w:pPr>
              <w:pStyle w:val="Compact"/>
            </w:pPr>
            <w:r>
              <w:t>J (allgemein)</w:t>
            </w:r>
          </w:p>
        </w:tc>
      </w:tr>
      <w:tr w:rsidR="0090768F" w14:paraId="6E7F0DD9" w14:textId="77777777">
        <w:tc>
          <w:tcPr>
            <w:tcW w:w="0" w:type="auto"/>
          </w:tcPr>
          <w:p w14:paraId="63C5E035" w14:textId="77777777" w:rsidR="0090768F" w:rsidRDefault="00000000">
            <w:pPr>
              <w:pStyle w:val="Compact"/>
            </w:pPr>
            <w:r>
              <w:lastRenderedPageBreak/>
              <w:t>Maine</w:t>
            </w:r>
          </w:p>
        </w:tc>
        <w:tc>
          <w:tcPr>
            <w:tcW w:w="0" w:type="auto"/>
          </w:tcPr>
          <w:p w14:paraId="39373D14" w14:textId="77777777" w:rsidR="0090768F" w:rsidRDefault="00000000">
            <w:pPr>
              <w:pStyle w:val="Compact"/>
            </w:pPr>
            <w:r>
              <w:t>Maine Student Information Privacy Act, 20-A M.R.S. § 6005</w:t>
            </w:r>
          </w:p>
        </w:tc>
        <w:tc>
          <w:tcPr>
            <w:tcW w:w="0" w:type="auto"/>
          </w:tcPr>
          <w:p w14:paraId="172EEA5B" w14:textId="77777777" w:rsidR="0090768F" w:rsidRDefault="00000000">
            <w:pPr>
              <w:pStyle w:val="Compact"/>
            </w:pPr>
            <w:r>
              <w:t>nein</w:t>
            </w:r>
          </w:p>
        </w:tc>
        <w:tc>
          <w:tcPr>
            <w:tcW w:w="0" w:type="auto"/>
          </w:tcPr>
          <w:p w14:paraId="7DE16079" w14:textId="77777777" w:rsidR="0090768F" w:rsidRDefault="00000000">
            <w:pPr>
              <w:pStyle w:val="Compact"/>
            </w:pPr>
            <w:r>
              <w:t>keine</w:t>
            </w:r>
          </w:p>
        </w:tc>
        <w:tc>
          <w:tcPr>
            <w:tcW w:w="0" w:type="auto"/>
          </w:tcPr>
          <w:p w14:paraId="4A3F03BC" w14:textId="77777777" w:rsidR="0090768F" w:rsidRDefault="00000000">
            <w:pPr>
              <w:pStyle w:val="Compact"/>
            </w:pPr>
            <w:r>
              <w:t>J — KI soll das menschliche Urteil ergänzen, nicht ersetzen</w:t>
            </w:r>
          </w:p>
        </w:tc>
      </w:tr>
      <w:tr w:rsidR="0090768F" w14:paraId="1A5DB3AD" w14:textId="77777777">
        <w:tc>
          <w:tcPr>
            <w:tcW w:w="0" w:type="auto"/>
          </w:tcPr>
          <w:p w14:paraId="1B4333C6" w14:textId="77777777" w:rsidR="0090768F" w:rsidRDefault="00000000">
            <w:pPr>
              <w:pStyle w:val="Compact"/>
            </w:pPr>
            <w:r>
              <w:t>Maryland</w:t>
            </w:r>
          </w:p>
        </w:tc>
        <w:tc>
          <w:tcPr>
            <w:tcW w:w="0" w:type="auto"/>
          </w:tcPr>
          <w:p w14:paraId="7C25E2CE" w14:textId="77777777" w:rsidR="0090768F" w:rsidRDefault="00000000">
            <w:pPr>
              <w:pStyle w:val="Compact"/>
            </w:pPr>
            <w:r>
              <w:t>Educ. Art. § 4-131; State Fin. &amp; Proc. § 3.5-311</w:t>
            </w:r>
          </w:p>
        </w:tc>
        <w:tc>
          <w:tcPr>
            <w:tcW w:w="0" w:type="auto"/>
          </w:tcPr>
          <w:p w14:paraId="547AFBA9" w14:textId="77777777" w:rsidR="0090768F" w:rsidRDefault="00000000">
            <w:pPr>
              <w:pStyle w:val="Compact"/>
            </w:pPr>
            <w:r>
              <w:t>ja — MODPA, 1.10.2025 (strenge Datenminimierung)</w:t>
            </w:r>
          </w:p>
        </w:tc>
        <w:tc>
          <w:tcPr>
            <w:tcW w:w="0" w:type="auto"/>
          </w:tcPr>
          <w:p w14:paraId="0D1561EE" w14:textId="77777777" w:rsidR="0090768F" w:rsidRDefault="00000000">
            <w:pPr>
              <w:pStyle w:val="Compact"/>
            </w:pPr>
            <w:r>
              <w:rPr>
                <w:b/>
                <w:bCs/>
              </w:rPr>
              <w:t>SB 720 (2026)</w:t>
            </w:r>
            <w:r>
              <w:t xml:space="preserve"> — Bezirks-KI-Richtlinie binnen 120 Tagen nach Landesleitlinie; KI-Koordinator</w:t>
            </w:r>
          </w:p>
        </w:tc>
        <w:tc>
          <w:tcPr>
            <w:tcW w:w="0" w:type="auto"/>
          </w:tcPr>
          <w:p w14:paraId="085AB1A5" w14:textId="77777777" w:rsidR="0090768F" w:rsidRDefault="00000000">
            <w:pPr>
              <w:pStyle w:val="Compact"/>
            </w:pPr>
            <w:r>
              <w:t>J (Landesleitlinie vorgeschrieben)</w:t>
            </w:r>
          </w:p>
        </w:tc>
      </w:tr>
      <w:tr w:rsidR="0090768F" w14:paraId="3EBC9ECB" w14:textId="77777777">
        <w:tc>
          <w:tcPr>
            <w:tcW w:w="0" w:type="auto"/>
          </w:tcPr>
          <w:p w14:paraId="17C2B82F" w14:textId="77777777" w:rsidR="0090768F" w:rsidRDefault="00000000">
            <w:pPr>
              <w:pStyle w:val="Compact"/>
            </w:pPr>
            <w:r>
              <w:t>Massachusetts</w:t>
            </w:r>
          </w:p>
        </w:tc>
        <w:tc>
          <w:tcPr>
            <w:tcW w:w="0" w:type="auto"/>
          </w:tcPr>
          <w:p w14:paraId="2420AFBA" w14:textId="77777777" w:rsidR="0090768F" w:rsidRDefault="00000000">
            <w:pPr>
              <w:pStyle w:val="Compact"/>
            </w:pPr>
            <w:r>
              <w:rPr>
                <w:b/>
                <w:bCs/>
              </w:rPr>
              <w:t>kein Anbietergesetz</w:t>
            </w:r>
            <w:r>
              <w:t xml:space="preserve"> — 603 CMR 23.00, 201 CMR 17.00, M.G.L. c. 93H</w:t>
            </w:r>
          </w:p>
        </w:tc>
        <w:tc>
          <w:tcPr>
            <w:tcW w:w="0" w:type="auto"/>
          </w:tcPr>
          <w:p w14:paraId="15024572" w14:textId="77777777" w:rsidR="0090768F" w:rsidRDefault="00000000">
            <w:pPr>
              <w:pStyle w:val="Compact"/>
            </w:pPr>
            <w:r>
              <w:t>nein</w:t>
            </w:r>
          </w:p>
        </w:tc>
        <w:tc>
          <w:tcPr>
            <w:tcW w:w="0" w:type="auto"/>
          </w:tcPr>
          <w:p w14:paraId="132ED5D9" w14:textId="77777777" w:rsidR="0090768F" w:rsidRDefault="00000000">
            <w:pPr>
              <w:pStyle w:val="Compact"/>
            </w:pPr>
            <w:r>
              <w:t>keine</w:t>
            </w:r>
          </w:p>
        </w:tc>
        <w:tc>
          <w:tcPr>
            <w:tcW w:w="0" w:type="auto"/>
          </w:tcPr>
          <w:p w14:paraId="06CE987D" w14:textId="77777777" w:rsidR="0090768F" w:rsidRDefault="00000000">
            <w:pPr>
              <w:pStyle w:val="Compact"/>
            </w:pPr>
            <w:r>
              <w:t>J — menschliche Aufsicht; rät ausdrücklich von KI-Erkennungswerkzeugen ab</w:t>
            </w:r>
          </w:p>
        </w:tc>
      </w:tr>
      <w:tr w:rsidR="0090768F" w14:paraId="3F05B3BC" w14:textId="77777777">
        <w:tc>
          <w:tcPr>
            <w:tcW w:w="0" w:type="auto"/>
          </w:tcPr>
          <w:p w14:paraId="6524B21A" w14:textId="77777777" w:rsidR="0090768F" w:rsidRDefault="00000000">
            <w:pPr>
              <w:pStyle w:val="Compact"/>
            </w:pPr>
            <w:r>
              <w:t>Michigan</w:t>
            </w:r>
          </w:p>
        </w:tc>
        <w:tc>
          <w:tcPr>
            <w:tcW w:w="0" w:type="auto"/>
          </w:tcPr>
          <w:p w14:paraId="4BD17FEA" w14:textId="77777777" w:rsidR="0090768F" w:rsidRDefault="00000000">
            <w:pPr>
              <w:pStyle w:val="Compact"/>
            </w:pPr>
            <w:r>
              <w:t xml:space="preserve">MCL 380.1136; </w:t>
            </w:r>
            <w:r>
              <w:rPr>
                <w:b/>
                <w:bCs/>
              </w:rPr>
              <w:t>MCL 388.1295</w:t>
            </w:r>
            <w:r>
              <w:t xml:space="preserve"> (Anbietergesetz)</w:t>
            </w:r>
          </w:p>
        </w:tc>
        <w:tc>
          <w:tcPr>
            <w:tcW w:w="0" w:type="auto"/>
          </w:tcPr>
          <w:p w14:paraId="3F250023" w14:textId="77777777" w:rsidR="0090768F" w:rsidRDefault="00000000">
            <w:pPr>
              <w:pStyle w:val="Compact"/>
            </w:pPr>
            <w:r>
              <w:t>nein</w:t>
            </w:r>
          </w:p>
        </w:tc>
        <w:tc>
          <w:tcPr>
            <w:tcW w:w="0" w:type="auto"/>
          </w:tcPr>
          <w:p w14:paraId="0983072D" w14:textId="77777777" w:rsidR="0090768F" w:rsidRDefault="00000000">
            <w:pPr>
              <w:pStyle w:val="Compact"/>
            </w:pPr>
            <w:r>
              <w:t>keine</w:t>
            </w:r>
          </w:p>
        </w:tc>
        <w:tc>
          <w:tcPr>
            <w:tcW w:w="0" w:type="auto"/>
          </w:tcPr>
          <w:p w14:paraId="02B6EF44" w14:textId="77777777" w:rsidR="0090768F" w:rsidRDefault="00000000">
            <w:pPr>
              <w:pStyle w:val="Compact"/>
            </w:pPr>
            <w:r>
              <w:t>J (allgemein)</w:t>
            </w:r>
          </w:p>
        </w:tc>
      </w:tr>
      <w:tr w:rsidR="0090768F" w14:paraId="20450AEB" w14:textId="77777777">
        <w:tc>
          <w:tcPr>
            <w:tcW w:w="0" w:type="auto"/>
          </w:tcPr>
          <w:p w14:paraId="58CCF755" w14:textId="77777777" w:rsidR="0090768F" w:rsidRDefault="00000000">
            <w:pPr>
              <w:pStyle w:val="Compact"/>
            </w:pPr>
            <w:r>
              <w:t>Minnesota</w:t>
            </w:r>
          </w:p>
        </w:tc>
        <w:tc>
          <w:tcPr>
            <w:tcW w:w="0" w:type="auto"/>
          </w:tcPr>
          <w:p w14:paraId="4A396606" w14:textId="77777777" w:rsidR="0090768F" w:rsidRDefault="00000000">
            <w:pPr>
              <w:pStyle w:val="Compact"/>
            </w:pPr>
            <w:r>
              <w:t>Minn. Stat. § 13.32; HF 2353 (2022) Anbieterbeschränkungen</w:t>
            </w:r>
          </w:p>
        </w:tc>
        <w:tc>
          <w:tcPr>
            <w:tcW w:w="0" w:type="auto"/>
          </w:tcPr>
          <w:p w14:paraId="170BCE79" w14:textId="77777777" w:rsidR="0090768F" w:rsidRDefault="00000000">
            <w:pPr>
              <w:pStyle w:val="Compact"/>
            </w:pPr>
            <w:r>
              <w:t xml:space="preserve">ja — MCDPA, 31.7.2025 — </w:t>
            </w:r>
            <w:r>
              <w:rPr>
                <w:b/>
                <w:bCs/>
              </w:rPr>
              <w:t>Erläuterungsrecht bei automatisierter Entscheidung</w:t>
            </w:r>
          </w:p>
        </w:tc>
        <w:tc>
          <w:tcPr>
            <w:tcW w:w="0" w:type="auto"/>
          </w:tcPr>
          <w:p w14:paraId="3AFCA6B7" w14:textId="77777777" w:rsidR="0090768F" w:rsidRDefault="00000000">
            <w:pPr>
              <w:pStyle w:val="Compact"/>
            </w:pPr>
            <w:r>
              <w:t>keine</w:t>
            </w:r>
          </w:p>
        </w:tc>
        <w:tc>
          <w:tcPr>
            <w:tcW w:w="0" w:type="auto"/>
          </w:tcPr>
          <w:p w14:paraId="09947B26" w14:textId="77777777" w:rsidR="0090768F" w:rsidRDefault="00000000">
            <w:pPr>
              <w:pStyle w:val="Compact"/>
            </w:pPr>
            <w:r>
              <w:t>J (allgemein)</w:t>
            </w:r>
          </w:p>
        </w:tc>
      </w:tr>
      <w:tr w:rsidR="0090768F" w14:paraId="4352B00B" w14:textId="77777777">
        <w:tc>
          <w:tcPr>
            <w:tcW w:w="0" w:type="auto"/>
          </w:tcPr>
          <w:p w14:paraId="13C08FFF" w14:textId="77777777" w:rsidR="0090768F" w:rsidRDefault="00000000">
            <w:pPr>
              <w:pStyle w:val="Compact"/>
            </w:pPr>
            <w:r>
              <w:t>Mississippi</w:t>
            </w:r>
          </w:p>
        </w:tc>
        <w:tc>
          <w:tcPr>
            <w:tcW w:w="0" w:type="auto"/>
          </w:tcPr>
          <w:p w14:paraId="5D60ED12" w14:textId="77777777" w:rsidR="0090768F" w:rsidRDefault="00000000">
            <w:pPr>
              <w:pStyle w:val="Compact"/>
            </w:pPr>
            <w:r>
              <w:t>keine spezifische (agg.)</w:t>
            </w:r>
          </w:p>
        </w:tc>
        <w:tc>
          <w:tcPr>
            <w:tcW w:w="0" w:type="auto"/>
          </w:tcPr>
          <w:p w14:paraId="6A73B7A9" w14:textId="77777777" w:rsidR="0090768F" w:rsidRDefault="00000000">
            <w:pPr>
              <w:pStyle w:val="Compact"/>
            </w:pPr>
            <w:r>
              <w:t>nein</w:t>
            </w:r>
          </w:p>
        </w:tc>
        <w:tc>
          <w:tcPr>
            <w:tcW w:w="0" w:type="auto"/>
          </w:tcPr>
          <w:p w14:paraId="7459AC5A" w14:textId="77777777" w:rsidR="0090768F" w:rsidRDefault="00000000">
            <w:pPr>
              <w:pStyle w:val="Compact"/>
            </w:pPr>
            <w:r>
              <w:t>SB 2294 (Informatik-/KI-Leistungspunkt)</w:t>
            </w:r>
          </w:p>
        </w:tc>
        <w:tc>
          <w:tcPr>
            <w:tcW w:w="0" w:type="auto"/>
          </w:tcPr>
          <w:p w14:paraId="2F35F05B" w14:textId="77777777" w:rsidR="0090768F" w:rsidRDefault="00000000">
            <w:pPr>
              <w:pStyle w:val="Compact"/>
            </w:pPr>
            <w:r>
              <w:t>J (allgemein)</w:t>
            </w:r>
          </w:p>
        </w:tc>
      </w:tr>
      <w:tr w:rsidR="0090768F" w14:paraId="38465132" w14:textId="77777777">
        <w:tc>
          <w:tcPr>
            <w:tcW w:w="0" w:type="auto"/>
          </w:tcPr>
          <w:p w14:paraId="56387FCB" w14:textId="77777777" w:rsidR="0090768F" w:rsidRDefault="00000000">
            <w:pPr>
              <w:pStyle w:val="Compact"/>
            </w:pPr>
            <w:r>
              <w:t>Missouri</w:t>
            </w:r>
          </w:p>
        </w:tc>
        <w:tc>
          <w:tcPr>
            <w:tcW w:w="0" w:type="auto"/>
          </w:tcPr>
          <w:p w14:paraId="508B7ADE" w14:textId="77777777" w:rsidR="0090768F" w:rsidRDefault="00000000">
            <w:pPr>
              <w:pStyle w:val="Compact"/>
            </w:pPr>
            <w:r>
              <w:t>RSMo § 161.096; HB 1490 (2014)</w:t>
            </w:r>
          </w:p>
        </w:tc>
        <w:tc>
          <w:tcPr>
            <w:tcW w:w="0" w:type="auto"/>
          </w:tcPr>
          <w:p w14:paraId="11F5749D" w14:textId="77777777" w:rsidR="0090768F" w:rsidRDefault="00000000">
            <w:pPr>
              <w:pStyle w:val="Compact"/>
            </w:pPr>
            <w:r>
              <w:t>nein</w:t>
            </w:r>
          </w:p>
        </w:tc>
        <w:tc>
          <w:tcPr>
            <w:tcW w:w="0" w:type="auto"/>
          </w:tcPr>
          <w:p w14:paraId="108755F9" w14:textId="77777777" w:rsidR="0090768F" w:rsidRDefault="00000000">
            <w:pPr>
              <w:pStyle w:val="Compact"/>
            </w:pPr>
            <w:r>
              <w:t>keine</w:t>
            </w:r>
          </w:p>
        </w:tc>
        <w:tc>
          <w:tcPr>
            <w:tcW w:w="0" w:type="auto"/>
          </w:tcPr>
          <w:p w14:paraId="32F9E802" w14:textId="77777777" w:rsidR="0090768F" w:rsidRDefault="00000000">
            <w:pPr>
              <w:pStyle w:val="Compact"/>
            </w:pPr>
            <w:r>
              <w:t>J (allgemein)</w:t>
            </w:r>
          </w:p>
        </w:tc>
      </w:tr>
      <w:tr w:rsidR="0090768F" w14:paraId="5BAB21F3" w14:textId="77777777">
        <w:tc>
          <w:tcPr>
            <w:tcW w:w="0" w:type="auto"/>
          </w:tcPr>
          <w:p w14:paraId="7CA5B50A" w14:textId="77777777" w:rsidR="0090768F" w:rsidRDefault="00000000">
            <w:pPr>
              <w:pStyle w:val="Compact"/>
            </w:pPr>
            <w:r>
              <w:t>Montana</w:t>
            </w:r>
          </w:p>
        </w:tc>
        <w:tc>
          <w:tcPr>
            <w:tcW w:w="0" w:type="auto"/>
          </w:tcPr>
          <w:p w14:paraId="7C1F4494" w14:textId="77777777" w:rsidR="0090768F" w:rsidRDefault="00000000">
            <w:pPr>
              <w:pStyle w:val="Compact"/>
            </w:pPr>
            <w:r>
              <w:t>Pupil Online Personal Information Protection Act, MCA §§ 20-7-1323–1326</w:t>
            </w:r>
          </w:p>
        </w:tc>
        <w:tc>
          <w:tcPr>
            <w:tcW w:w="0" w:type="auto"/>
          </w:tcPr>
          <w:p w14:paraId="5696DD06" w14:textId="77777777" w:rsidR="0090768F" w:rsidRDefault="00000000">
            <w:pPr>
              <w:pStyle w:val="Compact"/>
            </w:pPr>
            <w:r>
              <w:t>ja — MCDPA, 1.10.2024</w:t>
            </w:r>
          </w:p>
        </w:tc>
        <w:tc>
          <w:tcPr>
            <w:tcW w:w="0" w:type="auto"/>
          </w:tcPr>
          <w:p w14:paraId="74AA0160" w14:textId="77777777" w:rsidR="0090768F" w:rsidRDefault="00000000">
            <w:pPr>
              <w:pStyle w:val="Compact"/>
            </w:pPr>
            <w:r>
              <w:t>keine</w:t>
            </w:r>
          </w:p>
        </w:tc>
        <w:tc>
          <w:tcPr>
            <w:tcW w:w="0" w:type="auto"/>
          </w:tcPr>
          <w:p w14:paraId="3903A3AE" w14:textId="77777777" w:rsidR="0090768F" w:rsidRDefault="00000000">
            <w:pPr>
              <w:pStyle w:val="Compact"/>
            </w:pPr>
            <w:r>
              <w:t>J (allgemein)</w:t>
            </w:r>
          </w:p>
        </w:tc>
      </w:tr>
      <w:tr w:rsidR="0090768F" w14:paraId="4D501931" w14:textId="77777777">
        <w:tc>
          <w:tcPr>
            <w:tcW w:w="0" w:type="auto"/>
          </w:tcPr>
          <w:p w14:paraId="4F425C04" w14:textId="77777777" w:rsidR="0090768F" w:rsidRDefault="00000000">
            <w:pPr>
              <w:pStyle w:val="Compact"/>
            </w:pPr>
            <w:r>
              <w:t>Nebraska</w:t>
            </w:r>
          </w:p>
        </w:tc>
        <w:tc>
          <w:tcPr>
            <w:tcW w:w="0" w:type="auto"/>
          </w:tcPr>
          <w:p w14:paraId="3FD0DF25" w14:textId="77777777" w:rsidR="0090768F" w:rsidRDefault="00000000">
            <w:pPr>
              <w:pStyle w:val="Compact"/>
            </w:pPr>
            <w:r>
              <w:t xml:space="preserve">Neb. Rev. Stat. § 79-2,104; Student Online </w:t>
            </w:r>
            <w:r>
              <w:lastRenderedPageBreak/>
              <w:t>Personal Protection Act (LB 512)</w:t>
            </w:r>
          </w:p>
        </w:tc>
        <w:tc>
          <w:tcPr>
            <w:tcW w:w="0" w:type="auto"/>
          </w:tcPr>
          <w:p w14:paraId="4B0D522D" w14:textId="77777777" w:rsidR="0090768F" w:rsidRDefault="00000000">
            <w:pPr>
              <w:pStyle w:val="Compact"/>
            </w:pPr>
            <w:r>
              <w:lastRenderedPageBreak/>
              <w:t xml:space="preserve">ja — NDPA, 1.1.2025; Age-Appropriate Design </w:t>
            </w:r>
            <w:r>
              <w:lastRenderedPageBreak/>
              <w:t>Code ab 1.1.2026</w:t>
            </w:r>
          </w:p>
        </w:tc>
        <w:tc>
          <w:tcPr>
            <w:tcW w:w="0" w:type="auto"/>
          </w:tcPr>
          <w:p w14:paraId="591669FA" w14:textId="77777777" w:rsidR="0090768F" w:rsidRDefault="00000000">
            <w:pPr>
              <w:pStyle w:val="Compact"/>
            </w:pPr>
            <w:r>
              <w:lastRenderedPageBreak/>
              <w:t>keine</w:t>
            </w:r>
          </w:p>
        </w:tc>
        <w:tc>
          <w:tcPr>
            <w:tcW w:w="0" w:type="auto"/>
          </w:tcPr>
          <w:p w14:paraId="4BEC8FA9" w14:textId="77777777" w:rsidR="0090768F" w:rsidRDefault="00000000">
            <w:pPr>
              <w:pStyle w:val="Compact"/>
            </w:pPr>
            <w:r>
              <w:t>N</w:t>
            </w:r>
          </w:p>
        </w:tc>
      </w:tr>
      <w:tr w:rsidR="0090768F" w14:paraId="0CF1335F" w14:textId="77777777">
        <w:tc>
          <w:tcPr>
            <w:tcW w:w="0" w:type="auto"/>
          </w:tcPr>
          <w:p w14:paraId="14E33BA1" w14:textId="77777777" w:rsidR="0090768F" w:rsidRDefault="00000000">
            <w:pPr>
              <w:pStyle w:val="Compact"/>
            </w:pPr>
            <w:r>
              <w:t>Nevada</w:t>
            </w:r>
          </w:p>
        </w:tc>
        <w:tc>
          <w:tcPr>
            <w:tcW w:w="0" w:type="auto"/>
          </w:tcPr>
          <w:p w14:paraId="6C734642" w14:textId="77777777" w:rsidR="0090768F" w:rsidRDefault="00000000">
            <w:pPr>
              <w:pStyle w:val="Compact"/>
            </w:pPr>
            <w:r>
              <w:t>NRS §§ 388.281–388.295</w:t>
            </w:r>
          </w:p>
        </w:tc>
        <w:tc>
          <w:tcPr>
            <w:tcW w:w="0" w:type="auto"/>
          </w:tcPr>
          <w:p w14:paraId="1D5B49B7" w14:textId="77777777" w:rsidR="0090768F" w:rsidRDefault="00000000">
            <w:pPr>
              <w:pStyle w:val="Compact"/>
            </w:pPr>
            <w:r>
              <w:t>nein</w:t>
            </w:r>
          </w:p>
        </w:tc>
        <w:tc>
          <w:tcPr>
            <w:tcW w:w="0" w:type="auto"/>
          </w:tcPr>
          <w:p w14:paraId="5227AF25" w14:textId="77777777" w:rsidR="0090768F" w:rsidRDefault="00000000">
            <w:pPr>
              <w:pStyle w:val="Compact"/>
            </w:pPr>
            <w:r>
              <w:t>keine</w:t>
            </w:r>
          </w:p>
        </w:tc>
        <w:tc>
          <w:tcPr>
            <w:tcW w:w="0" w:type="auto"/>
          </w:tcPr>
          <w:p w14:paraId="57770B16" w14:textId="77777777" w:rsidR="0090768F" w:rsidRDefault="00000000">
            <w:pPr>
              <w:pStyle w:val="Compact"/>
            </w:pPr>
            <w:r>
              <w:t>J (allgemein)</w:t>
            </w:r>
          </w:p>
        </w:tc>
      </w:tr>
      <w:tr w:rsidR="0090768F" w14:paraId="01AF4F04" w14:textId="77777777">
        <w:tc>
          <w:tcPr>
            <w:tcW w:w="0" w:type="auto"/>
          </w:tcPr>
          <w:p w14:paraId="1C4C77F7" w14:textId="77777777" w:rsidR="0090768F" w:rsidRDefault="00000000">
            <w:pPr>
              <w:pStyle w:val="Compact"/>
            </w:pPr>
            <w:r>
              <w:t>New Hampshire</w:t>
            </w:r>
          </w:p>
        </w:tc>
        <w:tc>
          <w:tcPr>
            <w:tcW w:w="0" w:type="auto"/>
          </w:tcPr>
          <w:p w14:paraId="3CA2F7E7" w14:textId="77777777" w:rsidR="0090768F" w:rsidRDefault="00000000">
            <w:pPr>
              <w:pStyle w:val="Compact"/>
            </w:pPr>
            <w:r>
              <w:t xml:space="preserve">RSA 189:65–189:68; </w:t>
            </w:r>
            <w:r>
              <w:rPr>
                <w:b/>
                <w:bCs/>
              </w:rPr>
              <w:t>RSA 189:68-a</w:t>
            </w:r>
          </w:p>
        </w:tc>
        <w:tc>
          <w:tcPr>
            <w:tcW w:w="0" w:type="auto"/>
          </w:tcPr>
          <w:p w14:paraId="530D2319" w14:textId="77777777" w:rsidR="0090768F" w:rsidRDefault="00000000">
            <w:pPr>
              <w:pStyle w:val="Compact"/>
            </w:pPr>
            <w:r>
              <w:t>ja — NHDPA, 1.1.2025</w:t>
            </w:r>
          </w:p>
        </w:tc>
        <w:tc>
          <w:tcPr>
            <w:tcW w:w="0" w:type="auto"/>
          </w:tcPr>
          <w:p w14:paraId="3A08492E" w14:textId="77777777" w:rsidR="0090768F" w:rsidRDefault="00000000">
            <w:pPr>
              <w:pStyle w:val="Compact"/>
            </w:pPr>
            <w:r>
              <w:t>keine</w:t>
            </w:r>
          </w:p>
        </w:tc>
        <w:tc>
          <w:tcPr>
            <w:tcW w:w="0" w:type="auto"/>
          </w:tcPr>
          <w:p w14:paraId="6AEC2E0B" w14:textId="77777777" w:rsidR="0090768F" w:rsidRDefault="00000000">
            <w:pPr>
              <w:pStyle w:val="Compact"/>
            </w:pPr>
            <w:r>
              <w:t>N</w:t>
            </w:r>
          </w:p>
        </w:tc>
      </w:tr>
      <w:tr w:rsidR="0090768F" w14:paraId="7A01CF58" w14:textId="77777777">
        <w:tc>
          <w:tcPr>
            <w:tcW w:w="0" w:type="auto"/>
          </w:tcPr>
          <w:p w14:paraId="3D76F909" w14:textId="77777777" w:rsidR="0090768F" w:rsidRDefault="00000000">
            <w:pPr>
              <w:pStyle w:val="Compact"/>
            </w:pPr>
            <w:r>
              <w:t>New Jersey</w:t>
            </w:r>
          </w:p>
        </w:tc>
        <w:tc>
          <w:tcPr>
            <w:tcW w:w="0" w:type="auto"/>
          </w:tcPr>
          <w:p w14:paraId="183CAB09" w14:textId="77777777" w:rsidR="0090768F" w:rsidRDefault="00000000">
            <w:pPr>
              <w:pStyle w:val="Compact"/>
            </w:pPr>
            <w:r>
              <w:t>P.L. 2019, c.494 (A4978) — Verkauf von Schülerakten untersagt</w:t>
            </w:r>
          </w:p>
        </w:tc>
        <w:tc>
          <w:tcPr>
            <w:tcW w:w="0" w:type="auto"/>
          </w:tcPr>
          <w:p w14:paraId="6A7A3DCD" w14:textId="77777777" w:rsidR="0090768F" w:rsidRDefault="00000000">
            <w:pPr>
              <w:pStyle w:val="Compact"/>
            </w:pPr>
            <w:r>
              <w:t xml:space="preserve">ja — NJDPA, 15.1.2025 — </w:t>
            </w:r>
            <w:r>
              <w:rPr>
                <w:b/>
                <w:bCs/>
              </w:rPr>
              <w:t>keine datenbezogene FERPA-Ausnahme; keine Gemeinnützigkeitsausnahme</w:t>
            </w:r>
          </w:p>
        </w:tc>
        <w:tc>
          <w:tcPr>
            <w:tcW w:w="0" w:type="auto"/>
          </w:tcPr>
          <w:p w14:paraId="6EA1D0E3" w14:textId="77777777" w:rsidR="0090768F" w:rsidRDefault="00000000">
            <w:pPr>
              <w:pStyle w:val="Compact"/>
            </w:pPr>
            <w:r>
              <w:t>keine</w:t>
            </w:r>
          </w:p>
        </w:tc>
        <w:tc>
          <w:tcPr>
            <w:tcW w:w="0" w:type="auto"/>
          </w:tcPr>
          <w:p w14:paraId="50D7987D" w14:textId="77777777" w:rsidR="0090768F" w:rsidRDefault="00000000">
            <w:pPr>
              <w:pStyle w:val="Compact"/>
            </w:pPr>
            <w:r>
              <w:t>N laut Tracker (widersprüchliche Angaben — vermerkt)</w:t>
            </w:r>
          </w:p>
        </w:tc>
      </w:tr>
      <w:tr w:rsidR="0090768F" w14:paraId="328AC68F" w14:textId="77777777">
        <w:tc>
          <w:tcPr>
            <w:tcW w:w="0" w:type="auto"/>
          </w:tcPr>
          <w:p w14:paraId="327C5E4D" w14:textId="77777777" w:rsidR="0090768F" w:rsidRDefault="00000000">
            <w:pPr>
              <w:pStyle w:val="Compact"/>
            </w:pPr>
            <w:r>
              <w:t>New Mexico</w:t>
            </w:r>
          </w:p>
        </w:tc>
        <w:tc>
          <w:tcPr>
            <w:tcW w:w="0" w:type="auto"/>
          </w:tcPr>
          <w:p w14:paraId="683A8936" w14:textId="77777777" w:rsidR="0090768F" w:rsidRDefault="00000000">
            <w:pPr>
              <w:pStyle w:val="Compact"/>
            </w:pPr>
            <w:r>
              <w:t>keine spezifische (agg.)</w:t>
            </w:r>
          </w:p>
        </w:tc>
        <w:tc>
          <w:tcPr>
            <w:tcW w:w="0" w:type="auto"/>
          </w:tcPr>
          <w:p w14:paraId="28AEC345" w14:textId="77777777" w:rsidR="0090768F" w:rsidRDefault="00000000">
            <w:pPr>
              <w:pStyle w:val="Compact"/>
            </w:pPr>
            <w:r>
              <w:t>nein</w:t>
            </w:r>
          </w:p>
        </w:tc>
        <w:tc>
          <w:tcPr>
            <w:tcW w:w="0" w:type="auto"/>
          </w:tcPr>
          <w:p w14:paraId="5386020F" w14:textId="77777777" w:rsidR="0090768F" w:rsidRDefault="00000000">
            <w:pPr>
              <w:pStyle w:val="Compact"/>
            </w:pPr>
            <w:r>
              <w:t>keine</w:t>
            </w:r>
          </w:p>
        </w:tc>
        <w:tc>
          <w:tcPr>
            <w:tcW w:w="0" w:type="auto"/>
          </w:tcPr>
          <w:p w14:paraId="5709EB0A" w14:textId="77777777" w:rsidR="0090768F" w:rsidRDefault="00000000">
            <w:pPr>
              <w:pStyle w:val="Compact"/>
            </w:pPr>
            <w:r>
              <w:t>J (allgemein)</w:t>
            </w:r>
          </w:p>
        </w:tc>
      </w:tr>
      <w:tr w:rsidR="0090768F" w14:paraId="775B7919" w14:textId="77777777">
        <w:tc>
          <w:tcPr>
            <w:tcW w:w="0" w:type="auto"/>
          </w:tcPr>
          <w:p w14:paraId="10F03352" w14:textId="77777777" w:rsidR="0090768F" w:rsidRDefault="00000000">
            <w:pPr>
              <w:pStyle w:val="Compact"/>
            </w:pPr>
            <w:r>
              <w:t>New York</w:t>
            </w:r>
          </w:p>
        </w:tc>
        <w:tc>
          <w:tcPr>
            <w:tcW w:w="0" w:type="auto"/>
          </w:tcPr>
          <w:p w14:paraId="69ED7C52" w14:textId="77777777" w:rsidR="0090768F" w:rsidRDefault="00000000">
            <w:pPr>
              <w:pStyle w:val="Compact"/>
            </w:pPr>
            <w:r>
              <w:rPr>
                <w:b/>
                <w:bCs/>
              </w:rPr>
              <w:t>Education Law § 2-d + 8 NYCRR Part 121 — strengstes Regime des Landes (§11.3)</w:t>
            </w:r>
          </w:p>
        </w:tc>
        <w:tc>
          <w:tcPr>
            <w:tcW w:w="0" w:type="auto"/>
          </w:tcPr>
          <w:p w14:paraId="56C74415" w14:textId="77777777" w:rsidR="0090768F" w:rsidRDefault="00000000">
            <w:pPr>
              <w:pStyle w:val="Compact"/>
            </w:pPr>
            <w:r>
              <w:t>nein</w:t>
            </w:r>
          </w:p>
        </w:tc>
        <w:tc>
          <w:tcPr>
            <w:tcW w:w="0" w:type="auto"/>
          </w:tcPr>
          <w:p w14:paraId="358BC1DB" w14:textId="77777777" w:rsidR="0090768F" w:rsidRDefault="00000000">
            <w:pPr>
              <w:pStyle w:val="Compact"/>
            </w:pPr>
            <w:r>
              <w:t>RAISE Act (Frontier-Modelle — nicht anwendbar)</w:t>
            </w:r>
          </w:p>
        </w:tc>
        <w:tc>
          <w:tcPr>
            <w:tcW w:w="0" w:type="auto"/>
          </w:tcPr>
          <w:p w14:paraId="4D98BB6F" w14:textId="77777777" w:rsidR="0090768F" w:rsidRDefault="00000000">
            <w:pPr>
              <w:pStyle w:val="Compact"/>
            </w:pPr>
            <w:r>
              <w:t>N landesweit (NYC DOE hat eigene)</w:t>
            </w:r>
          </w:p>
        </w:tc>
      </w:tr>
      <w:tr w:rsidR="0090768F" w14:paraId="09450FDC" w14:textId="77777777">
        <w:tc>
          <w:tcPr>
            <w:tcW w:w="0" w:type="auto"/>
          </w:tcPr>
          <w:p w14:paraId="0B41A3E1" w14:textId="77777777" w:rsidR="0090768F" w:rsidRDefault="00000000">
            <w:pPr>
              <w:pStyle w:val="Compact"/>
            </w:pPr>
            <w:r>
              <w:t>North Carolina</w:t>
            </w:r>
          </w:p>
        </w:tc>
        <w:tc>
          <w:tcPr>
            <w:tcW w:w="0" w:type="auto"/>
          </w:tcPr>
          <w:p w14:paraId="7038A283" w14:textId="77777777" w:rsidR="0090768F" w:rsidRDefault="00000000">
            <w:pPr>
              <w:pStyle w:val="Compact"/>
            </w:pPr>
            <w:r>
              <w:t>G.S. § 115C-401.2</w:t>
            </w:r>
          </w:p>
        </w:tc>
        <w:tc>
          <w:tcPr>
            <w:tcW w:w="0" w:type="auto"/>
          </w:tcPr>
          <w:p w14:paraId="47BF6923" w14:textId="77777777" w:rsidR="0090768F" w:rsidRDefault="00000000">
            <w:pPr>
              <w:pStyle w:val="Compact"/>
            </w:pPr>
            <w:r>
              <w:t>nein</w:t>
            </w:r>
          </w:p>
        </w:tc>
        <w:tc>
          <w:tcPr>
            <w:tcW w:w="0" w:type="auto"/>
          </w:tcPr>
          <w:p w14:paraId="15312CC6" w14:textId="77777777" w:rsidR="0090768F" w:rsidRDefault="00000000">
            <w:pPr>
              <w:pStyle w:val="Compact"/>
            </w:pPr>
            <w:r>
              <w:rPr>
                <w:b/>
                <w:bCs/>
              </w:rPr>
              <w:t>Landesmodellrichtlinie bis 31.12.2026; Bezirksrichtlinien bis 30.6.2027</w:t>
            </w:r>
          </w:p>
        </w:tc>
        <w:tc>
          <w:tcPr>
            <w:tcW w:w="0" w:type="auto"/>
          </w:tcPr>
          <w:p w14:paraId="1A8F5F3B" w14:textId="77777777" w:rsidR="0090768F" w:rsidRDefault="00000000">
            <w:pPr>
              <w:pStyle w:val="Compact"/>
            </w:pPr>
            <w:r>
              <w:t>J — Wahrung des Urteils und der Aufsicht der Lehrkraft</w:t>
            </w:r>
          </w:p>
        </w:tc>
      </w:tr>
      <w:tr w:rsidR="0090768F" w14:paraId="15073805" w14:textId="77777777">
        <w:tc>
          <w:tcPr>
            <w:tcW w:w="0" w:type="auto"/>
          </w:tcPr>
          <w:p w14:paraId="397E31F4" w14:textId="77777777" w:rsidR="0090768F" w:rsidRDefault="00000000">
            <w:pPr>
              <w:pStyle w:val="Compact"/>
            </w:pPr>
            <w:r>
              <w:t>North Dakota</w:t>
            </w:r>
          </w:p>
        </w:tc>
        <w:tc>
          <w:tcPr>
            <w:tcW w:w="0" w:type="auto"/>
          </w:tcPr>
          <w:p w14:paraId="394F3EF9" w14:textId="77777777" w:rsidR="0090768F" w:rsidRDefault="00000000">
            <w:pPr>
              <w:pStyle w:val="Compact"/>
            </w:pPr>
            <w:r>
              <w:t>NDCC § 15.1-07-25.3 (agg.)</w:t>
            </w:r>
          </w:p>
        </w:tc>
        <w:tc>
          <w:tcPr>
            <w:tcW w:w="0" w:type="auto"/>
          </w:tcPr>
          <w:p w14:paraId="302FAE6D" w14:textId="77777777" w:rsidR="0090768F" w:rsidRDefault="00000000">
            <w:pPr>
              <w:pStyle w:val="Compact"/>
            </w:pPr>
            <w:r>
              <w:t>nein</w:t>
            </w:r>
          </w:p>
        </w:tc>
        <w:tc>
          <w:tcPr>
            <w:tcW w:w="0" w:type="auto"/>
          </w:tcPr>
          <w:p w14:paraId="30434884" w14:textId="77777777" w:rsidR="0090768F" w:rsidRDefault="00000000">
            <w:pPr>
              <w:pStyle w:val="Compact"/>
            </w:pPr>
            <w:r>
              <w:t>keine</w:t>
            </w:r>
          </w:p>
        </w:tc>
        <w:tc>
          <w:tcPr>
            <w:tcW w:w="0" w:type="auto"/>
          </w:tcPr>
          <w:p w14:paraId="2041BD48" w14:textId="77777777" w:rsidR="0090768F" w:rsidRDefault="00000000">
            <w:pPr>
              <w:pStyle w:val="Compact"/>
            </w:pPr>
            <w:r>
              <w:t>J (allgemein)</w:t>
            </w:r>
          </w:p>
        </w:tc>
      </w:tr>
      <w:tr w:rsidR="0090768F" w14:paraId="3DE191E7" w14:textId="77777777">
        <w:tc>
          <w:tcPr>
            <w:tcW w:w="0" w:type="auto"/>
          </w:tcPr>
          <w:p w14:paraId="50FCC885" w14:textId="77777777" w:rsidR="0090768F" w:rsidRDefault="00000000">
            <w:pPr>
              <w:pStyle w:val="Compact"/>
            </w:pPr>
            <w:r>
              <w:t>Ohio</w:t>
            </w:r>
          </w:p>
        </w:tc>
        <w:tc>
          <w:tcPr>
            <w:tcW w:w="0" w:type="auto"/>
          </w:tcPr>
          <w:p w14:paraId="0CA572B5" w14:textId="77777777" w:rsidR="0090768F" w:rsidRDefault="00000000">
            <w:pPr>
              <w:pStyle w:val="Compact"/>
            </w:pPr>
            <w:r>
              <w:rPr>
                <w:b/>
                <w:bCs/>
              </w:rPr>
              <w:t>SB 29 (ab Okt. 2024)</w:t>
            </w:r>
            <w:r>
              <w:t xml:space="preserve"> — 90-Tage-Löschung; </w:t>
            </w:r>
            <w:r>
              <w:rPr>
                <w:b/>
                <w:bCs/>
              </w:rPr>
              <w:t>72-Stunden-Elternbenachrichtigung</w:t>
            </w:r>
            <w:r>
              <w:t>; Überwachungsverbot</w:t>
            </w:r>
          </w:p>
        </w:tc>
        <w:tc>
          <w:tcPr>
            <w:tcW w:w="0" w:type="auto"/>
          </w:tcPr>
          <w:p w14:paraId="422E3BCE" w14:textId="77777777" w:rsidR="0090768F" w:rsidRDefault="00000000">
            <w:pPr>
              <w:pStyle w:val="Compact"/>
            </w:pPr>
            <w:r>
              <w:t>nein</w:t>
            </w:r>
          </w:p>
        </w:tc>
        <w:tc>
          <w:tcPr>
            <w:tcW w:w="0" w:type="auto"/>
          </w:tcPr>
          <w:p w14:paraId="02B93491" w14:textId="77777777" w:rsidR="0090768F" w:rsidRDefault="00000000">
            <w:pPr>
              <w:pStyle w:val="Compact"/>
            </w:pPr>
            <w:r>
              <w:rPr>
                <w:b/>
                <w:bCs/>
              </w:rPr>
              <w:t>ORC § 3301.24(B)</w:t>
            </w:r>
            <w:r>
              <w:t xml:space="preserve"> — jeder Bezirk muss eine KI-Richtlinie beschließen bis </w:t>
            </w:r>
            <w:r>
              <w:rPr>
                <w:b/>
                <w:bCs/>
              </w:rPr>
              <w:t>1.7.2026</w:t>
            </w:r>
          </w:p>
        </w:tc>
        <w:tc>
          <w:tcPr>
            <w:tcW w:w="0" w:type="auto"/>
          </w:tcPr>
          <w:p w14:paraId="16225347" w14:textId="77777777" w:rsidR="0090768F" w:rsidRDefault="00000000">
            <w:pPr>
              <w:pStyle w:val="Compact"/>
            </w:pPr>
            <w:r>
              <w:t>J — Landesmodellrichtlinie veröffentlicht</w:t>
            </w:r>
          </w:p>
        </w:tc>
      </w:tr>
      <w:tr w:rsidR="0090768F" w14:paraId="4D2851CE" w14:textId="77777777">
        <w:tc>
          <w:tcPr>
            <w:tcW w:w="0" w:type="auto"/>
          </w:tcPr>
          <w:p w14:paraId="11A723DC" w14:textId="77777777" w:rsidR="0090768F" w:rsidRDefault="00000000">
            <w:pPr>
              <w:pStyle w:val="Compact"/>
            </w:pPr>
            <w:r>
              <w:t>Oklahoma</w:t>
            </w:r>
          </w:p>
        </w:tc>
        <w:tc>
          <w:tcPr>
            <w:tcW w:w="0" w:type="auto"/>
          </w:tcPr>
          <w:p w14:paraId="541779B3" w14:textId="77777777" w:rsidR="0090768F" w:rsidRDefault="00000000">
            <w:pPr>
              <w:pStyle w:val="Compact"/>
            </w:pPr>
            <w:r>
              <w:t>70 O.S. § 3-168</w:t>
            </w:r>
          </w:p>
        </w:tc>
        <w:tc>
          <w:tcPr>
            <w:tcW w:w="0" w:type="auto"/>
          </w:tcPr>
          <w:p w14:paraId="23A4AC82" w14:textId="77777777" w:rsidR="0090768F" w:rsidRDefault="00000000">
            <w:pPr>
              <w:pStyle w:val="Compact"/>
            </w:pPr>
            <w:r>
              <w:t>nein (verabschiedet; ab 1.1.2027)</w:t>
            </w:r>
          </w:p>
        </w:tc>
        <w:tc>
          <w:tcPr>
            <w:tcW w:w="0" w:type="auto"/>
          </w:tcPr>
          <w:p w14:paraId="7F7AC0F4" w14:textId="77777777" w:rsidR="0090768F" w:rsidRDefault="00000000">
            <w:pPr>
              <w:pStyle w:val="Compact"/>
            </w:pPr>
            <w:r>
              <w:rPr>
                <w:b/>
                <w:bCs/>
              </w:rPr>
              <w:t xml:space="preserve">SB 1734, Responsible </w:t>
            </w:r>
            <w:r>
              <w:rPr>
                <w:b/>
                <w:bCs/>
              </w:rPr>
              <w:lastRenderedPageBreak/>
              <w:t>Technology in Schools Act — ab 1.7.2026 (§11.6)</w:t>
            </w:r>
          </w:p>
        </w:tc>
        <w:tc>
          <w:tcPr>
            <w:tcW w:w="0" w:type="auto"/>
          </w:tcPr>
          <w:p w14:paraId="234946A8" w14:textId="77777777" w:rsidR="0090768F" w:rsidRDefault="00000000">
            <w:pPr>
              <w:pStyle w:val="Compact"/>
            </w:pPr>
            <w:r>
              <w:lastRenderedPageBreak/>
              <w:t>J (allgemein)</w:t>
            </w:r>
          </w:p>
        </w:tc>
      </w:tr>
      <w:tr w:rsidR="0090768F" w14:paraId="7DA759BC" w14:textId="77777777">
        <w:tc>
          <w:tcPr>
            <w:tcW w:w="0" w:type="auto"/>
          </w:tcPr>
          <w:p w14:paraId="1ED71D36" w14:textId="77777777" w:rsidR="0090768F" w:rsidRDefault="00000000">
            <w:pPr>
              <w:pStyle w:val="Compact"/>
            </w:pPr>
            <w:r>
              <w:t>Oregon</w:t>
            </w:r>
          </w:p>
        </w:tc>
        <w:tc>
          <w:tcPr>
            <w:tcW w:w="0" w:type="auto"/>
          </w:tcPr>
          <w:p w14:paraId="3D885E22" w14:textId="77777777" w:rsidR="0090768F" w:rsidRDefault="00000000">
            <w:pPr>
              <w:pStyle w:val="Compact"/>
            </w:pPr>
            <w:r>
              <w:t>Oregon Student Information Protection Act (SB 187, 2015)</w:t>
            </w:r>
          </w:p>
        </w:tc>
        <w:tc>
          <w:tcPr>
            <w:tcW w:w="0" w:type="auto"/>
          </w:tcPr>
          <w:p w14:paraId="33901D10" w14:textId="77777777" w:rsidR="0090768F" w:rsidRDefault="00000000">
            <w:pPr>
              <w:pStyle w:val="Compact"/>
            </w:pPr>
            <w:r>
              <w:t>ja — OCPA, 1.7.2024; HB 2008 (Verkaufsverbot unter 16) 1.1.2026</w:t>
            </w:r>
          </w:p>
        </w:tc>
        <w:tc>
          <w:tcPr>
            <w:tcW w:w="0" w:type="auto"/>
          </w:tcPr>
          <w:p w14:paraId="3AB7B911" w14:textId="77777777" w:rsidR="0090768F" w:rsidRDefault="00000000">
            <w:pPr>
              <w:pStyle w:val="Compact"/>
            </w:pPr>
            <w:r>
              <w:t>SB 1546 (Begleit-Chatbots — nicht anwendbar)</w:t>
            </w:r>
          </w:p>
        </w:tc>
        <w:tc>
          <w:tcPr>
            <w:tcW w:w="0" w:type="auto"/>
          </w:tcPr>
          <w:p w14:paraId="35439B3E" w14:textId="77777777" w:rsidR="0090768F" w:rsidRDefault="00000000">
            <w:pPr>
              <w:pStyle w:val="Compact"/>
            </w:pPr>
            <w:r>
              <w:t>J (allgemein)</w:t>
            </w:r>
          </w:p>
        </w:tc>
      </w:tr>
      <w:tr w:rsidR="0090768F" w14:paraId="1C812781" w14:textId="77777777">
        <w:tc>
          <w:tcPr>
            <w:tcW w:w="0" w:type="auto"/>
          </w:tcPr>
          <w:p w14:paraId="182A74B0" w14:textId="77777777" w:rsidR="0090768F" w:rsidRDefault="00000000">
            <w:pPr>
              <w:pStyle w:val="Compact"/>
            </w:pPr>
            <w:r>
              <w:t>Pennsylvania</w:t>
            </w:r>
          </w:p>
        </w:tc>
        <w:tc>
          <w:tcPr>
            <w:tcW w:w="0" w:type="auto"/>
          </w:tcPr>
          <w:p w14:paraId="2FCB534A" w14:textId="77777777" w:rsidR="0090768F" w:rsidRDefault="00000000">
            <w:pPr>
              <w:pStyle w:val="Compact"/>
            </w:pPr>
            <w:r>
              <w:t>keine spezifische — nur Meldegesetz (agg.)</w:t>
            </w:r>
          </w:p>
        </w:tc>
        <w:tc>
          <w:tcPr>
            <w:tcW w:w="0" w:type="auto"/>
          </w:tcPr>
          <w:p w14:paraId="2646FF13" w14:textId="77777777" w:rsidR="0090768F" w:rsidRDefault="00000000">
            <w:pPr>
              <w:pStyle w:val="Compact"/>
            </w:pPr>
            <w:r>
              <w:t>nein</w:t>
            </w:r>
          </w:p>
        </w:tc>
        <w:tc>
          <w:tcPr>
            <w:tcW w:w="0" w:type="auto"/>
          </w:tcPr>
          <w:p w14:paraId="0CB4306E" w14:textId="77777777" w:rsidR="0090768F" w:rsidRDefault="00000000">
            <w:pPr>
              <w:pStyle w:val="Compact"/>
            </w:pPr>
            <w:r>
              <w:t>keine</w:t>
            </w:r>
          </w:p>
        </w:tc>
        <w:tc>
          <w:tcPr>
            <w:tcW w:w="0" w:type="auto"/>
          </w:tcPr>
          <w:p w14:paraId="77B2AC19" w14:textId="77777777" w:rsidR="0090768F" w:rsidRDefault="00000000">
            <w:pPr>
              <w:pStyle w:val="Compact"/>
            </w:pPr>
            <w:r>
              <w:t>N</w:t>
            </w:r>
          </w:p>
        </w:tc>
      </w:tr>
      <w:tr w:rsidR="0090768F" w14:paraId="488A3C94" w14:textId="77777777">
        <w:tc>
          <w:tcPr>
            <w:tcW w:w="0" w:type="auto"/>
          </w:tcPr>
          <w:p w14:paraId="21D55369" w14:textId="77777777" w:rsidR="0090768F" w:rsidRDefault="00000000">
            <w:pPr>
              <w:pStyle w:val="Compact"/>
            </w:pPr>
            <w:r>
              <w:t>Rhode Island</w:t>
            </w:r>
          </w:p>
        </w:tc>
        <w:tc>
          <w:tcPr>
            <w:tcW w:w="0" w:type="auto"/>
          </w:tcPr>
          <w:p w14:paraId="0FEDAAEE" w14:textId="77777777" w:rsidR="0090768F" w:rsidRDefault="00000000">
            <w:pPr>
              <w:pStyle w:val="Compact"/>
            </w:pPr>
            <w:r>
              <w:t>R.I. Gen. Laws tit. 16, ch. 104</w:t>
            </w:r>
          </w:p>
        </w:tc>
        <w:tc>
          <w:tcPr>
            <w:tcW w:w="0" w:type="auto"/>
          </w:tcPr>
          <w:p w14:paraId="2BC32063" w14:textId="77777777" w:rsidR="0090768F" w:rsidRDefault="00000000">
            <w:pPr>
              <w:pStyle w:val="Compact"/>
            </w:pPr>
            <w:r>
              <w:t>ja — RIDTPPA, 1.1.2026</w:t>
            </w:r>
          </w:p>
        </w:tc>
        <w:tc>
          <w:tcPr>
            <w:tcW w:w="0" w:type="auto"/>
          </w:tcPr>
          <w:p w14:paraId="77BE4B15" w14:textId="77777777" w:rsidR="0090768F" w:rsidRDefault="00000000">
            <w:pPr>
              <w:pStyle w:val="Compact"/>
            </w:pPr>
            <w:r>
              <w:t>keine</w:t>
            </w:r>
          </w:p>
        </w:tc>
        <w:tc>
          <w:tcPr>
            <w:tcW w:w="0" w:type="auto"/>
          </w:tcPr>
          <w:p w14:paraId="5A534BA7" w14:textId="77777777" w:rsidR="0090768F" w:rsidRDefault="00000000">
            <w:pPr>
              <w:pStyle w:val="Compact"/>
            </w:pPr>
            <w:r>
              <w:t>J (allgemein)</w:t>
            </w:r>
          </w:p>
        </w:tc>
      </w:tr>
      <w:tr w:rsidR="0090768F" w14:paraId="6E79B1F6" w14:textId="77777777">
        <w:tc>
          <w:tcPr>
            <w:tcW w:w="0" w:type="auto"/>
          </w:tcPr>
          <w:p w14:paraId="7A42DDB7" w14:textId="77777777" w:rsidR="0090768F" w:rsidRDefault="00000000">
            <w:pPr>
              <w:pStyle w:val="Compact"/>
            </w:pPr>
            <w:r>
              <w:t>South Carolina</w:t>
            </w:r>
          </w:p>
        </w:tc>
        <w:tc>
          <w:tcPr>
            <w:tcW w:w="0" w:type="auto"/>
          </w:tcPr>
          <w:p w14:paraId="7240C185" w14:textId="77777777" w:rsidR="0090768F" w:rsidRDefault="00000000">
            <w:pPr>
              <w:pStyle w:val="Compact"/>
            </w:pPr>
            <w:r>
              <w:t>S.C. Code § 59-1-490 (agg.)</w:t>
            </w:r>
          </w:p>
        </w:tc>
        <w:tc>
          <w:tcPr>
            <w:tcW w:w="0" w:type="auto"/>
          </w:tcPr>
          <w:p w14:paraId="394CF7E3" w14:textId="77777777" w:rsidR="0090768F" w:rsidRDefault="00000000">
            <w:pPr>
              <w:pStyle w:val="Compact"/>
            </w:pPr>
            <w:r>
              <w:t>nein</w:t>
            </w:r>
          </w:p>
        </w:tc>
        <w:tc>
          <w:tcPr>
            <w:tcW w:w="0" w:type="auto"/>
          </w:tcPr>
          <w:p w14:paraId="58CEA0F2" w14:textId="77777777" w:rsidR="0090768F" w:rsidRDefault="00000000">
            <w:pPr>
              <w:pStyle w:val="Compact"/>
            </w:pPr>
            <w:r>
              <w:rPr>
                <w:b/>
                <w:bCs/>
              </w:rPr>
              <w:t>H.5253 NUR EINGEBRACHT — nicht verabschiedet</w:t>
            </w:r>
          </w:p>
        </w:tc>
        <w:tc>
          <w:tcPr>
            <w:tcW w:w="0" w:type="auto"/>
          </w:tcPr>
          <w:p w14:paraId="0A0149D2" w14:textId="77777777" w:rsidR="0090768F" w:rsidRDefault="00000000">
            <w:pPr>
              <w:pStyle w:val="Compact"/>
            </w:pPr>
            <w:r>
              <w:t>N</w:t>
            </w:r>
          </w:p>
        </w:tc>
      </w:tr>
      <w:tr w:rsidR="0090768F" w14:paraId="19B63C99" w14:textId="77777777">
        <w:tc>
          <w:tcPr>
            <w:tcW w:w="0" w:type="auto"/>
          </w:tcPr>
          <w:p w14:paraId="4DAD1ECE" w14:textId="77777777" w:rsidR="0090768F" w:rsidRDefault="00000000">
            <w:pPr>
              <w:pStyle w:val="Compact"/>
            </w:pPr>
            <w:r>
              <w:t>South Dakota</w:t>
            </w:r>
          </w:p>
        </w:tc>
        <w:tc>
          <w:tcPr>
            <w:tcW w:w="0" w:type="auto"/>
          </w:tcPr>
          <w:p w14:paraId="0583A92B" w14:textId="77777777" w:rsidR="0090768F" w:rsidRDefault="00000000">
            <w:pPr>
              <w:pStyle w:val="Compact"/>
            </w:pPr>
            <w:r>
              <w:t>SDCL §§ 13-3-51, 13-3-51.1 (agg.)</w:t>
            </w:r>
          </w:p>
        </w:tc>
        <w:tc>
          <w:tcPr>
            <w:tcW w:w="0" w:type="auto"/>
          </w:tcPr>
          <w:p w14:paraId="26FD926A" w14:textId="77777777" w:rsidR="0090768F" w:rsidRDefault="00000000">
            <w:pPr>
              <w:pStyle w:val="Compact"/>
            </w:pPr>
            <w:r>
              <w:t>nein</w:t>
            </w:r>
          </w:p>
        </w:tc>
        <w:tc>
          <w:tcPr>
            <w:tcW w:w="0" w:type="auto"/>
          </w:tcPr>
          <w:p w14:paraId="68E6C466" w14:textId="77777777" w:rsidR="0090768F" w:rsidRDefault="00000000">
            <w:pPr>
              <w:pStyle w:val="Compact"/>
            </w:pPr>
            <w:r>
              <w:t>keine</w:t>
            </w:r>
          </w:p>
        </w:tc>
        <w:tc>
          <w:tcPr>
            <w:tcW w:w="0" w:type="auto"/>
          </w:tcPr>
          <w:p w14:paraId="7809595D" w14:textId="77777777" w:rsidR="0090768F" w:rsidRDefault="00000000">
            <w:pPr>
              <w:pStyle w:val="Compact"/>
            </w:pPr>
            <w:r>
              <w:t>N</w:t>
            </w:r>
          </w:p>
        </w:tc>
      </w:tr>
      <w:tr w:rsidR="0090768F" w14:paraId="300EE6B5" w14:textId="77777777">
        <w:tc>
          <w:tcPr>
            <w:tcW w:w="0" w:type="auto"/>
          </w:tcPr>
          <w:p w14:paraId="7F3F7E23" w14:textId="77777777" w:rsidR="0090768F" w:rsidRDefault="00000000">
            <w:pPr>
              <w:pStyle w:val="Compact"/>
            </w:pPr>
            <w:r>
              <w:t>Tennessee</w:t>
            </w:r>
          </w:p>
        </w:tc>
        <w:tc>
          <w:tcPr>
            <w:tcW w:w="0" w:type="auto"/>
          </w:tcPr>
          <w:p w14:paraId="41D70CA3" w14:textId="77777777" w:rsidR="0090768F" w:rsidRDefault="00000000">
            <w:pPr>
              <w:pStyle w:val="Compact"/>
            </w:pPr>
            <w:r>
              <w:rPr>
                <w:b/>
                <w:bCs/>
              </w:rPr>
              <w:t>T.C.A. §§ 49-1-701–708</w:t>
            </w:r>
            <w:r>
              <w:t>, incl. § 49-1-708</w:t>
            </w:r>
          </w:p>
        </w:tc>
        <w:tc>
          <w:tcPr>
            <w:tcW w:w="0" w:type="auto"/>
          </w:tcPr>
          <w:p w14:paraId="720C8FDF" w14:textId="77777777" w:rsidR="0090768F" w:rsidRDefault="00000000">
            <w:pPr>
              <w:pStyle w:val="Compact"/>
            </w:pPr>
            <w:r>
              <w:t>ja — TIPA, 1.7.2025</w:t>
            </w:r>
          </w:p>
        </w:tc>
        <w:tc>
          <w:tcPr>
            <w:tcW w:w="0" w:type="auto"/>
          </w:tcPr>
          <w:p w14:paraId="66F842DD" w14:textId="77777777" w:rsidR="0090768F" w:rsidRDefault="00000000">
            <w:pPr>
              <w:pStyle w:val="Compact"/>
            </w:pPr>
            <w:r>
              <w:t>Bezirks-KI-Richtlinien und Jahresberichte (Paragraph für Schulbezirke unverifiziert)</w:t>
            </w:r>
          </w:p>
        </w:tc>
        <w:tc>
          <w:tcPr>
            <w:tcW w:w="0" w:type="auto"/>
          </w:tcPr>
          <w:p w14:paraId="5D2A0501" w14:textId="77777777" w:rsidR="0090768F" w:rsidRDefault="00000000">
            <w:pPr>
              <w:pStyle w:val="Compact"/>
            </w:pPr>
            <w:r>
              <w:t>N laut Tracker — widerspricht dem gesetzlichen Auftrag; vermerkt</w:t>
            </w:r>
          </w:p>
        </w:tc>
      </w:tr>
      <w:tr w:rsidR="0090768F" w14:paraId="038722A8" w14:textId="77777777">
        <w:tc>
          <w:tcPr>
            <w:tcW w:w="0" w:type="auto"/>
          </w:tcPr>
          <w:p w14:paraId="46B58472" w14:textId="77777777" w:rsidR="0090768F" w:rsidRDefault="00000000">
            <w:pPr>
              <w:pStyle w:val="Compact"/>
            </w:pPr>
            <w:r>
              <w:t>Texas</w:t>
            </w:r>
          </w:p>
        </w:tc>
        <w:tc>
          <w:tcPr>
            <w:tcW w:w="0" w:type="auto"/>
          </w:tcPr>
          <w:p w14:paraId="3CA6E953" w14:textId="77777777" w:rsidR="0090768F" w:rsidRDefault="00000000">
            <w:pPr>
              <w:pStyle w:val="Compact"/>
            </w:pPr>
            <w:r>
              <w:rPr>
                <w:b/>
                <w:bCs/>
              </w:rPr>
              <w:t>Educ. Code ch. 32, Subchapter D, §§ 32.151–32.156</w:t>
            </w:r>
            <w:r>
              <w:t xml:space="preserve"> (nicht Subch. C); HB 18 (2023)</w:t>
            </w:r>
          </w:p>
        </w:tc>
        <w:tc>
          <w:tcPr>
            <w:tcW w:w="0" w:type="auto"/>
          </w:tcPr>
          <w:p w14:paraId="6A51DBCF" w14:textId="77777777" w:rsidR="0090768F" w:rsidRDefault="00000000">
            <w:pPr>
              <w:pStyle w:val="Compact"/>
            </w:pPr>
            <w:r>
              <w:t>ja — TDPSA, 1.7.2024</w:t>
            </w:r>
          </w:p>
        </w:tc>
        <w:tc>
          <w:tcPr>
            <w:tcW w:w="0" w:type="auto"/>
          </w:tcPr>
          <w:p w14:paraId="616A790D" w14:textId="77777777" w:rsidR="0090768F" w:rsidRDefault="00000000">
            <w:pPr>
              <w:pStyle w:val="Compact"/>
            </w:pPr>
            <w:r>
              <w:rPr>
                <w:b/>
                <w:bCs/>
              </w:rPr>
              <w:t>TRAIGA / HB 149, ab 1.1.2026</w:t>
            </w:r>
            <w:r>
              <w:t xml:space="preserve"> (vorsatzbasierter Diskriminierungsmaßstab); CUBI</w:t>
            </w:r>
          </w:p>
        </w:tc>
        <w:tc>
          <w:tcPr>
            <w:tcW w:w="0" w:type="auto"/>
          </w:tcPr>
          <w:p w14:paraId="4CB2D44B" w14:textId="77777777" w:rsidR="0090768F" w:rsidRDefault="00000000">
            <w:pPr>
              <w:pStyle w:val="Compact"/>
            </w:pPr>
            <w:r>
              <w:t>N</w:t>
            </w:r>
          </w:p>
        </w:tc>
      </w:tr>
      <w:tr w:rsidR="0090768F" w14:paraId="68836770" w14:textId="77777777">
        <w:tc>
          <w:tcPr>
            <w:tcW w:w="0" w:type="auto"/>
          </w:tcPr>
          <w:p w14:paraId="72493F99" w14:textId="77777777" w:rsidR="0090768F" w:rsidRDefault="00000000">
            <w:pPr>
              <w:pStyle w:val="Compact"/>
            </w:pPr>
            <w:r>
              <w:t>Utah</w:t>
            </w:r>
          </w:p>
        </w:tc>
        <w:tc>
          <w:tcPr>
            <w:tcW w:w="0" w:type="auto"/>
          </w:tcPr>
          <w:p w14:paraId="7F19D61A" w14:textId="77777777" w:rsidR="0090768F" w:rsidRDefault="00000000">
            <w:pPr>
              <w:pStyle w:val="Compact"/>
            </w:pPr>
            <w:r>
              <w:rPr>
                <w:b/>
                <w:bCs/>
              </w:rPr>
              <w:t>Student Data Protection Act, Utah Code §§ 53E-9-301 ff., esp. § 53E-9-309; HB 55 (2026), ab 1.7.2026</w:t>
            </w:r>
          </w:p>
        </w:tc>
        <w:tc>
          <w:tcPr>
            <w:tcW w:w="0" w:type="auto"/>
          </w:tcPr>
          <w:p w14:paraId="1D3797A9" w14:textId="77777777" w:rsidR="0090768F" w:rsidRDefault="00000000">
            <w:pPr>
              <w:pStyle w:val="Compact"/>
            </w:pPr>
            <w:r>
              <w:t>ja — UCPA, 31.12.2023; Berichtigungsrecht ergänzt zum 1.7.2026</w:t>
            </w:r>
          </w:p>
        </w:tc>
        <w:tc>
          <w:tcPr>
            <w:tcW w:w="0" w:type="auto"/>
          </w:tcPr>
          <w:p w14:paraId="78C1FDBE" w14:textId="77777777" w:rsidR="0090768F" w:rsidRDefault="00000000">
            <w:pPr>
              <w:pStyle w:val="Compact"/>
            </w:pPr>
            <w:r>
              <w:t xml:space="preserve">AI Policy Act (SB 149, i.d.F. der Änderungen); </w:t>
            </w:r>
            <w:r>
              <w:rPr>
                <w:b/>
                <w:bCs/>
              </w:rPr>
              <w:t>HB 273 (2026)</w:t>
            </w:r>
            <w:r>
              <w:t>; HB 218</w:t>
            </w:r>
          </w:p>
        </w:tc>
        <w:tc>
          <w:tcPr>
            <w:tcW w:w="0" w:type="auto"/>
          </w:tcPr>
          <w:p w14:paraId="45304993" w14:textId="77777777" w:rsidR="0090768F" w:rsidRDefault="00000000">
            <w:pPr>
              <w:pStyle w:val="Compact"/>
            </w:pPr>
            <w:r>
              <w:t>J (allgemein)</w:t>
            </w:r>
          </w:p>
        </w:tc>
      </w:tr>
      <w:tr w:rsidR="0090768F" w14:paraId="5B3C66EC" w14:textId="77777777">
        <w:tc>
          <w:tcPr>
            <w:tcW w:w="0" w:type="auto"/>
          </w:tcPr>
          <w:p w14:paraId="14242821" w14:textId="77777777" w:rsidR="0090768F" w:rsidRDefault="00000000">
            <w:pPr>
              <w:pStyle w:val="Compact"/>
            </w:pPr>
            <w:r>
              <w:lastRenderedPageBreak/>
              <w:t>Vermont</w:t>
            </w:r>
          </w:p>
        </w:tc>
        <w:tc>
          <w:tcPr>
            <w:tcW w:w="0" w:type="auto"/>
          </w:tcPr>
          <w:p w14:paraId="4A2437CE" w14:textId="77777777" w:rsidR="0090768F" w:rsidRDefault="00000000">
            <w:pPr>
              <w:pStyle w:val="Compact"/>
            </w:pPr>
            <w:r>
              <w:t>16 V.S.A. § 2773a (agg.)</w:t>
            </w:r>
          </w:p>
        </w:tc>
        <w:tc>
          <w:tcPr>
            <w:tcW w:w="0" w:type="auto"/>
          </w:tcPr>
          <w:p w14:paraId="6A7DAE0E" w14:textId="77777777" w:rsidR="0090768F" w:rsidRDefault="00000000">
            <w:pPr>
              <w:pStyle w:val="Compact"/>
            </w:pPr>
            <w:r>
              <w:t xml:space="preserve">nein — </w:t>
            </w:r>
            <w:r>
              <w:rPr>
                <w:b/>
                <w:bCs/>
              </w:rPr>
              <w:t>VDPOSA (S.71) ab 1.1.2028</w:t>
            </w:r>
          </w:p>
        </w:tc>
        <w:tc>
          <w:tcPr>
            <w:tcW w:w="0" w:type="auto"/>
          </w:tcPr>
          <w:p w14:paraId="728B2F37" w14:textId="77777777" w:rsidR="0090768F" w:rsidRDefault="00000000">
            <w:pPr>
              <w:pStyle w:val="Compact"/>
            </w:pPr>
            <w:r>
              <w:t>keine</w:t>
            </w:r>
          </w:p>
        </w:tc>
        <w:tc>
          <w:tcPr>
            <w:tcW w:w="0" w:type="auto"/>
          </w:tcPr>
          <w:p w14:paraId="609F52E8" w14:textId="77777777" w:rsidR="0090768F" w:rsidRDefault="00000000">
            <w:pPr>
              <w:pStyle w:val="Compact"/>
            </w:pPr>
            <w:r>
              <w:t>J — Lehrkräfte müssen alle Ausgaben prüfen</w:t>
            </w:r>
          </w:p>
        </w:tc>
      </w:tr>
      <w:tr w:rsidR="0090768F" w14:paraId="442160F4" w14:textId="77777777">
        <w:tc>
          <w:tcPr>
            <w:tcW w:w="0" w:type="auto"/>
          </w:tcPr>
          <w:p w14:paraId="37454101" w14:textId="77777777" w:rsidR="0090768F" w:rsidRDefault="00000000">
            <w:pPr>
              <w:pStyle w:val="Compact"/>
            </w:pPr>
            <w:r>
              <w:t>Virginia</w:t>
            </w:r>
          </w:p>
        </w:tc>
        <w:tc>
          <w:tcPr>
            <w:tcW w:w="0" w:type="auto"/>
          </w:tcPr>
          <w:p w14:paraId="76DB91F6" w14:textId="77777777" w:rsidR="0090768F" w:rsidRDefault="00000000">
            <w:pPr>
              <w:pStyle w:val="Compact"/>
            </w:pPr>
            <w:r>
              <w:rPr>
                <w:b/>
                <w:bCs/>
              </w:rPr>
              <w:t>Va. Code § 22.1-289.01</w:t>
            </w:r>
            <w:r>
              <w:t>; § 22.1-287.02</w:t>
            </w:r>
          </w:p>
        </w:tc>
        <w:tc>
          <w:tcPr>
            <w:tcW w:w="0" w:type="auto"/>
          </w:tcPr>
          <w:p w14:paraId="607B78F6" w14:textId="77777777" w:rsidR="0090768F" w:rsidRDefault="00000000">
            <w:pPr>
              <w:pStyle w:val="Compact"/>
            </w:pPr>
            <w:r>
              <w:t>ja — VCDPA, 1.1.2023</w:t>
            </w:r>
          </w:p>
        </w:tc>
        <w:tc>
          <w:tcPr>
            <w:tcW w:w="0" w:type="auto"/>
          </w:tcPr>
          <w:p w14:paraId="7BDC5319" w14:textId="77777777" w:rsidR="0090768F" w:rsidRDefault="00000000">
            <w:pPr>
              <w:pStyle w:val="Compact"/>
            </w:pPr>
            <w:r>
              <w:rPr>
                <w:b/>
                <w:bCs/>
              </w:rPr>
              <w:t>HB 1186 (2026), ab 1.7.2026</w:t>
            </w:r>
            <w:r>
              <w:t xml:space="preserve"> — Leitlinie muss FERPA, COPPA, Bias und </w:t>
            </w:r>
            <w:r>
              <w:rPr>
                <w:b/>
                <w:bCs/>
              </w:rPr>
              <w:t>folgenreiche Entscheidungen</w:t>
            </w:r>
            <w:r>
              <w:t xml:space="preserve"> adressieren</w:t>
            </w:r>
          </w:p>
        </w:tc>
        <w:tc>
          <w:tcPr>
            <w:tcW w:w="0" w:type="auto"/>
          </w:tcPr>
          <w:p w14:paraId="4E6CEF33" w14:textId="77777777" w:rsidR="0090768F" w:rsidRDefault="00000000">
            <w:pPr>
              <w:pStyle w:val="Compact"/>
            </w:pPr>
            <w:r>
              <w:t>J (allgemein)</w:t>
            </w:r>
          </w:p>
        </w:tc>
      </w:tr>
      <w:tr w:rsidR="0090768F" w14:paraId="13E27A8E" w14:textId="77777777">
        <w:tc>
          <w:tcPr>
            <w:tcW w:w="0" w:type="auto"/>
          </w:tcPr>
          <w:p w14:paraId="4F9139EB" w14:textId="77777777" w:rsidR="0090768F" w:rsidRDefault="00000000">
            <w:pPr>
              <w:pStyle w:val="Compact"/>
            </w:pPr>
            <w:r>
              <w:t>Washington</w:t>
            </w:r>
          </w:p>
        </w:tc>
        <w:tc>
          <w:tcPr>
            <w:tcW w:w="0" w:type="auto"/>
          </w:tcPr>
          <w:p w14:paraId="1167DEF1" w14:textId="77777777" w:rsidR="0090768F" w:rsidRDefault="00000000">
            <w:pPr>
              <w:pStyle w:val="Compact"/>
            </w:pPr>
            <w:r>
              <w:rPr>
                <w:b/>
                <w:bCs/>
              </w:rPr>
              <w:t>Student User Privacy in Education Rights Act, RCW ch. 28A.604</w:t>
            </w:r>
          </w:p>
        </w:tc>
        <w:tc>
          <w:tcPr>
            <w:tcW w:w="0" w:type="auto"/>
          </w:tcPr>
          <w:p w14:paraId="58E06C9C" w14:textId="77777777" w:rsidR="0090768F" w:rsidRDefault="00000000">
            <w:pPr>
              <w:pStyle w:val="Compact"/>
            </w:pPr>
            <w:r>
              <w:t>nein</w:t>
            </w:r>
          </w:p>
        </w:tc>
        <w:tc>
          <w:tcPr>
            <w:tcW w:w="0" w:type="auto"/>
          </w:tcPr>
          <w:p w14:paraId="34B38B31" w14:textId="77777777" w:rsidR="0090768F" w:rsidRDefault="00000000">
            <w:pPr>
              <w:pStyle w:val="Compact"/>
            </w:pPr>
            <w:r>
              <w:t>HB 2225 (Begleit-Chatbots — nicht anwendbar)</w:t>
            </w:r>
          </w:p>
        </w:tc>
        <w:tc>
          <w:tcPr>
            <w:tcW w:w="0" w:type="auto"/>
          </w:tcPr>
          <w:p w14:paraId="66EFAD91" w14:textId="77777777" w:rsidR="0090768F" w:rsidRDefault="00000000">
            <w:pPr>
              <w:pStyle w:val="Compact"/>
            </w:pPr>
            <w:r>
              <w:t>J — „Human–AI–Human“-Modell</w:t>
            </w:r>
          </w:p>
        </w:tc>
      </w:tr>
      <w:tr w:rsidR="0090768F" w14:paraId="56E5E537" w14:textId="77777777">
        <w:tc>
          <w:tcPr>
            <w:tcW w:w="0" w:type="auto"/>
          </w:tcPr>
          <w:p w14:paraId="72845C1F" w14:textId="77777777" w:rsidR="0090768F" w:rsidRDefault="00000000">
            <w:pPr>
              <w:pStyle w:val="Compact"/>
            </w:pPr>
            <w:r>
              <w:t>West Virginia</w:t>
            </w:r>
          </w:p>
        </w:tc>
        <w:tc>
          <w:tcPr>
            <w:tcW w:w="0" w:type="auto"/>
          </w:tcPr>
          <w:p w14:paraId="5ACEF67D" w14:textId="77777777" w:rsidR="0090768F" w:rsidRDefault="00000000">
            <w:pPr>
              <w:pStyle w:val="Compact"/>
            </w:pPr>
            <w:r>
              <w:t>W. Va. Code § 18-2-5h</w:t>
            </w:r>
          </w:p>
        </w:tc>
        <w:tc>
          <w:tcPr>
            <w:tcW w:w="0" w:type="auto"/>
          </w:tcPr>
          <w:p w14:paraId="50D30289" w14:textId="77777777" w:rsidR="0090768F" w:rsidRDefault="00000000">
            <w:pPr>
              <w:pStyle w:val="Compact"/>
            </w:pPr>
            <w:r>
              <w:t>nein</w:t>
            </w:r>
          </w:p>
        </w:tc>
        <w:tc>
          <w:tcPr>
            <w:tcW w:w="0" w:type="auto"/>
          </w:tcPr>
          <w:p w14:paraId="4A15158A" w14:textId="77777777" w:rsidR="0090768F" w:rsidRDefault="00000000">
            <w:pPr>
              <w:pStyle w:val="Compact"/>
            </w:pPr>
            <w:r>
              <w:t xml:space="preserve">HB 5205 (2026) — berichtet: untersagt KI, „independently making high-stakes student decisions“; </w:t>
            </w:r>
            <w:r>
              <w:rPr>
                <w:b/>
                <w:bCs/>
              </w:rPr>
              <w:t>Status unverifiziert</w:t>
            </w:r>
          </w:p>
        </w:tc>
        <w:tc>
          <w:tcPr>
            <w:tcW w:w="0" w:type="auto"/>
          </w:tcPr>
          <w:p w14:paraId="25E82BD2" w14:textId="77777777" w:rsidR="0090768F" w:rsidRDefault="00000000">
            <w:pPr>
              <w:pStyle w:val="Compact"/>
            </w:pPr>
            <w:r>
              <w:t>J (allgemein)</w:t>
            </w:r>
          </w:p>
        </w:tc>
      </w:tr>
      <w:tr w:rsidR="0090768F" w14:paraId="1C740BE9" w14:textId="77777777">
        <w:tc>
          <w:tcPr>
            <w:tcW w:w="0" w:type="auto"/>
          </w:tcPr>
          <w:p w14:paraId="4C974539" w14:textId="77777777" w:rsidR="0090768F" w:rsidRDefault="00000000">
            <w:pPr>
              <w:pStyle w:val="Compact"/>
            </w:pPr>
            <w:r>
              <w:t>Wisconsin</w:t>
            </w:r>
          </w:p>
        </w:tc>
        <w:tc>
          <w:tcPr>
            <w:tcW w:w="0" w:type="auto"/>
          </w:tcPr>
          <w:p w14:paraId="6247782B" w14:textId="77777777" w:rsidR="0090768F" w:rsidRDefault="00000000">
            <w:pPr>
              <w:pStyle w:val="Compact"/>
            </w:pPr>
            <w:r>
              <w:t>Wis. Stat. § 118.125 (Schülerakten)</w:t>
            </w:r>
          </w:p>
        </w:tc>
        <w:tc>
          <w:tcPr>
            <w:tcW w:w="0" w:type="auto"/>
          </w:tcPr>
          <w:p w14:paraId="6AD9E901" w14:textId="77777777" w:rsidR="0090768F" w:rsidRDefault="00000000">
            <w:pPr>
              <w:pStyle w:val="Compact"/>
            </w:pPr>
            <w:r>
              <w:t>nein</w:t>
            </w:r>
          </w:p>
        </w:tc>
        <w:tc>
          <w:tcPr>
            <w:tcW w:w="0" w:type="auto"/>
          </w:tcPr>
          <w:p w14:paraId="44CCADF8" w14:textId="77777777" w:rsidR="0090768F" w:rsidRDefault="00000000">
            <w:pPr>
              <w:pStyle w:val="Compact"/>
            </w:pPr>
            <w:r>
              <w:t>keine</w:t>
            </w:r>
          </w:p>
        </w:tc>
        <w:tc>
          <w:tcPr>
            <w:tcW w:w="0" w:type="auto"/>
          </w:tcPr>
          <w:p w14:paraId="7B3ADE6E" w14:textId="77777777" w:rsidR="0090768F" w:rsidRDefault="00000000">
            <w:pPr>
              <w:pStyle w:val="Compact"/>
            </w:pPr>
            <w:r>
              <w:t>J (allgemein)</w:t>
            </w:r>
          </w:p>
        </w:tc>
      </w:tr>
      <w:tr w:rsidR="0090768F" w14:paraId="4C781649" w14:textId="77777777">
        <w:tc>
          <w:tcPr>
            <w:tcW w:w="0" w:type="auto"/>
          </w:tcPr>
          <w:p w14:paraId="2AF9BD7E" w14:textId="77777777" w:rsidR="0090768F" w:rsidRDefault="00000000">
            <w:pPr>
              <w:pStyle w:val="Compact"/>
            </w:pPr>
            <w:r>
              <w:t>Wyoming</w:t>
            </w:r>
          </w:p>
        </w:tc>
        <w:tc>
          <w:tcPr>
            <w:tcW w:w="0" w:type="auto"/>
          </w:tcPr>
          <w:p w14:paraId="49E74811" w14:textId="77777777" w:rsidR="0090768F" w:rsidRDefault="00000000">
            <w:pPr>
              <w:pStyle w:val="Compact"/>
            </w:pPr>
            <w:r>
              <w:t>keine spezifische (agg.)</w:t>
            </w:r>
          </w:p>
        </w:tc>
        <w:tc>
          <w:tcPr>
            <w:tcW w:w="0" w:type="auto"/>
          </w:tcPr>
          <w:p w14:paraId="48C47DFB" w14:textId="77777777" w:rsidR="0090768F" w:rsidRDefault="00000000">
            <w:pPr>
              <w:pStyle w:val="Compact"/>
            </w:pPr>
            <w:r>
              <w:t>nein</w:t>
            </w:r>
          </w:p>
        </w:tc>
        <w:tc>
          <w:tcPr>
            <w:tcW w:w="0" w:type="auto"/>
          </w:tcPr>
          <w:p w14:paraId="3521DCCD" w14:textId="77777777" w:rsidR="0090768F" w:rsidRDefault="00000000">
            <w:pPr>
              <w:pStyle w:val="Compact"/>
            </w:pPr>
            <w:r>
              <w:t>keine</w:t>
            </w:r>
          </w:p>
        </w:tc>
        <w:tc>
          <w:tcPr>
            <w:tcW w:w="0" w:type="auto"/>
          </w:tcPr>
          <w:p w14:paraId="6F207D69" w14:textId="77777777" w:rsidR="0090768F" w:rsidRDefault="00000000">
            <w:pPr>
              <w:pStyle w:val="Compact"/>
            </w:pPr>
            <w:r>
              <w:t>J (allgemein)</w:t>
            </w:r>
          </w:p>
        </w:tc>
      </w:tr>
    </w:tbl>
    <w:p w14:paraId="35FBD326" w14:textId="77777777" w:rsidR="0090768F" w:rsidRDefault="00000000">
      <w:pPr>
        <w:pStyle w:val="BodyText"/>
      </w:pPr>
      <w:r>
        <w:rPr>
          <w:b/>
          <w:bCs/>
        </w:rPr>
        <w:t>Drei Korrekturen an intern genutzten Trackern.</w:t>
      </w:r>
      <w:r>
        <w:t xml:space="preserve"> Illinois hat </w:t>
      </w:r>
      <w:r>
        <w:rPr>
          <w:b/>
          <w:bCs/>
        </w:rPr>
        <w:t>kein</w:t>
      </w:r>
      <w:r>
        <w:t xml:space="preserve"> allgemeines Verbraucherdatenschutzgesetz (ein intern kursierender Eintrag gehört zu Indianas SB 5). Das für Arkansas behauptete allgemeine Gesetz wird vom IAPP-Tracker nicht geführt und ist als nicht in Kraft zu behandeln; nachweisbar hat Arkansas ein Kinder- und Jugendonlinedatenschutzgesetz mit Änderungen zum 1. Juli 2026. Und South Carolina H.5253 wird von mindestens einem Tracker als verabschiedet geführt, die Seite des Parlaments weist jedoch Einbringung am 24. Februar 2026 und Verbleib im Ausschuss aus — die Primärquelle gilt, und wir sollten nicht darauf planen.</w:t>
      </w:r>
    </w:p>
    <w:p w14:paraId="18E03079" w14:textId="77777777" w:rsidR="0090768F" w:rsidRDefault="00000000">
      <w:pPr>
        <w:pStyle w:val="Heading2"/>
      </w:pPr>
      <w:bookmarkStart w:id="188" w:name="X232f19e624f1fd0cb11c3f875ed81bfe28ec9aa"/>
      <w:bookmarkStart w:id="189" w:name="_Toc240060425"/>
      <w:bookmarkEnd w:id="178"/>
      <w:bookmarkEnd w:id="187"/>
      <w:r>
        <w:lastRenderedPageBreak/>
        <w:t>12. Konsolidierte Produkt- und Compliance-Anforderungen</w:t>
      </w:r>
      <w:bookmarkEnd w:id="189"/>
    </w:p>
    <w:p w14:paraId="6BB0595D" w14:textId="77777777" w:rsidR="0090768F" w:rsidRDefault="00000000">
      <w:pPr>
        <w:pStyle w:val="FirstParagraph"/>
      </w:pPr>
      <w:r>
        <w:t xml:space="preserve">Abgeleitet aus allen drei Rechtsräumen, nach Priorität. Bemerkenswert ist, wie viel davon </w:t>
      </w:r>
      <w:r>
        <w:rPr>
          <w:b/>
          <w:bCs/>
        </w:rPr>
        <w:t>dieselbe</w:t>
      </w:r>
      <w:r>
        <w:t xml:space="preserve"> Anforderung auf verschiedenen Wegen ist — was das Argument für einmaliges statt marktspezifisches Bauen liefert.</w:t>
      </w:r>
    </w:p>
    <w:p w14:paraId="67612298" w14:textId="77777777" w:rsidR="0090768F" w:rsidRDefault="00000000">
      <w:pPr>
        <w:pStyle w:val="Heading3"/>
      </w:pPr>
      <w:bookmarkStart w:id="190" w:name="nicht-verhandelbar"/>
      <w:r>
        <w:t>12.1 Nicht verhandelbar</w:t>
      </w:r>
    </w:p>
    <w:p w14:paraId="14790AF2" w14:textId="77777777" w:rsidR="0090768F" w:rsidRDefault="00000000">
      <w:pPr>
        <w:pStyle w:val="Compact"/>
        <w:numPr>
          <w:ilvl w:val="0"/>
          <w:numId w:val="46"/>
        </w:numPr>
      </w:pPr>
      <w:r>
        <w:rPr>
          <w:b/>
          <w:bCs/>
        </w:rPr>
        <w:t>Keine automatische, Massen- oder Timeout-Übernahme — in keinem Markt.</w:t>
      </w:r>
      <w:r>
        <w:t xml:space="preserve"> Einzelprüfung mit </w:t>
      </w:r>
      <w:r>
        <w:rPr>
          <w:b/>
          <w:bCs/>
        </w:rPr>
        <w:t>Arbeit und Vorschlag nebeneinander</w:t>
      </w:r>
      <w:r>
        <w:t xml:space="preserve">, und keine Note eintragbar ohne sichtbare Arbeit. Erfüllt: Art. 22 DSGVO/WP251; den DSK-Maßstab des tatsächlichen Entscheidungsspielraums; das BVerwG-Gebot der persönlichen, unmittelbaren und vollständigen Kenntnisnahme; Art. 22A UK und die entscheidungsbezogene Anforderung des ICO-Entwurfs; die JCQ-Vorgabe </w:t>
      </w:r>
      <w:r>
        <w:rPr>
          <w:i/>
          <w:iCs/>
        </w:rPr>
        <w:t>„review all the work in its entirety”</w:t>
      </w:r>
      <w:r>
        <w:t>; den kalifornischen ADMT-Safe-Harbour; Colorados aussagekräftige menschliche Prüfung; und Oklahoma SB 1734.</w:t>
      </w:r>
    </w:p>
    <w:p w14:paraId="02A5A4B5" w14:textId="77777777" w:rsidR="0090768F" w:rsidRDefault="00000000">
      <w:pPr>
        <w:pStyle w:val="Compact"/>
        <w:numPr>
          <w:ilvl w:val="0"/>
          <w:numId w:val="46"/>
        </w:numPr>
      </w:pPr>
      <w:r>
        <w:rPr>
          <w:b/>
          <w:bCs/>
        </w:rPr>
        <w:t>Von der Lehrkraft erstellte Bewertungsraster.</w:t>
      </w:r>
      <w:r>
        <w:t xml:space="preserve"> Das Modell wendet das Raster des Prüfers an; es liefert keines. Gefordert durch die deutsche Doktrin des autonomen Bezugssystems und überall sonst hilfreich.</w:t>
      </w:r>
    </w:p>
    <w:p w14:paraId="27AC6F79" w14:textId="77777777" w:rsidR="0090768F" w:rsidRDefault="00000000">
      <w:pPr>
        <w:pStyle w:val="Compact"/>
        <w:numPr>
          <w:ilvl w:val="0"/>
          <w:numId w:val="46"/>
        </w:numPr>
      </w:pPr>
      <w:r>
        <w:rPr>
          <w:b/>
          <w:bCs/>
        </w:rPr>
        <w:t>Deterministische, reproduzierbare Bewertung über einen Stapel.</w:t>
      </w:r>
      <w:r>
        <w:t xml:space="preserve"> Ein Modell, das dieselbe Arbeit in zwei Durchläufen unterschiedlich bewertet, erzeugt einen Chancengleichheitsmangel nach Art. 3 Abs. 1 GG und einen Richtigkeitsmangel nach Art. 5 Abs. 1 Buchst. d DSGVO und Art. 15 KI-VO. Eine Engineering-Vorgabe verfassungsrechtlichen Ursprungs.</w:t>
      </w:r>
    </w:p>
    <w:p w14:paraId="1D3D45E2" w14:textId="77777777" w:rsidR="0090768F" w:rsidRDefault="00000000">
      <w:pPr>
        <w:pStyle w:val="Compact"/>
        <w:numPr>
          <w:ilvl w:val="0"/>
          <w:numId w:val="46"/>
        </w:numPr>
      </w:pPr>
      <w:r>
        <w:rPr>
          <w:b/>
          <w:bCs/>
        </w:rPr>
        <w:t>Modelltraining auf Kundeninhalten standardmäßig AUS</w:t>
      </w:r>
      <w:r>
        <w:t xml:space="preserve">, mandantenweise schaltbar, vertraglich und technisch durchgesetzt. Gefordert oder nahegelegt durch: Zweckbindung und EDSA-Stellungnahme 28/2024; FERPA § 99.33(a)(2); COPPA § 312.10; kalifornisches SOPIPA; den IP-Standard des DfE und dessen veröffentlichtes Beispiel einer Schule, die genau deswegen einen Anbieter ablehnt; und die ICO-EdTech-Befunde. Stattdessen ein begrenztes, freiwilliges </w:t>
      </w:r>
      <w:r>
        <w:rPr>
          <w:b/>
          <w:bCs/>
        </w:rPr>
        <w:t>Validierungs-/Kalibrierungsinstrument</w:t>
      </w:r>
      <w:r>
        <w:t xml:space="preserve"> anbieten (FERPA § 99.31(a)(6) ist das sauberste Vehikel).</w:t>
      </w:r>
    </w:p>
    <w:p w14:paraId="52AEC02C" w14:textId="77777777" w:rsidR="0090768F" w:rsidRDefault="00000000">
      <w:pPr>
        <w:pStyle w:val="Compact"/>
        <w:numPr>
          <w:ilvl w:val="0"/>
          <w:numId w:val="46"/>
        </w:numPr>
      </w:pPr>
      <w:r>
        <w:rPr>
          <w:b/>
          <w:bCs/>
        </w:rPr>
        <w:t>EU-/UK-Datenresidenz als Option und Zero-Retention-Modellendpunkte.</w:t>
      </w:r>
      <w:r>
        <w:t xml:space="preserve"> So konstruieren, dass kein Angemessenheitsbeschluss tragend ist.</w:t>
      </w:r>
    </w:p>
    <w:p w14:paraId="150F465B" w14:textId="77777777" w:rsidR="0090768F" w:rsidRDefault="00000000">
      <w:pPr>
        <w:pStyle w:val="Compact"/>
        <w:numPr>
          <w:ilvl w:val="0"/>
          <w:numId w:val="46"/>
        </w:numPr>
      </w:pPr>
      <w:r>
        <w:rPr>
          <w:b/>
          <w:bCs/>
        </w:rPr>
        <w:t>Prüfpfad je Arbeit, dauerhaft und exportierbar:</w:t>
      </w:r>
      <w:r>
        <w:t xml:space="preserve"> Originalscan, Rasterversion, Modellversion, Vorschlag und Begründung, Änderungen der Lehrkraft, Endnote und Gründe, Prüferidentität und Zeitstempel sowie die Angabe, ob der Vorschlag geändert wurde. Dieses eine Artefakt beantwortet Art. 12 KI-VO, das Überdenkensverfahren, die Frage der aussagekräftigen Prüfung nach Art. 22, die US-Akkreditierung und „regular and substantive interaction” sowie jede Datenschutzprüfung eines Schulbezirks.</w:t>
      </w:r>
    </w:p>
    <w:p w14:paraId="060AD9E5" w14:textId="77777777" w:rsidR="0090768F" w:rsidRDefault="00000000">
      <w:pPr>
        <w:pStyle w:val="Compact"/>
        <w:numPr>
          <w:ilvl w:val="0"/>
          <w:numId w:val="46"/>
        </w:numPr>
      </w:pPr>
      <w:r>
        <w:rPr>
          <w:b/>
          <w:bCs/>
        </w:rPr>
        <w:t>Gemessene Änderungs- und Abweichungsquoten — ausschließlich aggregiert.</w:t>
      </w:r>
      <w:r>
        <w:t xml:space="preserve"> Das wertvollste Compliance-Artefakt und zugleich das gefährlichste bei Offenlegung je Lehrkraft (Mitbestimmung). Aggregiert, k-anonymisiert, bei der Einführung abschaltbar.</w:t>
      </w:r>
    </w:p>
    <w:p w14:paraId="6955C895" w14:textId="77777777" w:rsidR="0090768F" w:rsidRDefault="00000000">
      <w:pPr>
        <w:pStyle w:val="Compact"/>
        <w:numPr>
          <w:ilvl w:val="0"/>
          <w:numId w:val="46"/>
        </w:numPr>
      </w:pPr>
      <w:r>
        <w:rPr>
          <w:b/>
          <w:bCs/>
        </w:rPr>
        <w:lastRenderedPageBreak/>
        <w:t>Kalibrierte Konfidenz, nie unbegründete Sicherheit.</w:t>
      </w:r>
      <w:r>
        <w:t xml:space="preserve"> Gefordert durch den DfE-Manipulationsstandard für lehrkraftseitige Produkte. Positionen niedriger Konfidenz zwingend markieren; eine Note nie als feststehend darstellen.</w:t>
      </w:r>
    </w:p>
    <w:p w14:paraId="1AFCE448" w14:textId="77777777" w:rsidR="0090768F" w:rsidRDefault="00000000">
      <w:pPr>
        <w:pStyle w:val="Compact"/>
        <w:numPr>
          <w:ilvl w:val="0"/>
          <w:numId w:val="46"/>
        </w:numPr>
      </w:pPr>
      <w:r>
        <w:rPr>
          <w:b/>
          <w:bCs/>
        </w:rPr>
        <w:t>Umgang mit besonderen Kategorien.</w:t>
      </w:r>
      <w:r>
        <w:t xml:space="preserve"> Davon ausgehen, dass Arbeiten Art.-9-Daten enthalten. Keinen Pfad zulassen, auf dem eine ausschließlich automatisierte erhebliche Entscheidung über solche Daten erfolgen kann (Art. 22B UK). Felder besonderer Kategorien optional und standardmäßig deaktiviert.</w:t>
      </w:r>
    </w:p>
    <w:p w14:paraId="72CE6410" w14:textId="77777777" w:rsidR="0090768F" w:rsidRDefault="00000000">
      <w:pPr>
        <w:pStyle w:val="Compact"/>
        <w:numPr>
          <w:ilvl w:val="0"/>
          <w:numId w:val="46"/>
        </w:numPr>
      </w:pPr>
      <w:r>
        <w:rPr>
          <w:b/>
          <w:bCs/>
        </w:rPr>
        <w:t>Schülerbezogene Rasteranpassung</w:t>
      </w:r>
      <w:r>
        <w:t>, belegbar. Ohne sie kann das Produkt weder einen 504-Plan noch einen SEND-Nachteilsausgleich noch einen deutschen Nachteilsausgleich umsetzen.</w:t>
      </w:r>
    </w:p>
    <w:p w14:paraId="72E1A5B5" w14:textId="77777777" w:rsidR="0090768F" w:rsidRDefault="00000000">
      <w:pPr>
        <w:pStyle w:val="Compact"/>
        <w:numPr>
          <w:ilvl w:val="0"/>
          <w:numId w:val="46"/>
        </w:numPr>
      </w:pPr>
      <w:r>
        <w:rPr>
          <w:b/>
          <w:bCs/>
        </w:rPr>
        <w:t>Getippte Arbeiten identisch bewerten wie handschriftliche</w:t>
      </w:r>
      <w:r>
        <w:t xml:space="preserve"> — Schreibkraft oder Textverarbeitung sind ein Nachteilsausgleich, keine andere Prüfung.</w:t>
      </w:r>
    </w:p>
    <w:p w14:paraId="559F002C" w14:textId="77777777" w:rsidR="0090768F" w:rsidRDefault="00000000">
      <w:pPr>
        <w:pStyle w:val="Compact"/>
        <w:numPr>
          <w:ilvl w:val="0"/>
          <w:numId w:val="46"/>
        </w:numPr>
      </w:pPr>
      <w:r>
        <w:rPr>
          <w:b/>
          <w:bCs/>
        </w:rPr>
        <w:t>Konfidenzuntergrenze bei der Transkription.</w:t>
      </w:r>
      <w:r>
        <w:t xml:space="preserve"> Arbeiten unterhalb der Schwelle nie bewerten, sondern mit Originalbild an die Lehrkraft leiten.</w:t>
      </w:r>
    </w:p>
    <w:p w14:paraId="4FD675B8" w14:textId="77777777" w:rsidR="0090768F" w:rsidRDefault="00000000">
      <w:pPr>
        <w:pStyle w:val="Compact"/>
        <w:numPr>
          <w:ilvl w:val="0"/>
          <w:numId w:val="46"/>
        </w:numPr>
      </w:pPr>
      <w:r>
        <w:rPr>
          <w:b/>
          <w:bCs/>
        </w:rPr>
        <w:t>Harte architektonische Sperren</w:t>
      </w:r>
      <w:r>
        <w:t xml:space="preserve">, im Code und in der Roadmap-Governance durchgesetzt, nicht als Policy: </w:t>
      </w:r>
      <w:r>
        <w:rPr>
          <w:b/>
          <w:bCs/>
        </w:rPr>
        <w:t>keine Emotions- oder Affektableitung</w:t>
      </w:r>
      <w:r>
        <w:t xml:space="preserve"> (Art. 5 Abs. 1 Buchst. f KI-VO, verboten, Stufe 35 Mio. €/7 %; PPRA Kategorie 2); </w:t>
      </w:r>
      <w:r>
        <w:rPr>
          <w:b/>
          <w:bCs/>
        </w:rPr>
        <w:t>keine Verarbeitung von Gesichtsgeometrie</w:t>
      </w:r>
      <w:r>
        <w:t xml:space="preserve"> (BIPA); </w:t>
      </w:r>
      <w:r>
        <w:rPr>
          <w:b/>
          <w:bCs/>
        </w:rPr>
        <w:t>keine Schreiberverifikation oder handschriftbasierte Identifikation</w:t>
      </w:r>
      <w:r>
        <w:t xml:space="preserve"> ohne vollständige Neubewertung nach Art. 9 DSGVO und KI-VO-Biometrie; </w:t>
      </w:r>
      <w:r>
        <w:rPr>
          <w:b/>
          <w:bCs/>
        </w:rPr>
        <w:t>kein schülerseitiger Inhaltsaustausch und keine Live-Websuche</w:t>
      </w:r>
      <w:r>
        <w:t xml:space="preserve"> (UK Online Safety Act); </w:t>
      </w:r>
      <w:r>
        <w:rPr>
          <w:b/>
          <w:bCs/>
        </w:rPr>
        <w:t>kein Leistungsreporting je Lehrkraft</w:t>
      </w:r>
      <w:r>
        <w:t xml:space="preserve"> als Standard.</w:t>
      </w:r>
    </w:p>
    <w:p w14:paraId="716EF699" w14:textId="77777777" w:rsidR="0090768F" w:rsidRDefault="00000000">
      <w:pPr>
        <w:pStyle w:val="Compact"/>
        <w:numPr>
          <w:ilvl w:val="0"/>
          <w:numId w:val="46"/>
        </w:numPr>
      </w:pPr>
      <w:r>
        <w:rPr>
          <w:b/>
          <w:bCs/>
        </w:rPr>
        <w:t>Barrierefreiheit nach EN 301 549 / WCAG 2.1 AA</w:t>
      </w:r>
      <w:r>
        <w:t>, mit aktuellem VPAT. Alternativen für eingescannte Bilder als Nicht-Text-Inhalte; keine Information allein über Farbe.</w:t>
      </w:r>
    </w:p>
    <w:p w14:paraId="48F734DB" w14:textId="77777777" w:rsidR="0090768F" w:rsidRDefault="00000000">
      <w:pPr>
        <w:pStyle w:val="Heading3"/>
      </w:pPr>
      <w:bookmarkStart w:id="191" w:name="hochwertige-differenzierungsmerkmale"/>
      <w:bookmarkEnd w:id="190"/>
      <w:r>
        <w:t>12.2 Hochwertige Differenzierungsmerkmale</w:t>
      </w:r>
    </w:p>
    <w:p w14:paraId="4EB39757" w14:textId="77777777" w:rsidR="0090768F" w:rsidRDefault="00000000">
      <w:pPr>
        <w:pStyle w:val="Compact"/>
        <w:numPr>
          <w:ilvl w:val="0"/>
          <w:numId w:val="47"/>
        </w:numPr>
      </w:pPr>
      <w:r>
        <w:rPr>
          <w:b/>
          <w:bCs/>
        </w:rPr>
        <w:t>Stratifizierte Fairness-Nachweise</w:t>
      </w:r>
      <w:r>
        <w:t xml:space="preserve"> nach Lesbarkeitsklasse, EAL-/Erstsprachstatus, SEND-/Nachteilsausgleichsstatus und, soweit rechtlich zulässig, ethnischer Herkunft — plus ein mandantenbezogenes Disparitäts-Dashboard. So erfüllt eine britische Schule die Public Sector Equality Duty, so beantwortet ein US-Bezirk Title-VI- und 504-Fragen, und so beantwortet ein Landesministerium die von der KMK benannte </w:t>
      </w:r>
      <w:r>
        <w:rPr>
          <w:i/>
          <w:iCs/>
        </w:rPr>
        <w:t>Gefahr von Diskriminierung durch Bias</w:t>
      </w:r>
      <w:r>
        <w:t xml:space="preserve">. </w:t>
      </w:r>
      <w:r>
        <w:rPr>
          <w:b/>
          <w:bCs/>
        </w:rPr>
        <w:t>Art. 4a KI-VO liefert nun die unionsrechtliche Grundlage für die dafür nötige Verarbeitung geschützter Merkmale.</w:t>
      </w:r>
      <w:r>
        <w:t xml:space="preserve"> Kein Wettbewerber wird das haben.</w:t>
      </w:r>
    </w:p>
    <w:p w14:paraId="5AC1C004" w14:textId="77777777" w:rsidR="0090768F" w:rsidRDefault="00000000">
      <w:pPr>
        <w:pStyle w:val="Compact"/>
        <w:numPr>
          <w:ilvl w:val="0"/>
          <w:numId w:val="47"/>
        </w:numPr>
      </w:pPr>
      <w:r>
        <w:rPr>
          <w:b/>
          <w:bCs/>
        </w:rPr>
        <w:t>Kombiniertes DSFA/GRFA-Paket</w:t>
      </w:r>
      <w:r>
        <w:t xml:space="preserve">, als Risiko </w:t>
      </w:r>
      <w:r>
        <w:rPr>
          <w:b/>
          <w:bCs/>
        </w:rPr>
        <w:t>für Kinder</w:t>
      </w:r>
      <w:r>
        <w:t xml:space="preserve"> statt als Organisationsrisiko formuliert, ausdrücklich vorgesehen durch den geänderten Art. 27 Abs. 4 KI-VO und erheblich aufgewertet durch § 14 KI-MIG, der das Unterlassen der GRFA für unseren Kunden bußgeldbewehrt macht.</w:t>
      </w:r>
    </w:p>
    <w:p w14:paraId="55F04A5E" w14:textId="77777777" w:rsidR="0090768F" w:rsidRDefault="00000000">
      <w:pPr>
        <w:pStyle w:val="Compact"/>
        <w:numPr>
          <w:ilvl w:val="0"/>
          <w:numId w:val="47"/>
        </w:numPr>
      </w:pPr>
      <w:r>
        <w:rPr>
          <w:b/>
          <w:bCs/>
        </w:rPr>
        <w:t>Personalratspaket und Entwurf einer Dienstvereinbarung.</w:t>
      </w:r>
      <w:r>
        <w:t xml:space="preserve"> Die Mitbestimmung ist bei einem deutschen Rollout häufig der längste Balken, und Personalräte stimmen einem Entwurf weit schneller zu.</w:t>
      </w:r>
    </w:p>
    <w:p w14:paraId="7E61EE15" w14:textId="77777777" w:rsidR="0090768F" w:rsidRDefault="00000000">
      <w:pPr>
        <w:pStyle w:val="Compact"/>
        <w:numPr>
          <w:ilvl w:val="0"/>
          <w:numId w:val="47"/>
        </w:numPr>
      </w:pPr>
      <w:r>
        <w:rPr>
          <w:b/>
          <w:bCs/>
        </w:rPr>
        <w:t>KI-Kompetenz-Schulungsmodul</w:t>
      </w:r>
      <w:r>
        <w:t xml:space="preserve">, mitgeliefert, zu Fähigkeiten, Grenzen und </w:t>
      </w:r>
      <w:r>
        <w:rPr>
          <w:b/>
          <w:bCs/>
        </w:rPr>
        <w:t>Automation Bias</w:t>
      </w:r>
      <w:r>
        <w:t xml:space="preserve">. Ein Artefakt erfüllt Art. 4 KI-VO, belegt Art. 14 Abs. 4 Buchst. a–b, </w:t>
      </w:r>
      <w:r>
        <w:lastRenderedPageBreak/>
        <w:t>stützt die Kompetenz nach Art. 26 Abs. 2 und erfüllt das Kompetenzmerkmal aus WP251.</w:t>
      </w:r>
    </w:p>
    <w:p w14:paraId="0DF79817" w14:textId="77777777" w:rsidR="0090768F" w:rsidRDefault="00000000">
      <w:pPr>
        <w:pStyle w:val="Compact"/>
        <w:numPr>
          <w:ilvl w:val="0"/>
          <w:numId w:val="47"/>
        </w:numPr>
      </w:pPr>
      <w:r>
        <w:rPr>
          <w:b/>
          <w:bCs/>
        </w:rPr>
        <w:t>Veröffentlichte klauselweise Selbstauskunft zu den DfE Generative AI product safety standards.</w:t>
      </w:r>
      <w:r>
        <w:t xml:space="preserve"> Es gibt kein Zertifizierungsschema; die Erstveröffentlichung ist das Differenzierungsmerkmal.</w:t>
      </w:r>
    </w:p>
    <w:p w14:paraId="6E925297" w14:textId="77777777" w:rsidR="0090768F" w:rsidRDefault="00000000">
      <w:pPr>
        <w:pStyle w:val="Compact"/>
        <w:numPr>
          <w:ilvl w:val="0"/>
          <w:numId w:val="47"/>
        </w:numPr>
      </w:pPr>
      <w:r>
        <w:rPr>
          <w:b/>
          <w:bCs/>
        </w:rPr>
        <w:t>Forschung zum Bias der Handschrifttranskription.</w:t>
      </w:r>
      <w:r>
        <w:t xml:space="preserve"> Dazu wurde nichts veröffentlicht. Es ist unser spezifisches Risiko und wäre ein glaubwürdiger, belastbarer Beitrag.</w:t>
      </w:r>
    </w:p>
    <w:p w14:paraId="7E775972" w14:textId="77777777" w:rsidR="0090768F" w:rsidRDefault="00000000">
      <w:pPr>
        <w:pStyle w:val="Compact"/>
        <w:numPr>
          <w:ilvl w:val="0"/>
          <w:numId w:val="47"/>
        </w:numPr>
      </w:pPr>
      <w:r>
        <w:rPr>
          <w:b/>
          <w:bCs/>
        </w:rPr>
        <w:t>Freiwilliger ATRS-Transparenzdatensatz</w:t>
      </w:r>
      <w:r>
        <w:t xml:space="preserve"> für britische öffentliche Käufer.</w:t>
      </w:r>
    </w:p>
    <w:p w14:paraId="43AF6E83" w14:textId="77777777" w:rsidR="0090768F" w:rsidRDefault="00000000">
      <w:pPr>
        <w:pStyle w:val="Compact"/>
        <w:numPr>
          <w:ilvl w:val="0"/>
          <w:numId w:val="47"/>
        </w:numPr>
      </w:pPr>
      <w:r>
        <w:rPr>
          <w:b/>
          <w:bCs/>
        </w:rPr>
        <w:t>Qualitätsmanagementsystem nach ISO/IEC 42001</w:t>
      </w:r>
      <w:r>
        <w:t>, intern als Nachweis und nicht als Konformität bezeichnet.</w:t>
      </w:r>
    </w:p>
    <w:p w14:paraId="3C2F7A6C" w14:textId="77777777" w:rsidR="0090768F" w:rsidRDefault="00000000">
      <w:pPr>
        <w:pStyle w:val="Heading3"/>
      </w:pPr>
      <w:bookmarkStart w:id="192" w:name="kommerziell-und-vertraglich"/>
      <w:bookmarkEnd w:id="191"/>
      <w:r>
        <w:t>12.3 Kommerziell und vertraglich</w:t>
      </w:r>
    </w:p>
    <w:p w14:paraId="04784B1E" w14:textId="77777777" w:rsidR="0090768F" w:rsidRDefault="00000000">
      <w:pPr>
        <w:pStyle w:val="Compact"/>
        <w:numPr>
          <w:ilvl w:val="0"/>
          <w:numId w:val="48"/>
        </w:numPr>
      </w:pPr>
      <w:r>
        <w:rPr>
          <w:b/>
          <w:bCs/>
        </w:rPr>
        <w:t>Zwei ausdrücklich getrennte Produktstufen:</w:t>
      </w:r>
      <w:r>
        <w:t xml:space="preserve"> eine </w:t>
      </w:r>
      <w:r>
        <w:rPr>
          <w:i/>
          <w:iCs/>
        </w:rPr>
        <w:t>Vorbereitungsstufe</w:t>
      </w:r>
      <w:r>
        <w:t xml:space="preserve"> (Lehrkraft-direkt, nur synthetisches oder anonymes Material, Upload von Schülerdaten technisch gesperrt) und eine </w:t>
      </w:r>
      <w:r>
        <w:rPr>
          <w:i/>
          <w:iCs/>
        </w:rPr>
        <w:t>Korrekturassistenz-Stufe</w:t>
      </w:r>
      <w:r>
        <w:t xml:space="preserve"> (institutioneller Vertrag, vollständiger Compliance-Stack).</w:t>
      </w:r>
    </w:p>
    <w:p w14:paraId="15E67520" w14:textId="77777777" w:rsidR="0090768F" w:rsidRDefault="00000000">
      <w:pPr>
        <w:pStyle w:val="Compact"/>
        <w:numPr>
          <w:ilvl w:val="0"/>
          <w:numId w:val="48"/>
        </w:numPr>
      </w:pPr>
      <w:r>
        <w:rPr>
          <w:b/>
          <w:bCs/>
        </w:rPr>
        <w:t>Ausdrückliche Position: nicht für die Bewertung regulierter Abschlüsse</w:t>
      </w:r>
      <w:r>
        <w:t xml:space="preserve"> (UK), mit harter Produktsperre.</w:t>
      </w:r>
    </w:p>
    <w:p w14:paraId="4527FB15" w14:textId="77777777" w:rsidR="0090768F" w:rsidRDefault="00000000">
      <w:pPr>
        <w:pStyle w:val="Compact"/>
        <w:numPr>
          <w:ilvl w:val="0"/>
          <w:numId w:val="48"/>
        </w:numPr>
      </w:pPr>
      <w:r>
        <w:rPr>
          <w:b/>
          <w:bCs/>
        </w:rPr>
        <w:t>Modellagnostische Architektur</w:t>
      </w:r>
      <w:r>
        <w:t>, lauffähig gegen das LLM eines Landes — weil die KMK erklärt hat, dass die Länder die Modellebene selbst stellen wollen.</w:t>
      </w:r>
    </w:p>
    <w:p w14:paraId="29D81FC9" w14:textId="77777777" w:rsidR="0090768F" w:rsidRDefault="00000000">
      <w:pPr>
        <w:pStyle w:val="Compact"/>
        <w:numPr>
          <w:ilvl w:val="0"/>
          <w:numId w:val="48"/>
        </w:numPr>
      </w:pPr>
      <w:r>
        <w:rPr>
          <w:b/>
          <w:bCs/>
        </w:rPr>
        <w:t>Vorab festgelegter Rahmen für Modellaktualisierungen in der Anhang-IV-Dokumentation</w:t>
      </w:r>
      <w:r>
        <w:t>, damit ein Modellwechsel nicht automatisch eine wesentliche Änderung mit Neubewertung auslöst.</w:t>
      </w:r>
    </w:p>
    <w:p w14:paraId="63481C9D" w14:textId="77777777" w:rsidR="0090768F" w:rsidRDefault="00000000">
      <w:pPr>
        <w:pStyle w:val="Compact"/>
        <w:numPr>
          <w:ilvl w:val="0"/>
          <w:numId w:val="48"/>
        </w:numPr>
      </w:pPr>
      <w:r>
        <w:rPr>
          <w:b/>
          <w:bCs/>
        </w:rPr>
        <w:t>Vertragsschluss über das SDPC NDPA v2.2 mit sorgfältig umrissenem Exhibit E</w:t>
      </w:r>
      <w:r>
        <w:t>, mit staatsspezifischen Anlagen für NY, CT, IL, CO, CA, TX, OH und UT. Utah-Verträge brauchen ein sanktionsfreies gesetzliches Kündigungsrecht; Verträge in Connecticut werden binnen fünf Werktagen öffentlich, kommerziell sensible Bedingungen gehören daher in ein gesondertes Instrument.</w:t>
      </w:r>
    </w:p>
    <w:p w14:paraId="607E8E85" w14:textId="77777777" w:rsidR="0090768F" w:rsidRDefault="00000000">
      <w:pPr>
        <w:pStyle w:val="Compact"/>
        <w:numPr>
          <w:ilvl w:val="0"/>
          <w:numId w:val="48"/>
        </w:numPr>
      </w:pPr>
      <w:r>
        <w:rPr>
          <w:b/>
          <w:bCs/>
        </w:rPr>
        <w:t>Globales Incident-Response-SLA nach der kürzesten Frist:</w:t>
      </w:r>
      <w:r>
        <w:t xml:space="preserve"> Ohios 72-Stunden-Elternbenachrichtigung und New Yorks 7-Tage-Meldung, mit der 15-Tage-Frist des Art. 73 KI-VO im selben Runbook.</w:t>
      </w:r>
    </w:p>
    <w:p w14:paraId="722E7C33" w14:textId="77777777" w:rsidR="0090768F" w:rsidRDefault="00000000">
      <w:pPr>
        <w:pStyle w:val="Compact"/>
        <w:numPr>
          <w:ilvl w:val="0"/>
          <w:numId w:val="48"/>
        </w:numPr>
      </w:pPr>
      <w:r>
        <w:rPr>
          <w:b/>
          <w:bCs/>
        </w:rPr>
        <w:t>Technologie-E&amp;O-Versicherung mit ausdrücklicher KI-Erweiterung</w:t>
      </w:r>
      <w:r>
        <w:t>, geprüft auf Deckung von Ansprüchen aus der Modellausgabe.</w:t>
      </w:r>
    </w:p>
    <w:p w14:paraId="7C5FA257" w14:textId="77777777" w:rsidR="0090768F" w:rsidRDefault="00000000">
      <w:pPr>
        <w:pStyle w:val="Heading2"/>
      </w:pPr>
      <w:bookmarkStart w:id="193" w:name="empfohlenes-vorgehen"/>
      <w:bookmarkStart w:id="194" w:name="_Toc240060426"/>
      <w:bookmarkEnd w:id="188"/>
      <w:bookmarkEnd w:id="192"/>
      <w:r>
        <w:t>13. Empfohlenes Vorgehen</w:t>
      </w:r>
      <w:bookmarkEnd w:id="194"/>
    </w:p>
    <w:p w14:paraId="7BE3E082" w14:textId="77777777" w:rsidR="0090768F" w:rsidRDefault="00000000">
      <w:pPr>
        <w:pStyle w:val="FirstParagraph"/>
      </w:pPr>
      <w:r>
        <w:rPr>
          <w:b/>
          <w:bCs/>
        </w:rPr>
        <w:t>Die strategische Lage in einem Absatz.</w:t>
      </w:r>
      <w:r>
        <w:t xml:space="preserve"> Das deutsche Recht hat die Tür geschlossen, die wir nicht brauchen, und die offen gelassen, die wir brauchen. Die vollautomatisierte Benotung ist durch § 35a VwVfG und die Einordnung als hoheitlicher Verwaltungsakt dauerhaft und für alle verschlossen — sagen wir es zuerst, und der Vorwurf, dem das Produkt am häufigsten ausgesetzt ist, verschwindet. Offen bleibt genau und namentlich das, was die Bildungsministerkonferenz am 10. Oktober 2024 befürwortet hat: </w:t>
      </w:r>
      <w:r>
        <w:rPr>
          <w:i/>
          <w:iCs/>
        </w:rPr>
        <w:t>Vorkorrektur</w:t>
      </w:r>
      <w:r>
        <w:t xml:space="preserve">, </w:t>
      </w:r>
      <w:r>
        <w:rPr>
          <w:i/>
          <w:iCs/>
        </w:rPr>
        <w:t>Korrekturassistenz</w:t>
      </w:r>
      <w:r>
        <w:t xml:space="preserve">, ein </w:t>
      </w:r>
      <w:r>
        <w:rPr>
          <w:i/>
          <w:iCs/>
        </w:rPr>
        <w:t>Entscheidungsunterstützungssystem</w:t>
      </w:r>
      <w:r>
        <w:t xml:space="preserve">, mit der abschließenden Bewertung beim Prüfenden. Dieselbe Architektur erfüllt Art. 22A und JCQ im Vereinigten </w:t>
      </w:r>
      <w:r>
        <w:lastRenderedPageBreak/>
        <w:t xml:space="preserve">Königreich, den kalifornischen ADMT-Safe-Harbour, Colorados Prüfpflicht und das Gesetz Oklahomas. </w:t>
      </w:r>
      <w:r>
        <w:rPr>
          <w:b/>
          <w:bCs/>
        </w:rPr>
        <w:t>Einmal bauen.</w:t>
      </w:r>
      <w:r>
        <w:t xml:space="preserve"> Das eigentliche Compliance-Produkt ist nicht das Modell, sondern der </w:t>
      </w:r>
      <w:r>
        <w:rPr>
          <w:b/>
          <w:bCs/>
        </w:rPr>
        <w:t>Nachweis</w:t>
      </w:r>
      <w:r>
        <w:t>: von Lehrkräften erstellte Raster, deterministische Bewertung, ein Prüfpfad je Arbeit und gemessene Abweichungsquoten, die den von der DSK geforderten Entscheidungsspielraum belegen und die von ihr untersagte lediglich formelle Beteiligung widerlegen.</w:t>
      </w:r>
    </w:p>
    <w:p w14:paraId="7028D3A2" w14:textId="77777777" w:rsidR="0090768F" w:rsidRDefault="00000000">
      <w:pPr>
        <w:pStyle w:val="BodyText"/>
      </w:pPr>
      <w:r>
        <w:rPr>
          <w:b/>
          <w:bCs/>
        </w:rPr>
        <w:t>Sechs jetzt zu treffende Entscheidungen.</w:t>
      </w:r>
    </w:p>
    <w:p w14:paraId="694BEA28" w14:textId="77777777" w:rsidR="0090768F" w:rsidRDefault="00000000">
      <w:pPr>
        <w:pStyle w:val="Compact"/>
        <w:numPr>
          <w:ilvl w:val="0"/>
          <w:numId w:val="49"/>
        </w:numPr>
      </w:pPr>
      <w:r>
        <w:rPr>
          <w:b/>
          <w:bCs/>
        </w:rPr>
        <w:t>Die Deck-Folie nach §2 neu fassen</w:t>
      </w:r>
      <w:r>
        <w:t>, vor dem nächsten Investoren- oder Ministeriumstermin. „Seek exception” durch eine positive Compliance-Position ersetzen, „Category 4”/„System 4” streichen und die Pseudonymisierungsaussage umformulieren. Der aktuelle Wortlaut kostet Glaubwürdigkeit beim ersten Datenschutzbeauftragten, der ihn liest.</w:t>
      </w:r>
    </w:p>
    <w:p w14:paraId="2062E78F" w14:textId="77777777" w:rsidR="0090768F" w:rsidRDefault="00000000">
      <w:pPr>
        <w:pStyle w:val="Compact"/>
        <w:numPr>
          <w:ilvl w:val="0"/>
          <w:numId w:val="49"/>
        </w:numPr>
      </w:pPr>
      <w:r>
        <w:rPr>
          <w:b/>
          <w:bCs/>
        </w:rPr>
        <w:t>Das Lehrkraft-Direktmodell mit echten Schülerarbeiten aufgeben</w:t>
      </w:r>
      <w:r>
        <w:t xml:space="preserve"> und das Angebot in eine Vorbereitungs- und eine institutionelle Stufe trennen (§7.5). Nur diese Struktur erlaubt es, in den nächsten zwölf Monaten etwas Zulässiges auszuliefern.</w:t>
      </w:r>
    </w:p>
    <w:p w14:paraId="0D5A296D" w14:textId="77777777" w:rsidR="0090768F" w:rsidRDefault="00000000">
      <w:pPr>
        <w:pStyle w:val="Compact"/>
        <w:numPr>
          <w:ilvl w:val="0"/>
          <w:numId w:val="49"/>
        </w:numPr>
      </w:pPr>
      <w:r>
        <w:rPr>
          <w:b/>
          <w:bCs/>
        </w:rPr>
        <w:t>Die Prämisse des NRW-</w:t>
      </w:r>
      <w:r>
        <w:rPr>
          <w:b/>
          <w:bCs/>
          <w:i/>
          <w:iCs/>
        </w:rPr>
        <w:t>Softwarekatalogs</w:t>
      </w:r>
      <w:r>
        <w:rPr>
          <w:b/>
          <w:bCs/>
        </w:rPr>
        <w:t xml:space="preserve"> schriftlich beim MSB NRW klären</w:t>
      </w:r>
      <w:r>
        <w:t xml:space="preserve"> (§8.1). Eine ganze Markteintrittsstrategie ruht derzeit auf einem Mechanismus, dessen Existenz wir nicht bestätigen konnten.</w:t>
      </w:r>
    </w:p>
    <w:p w14:paraId="56F3F138" w14:textId="77777777" w:rsidR="0090768F" w:rsidRDefault="00000000">
      <w:pPr>
        <w:pStyle w:val="Compact"/>
        <w:numPr>
          <w:ilvl w:val="0"/>
          <w:numId w:val="49"/>
        </w:numPr>
      </w:pPr>
      <w:r>
        <w:rPr>
          <w:b/>
          <w:bCs/>
        </w:rPr>
        <w:t>Ein KI-Reallabor nach § 13 KI-MIG</w:t>
      </w:r>
      <w:r>
        <w:t xml:space="preserve"> bei der Bundesnetzagentur mit einer Landesaufsicht beantragen. Das ist ein benannter, derzeit offener Weg zu regulatorischer Befassung statt Mutmaßung, und der dort erzeugte Nachweis ist es, der später einen Landesmechanismus verdient.</w:t>
      </w:r>
    </w:p>
    <w:p w14:paraId="6779DB24" w14:textId="77777777" w:rsidR="0090768F" w:rsidRDefault="00000000">
      <w:pPr>
        <w:pStyle w:val="Compact"/>
        <w:numPr>
          <w:ilvl w:val="0"/>
          <w:numId w:val="49"/>
        </w:numPr>
      </w:pPr>
      <w:r>
        <w:rPr>
          <w:b/>
          <w:bCs/>
        </w:rPr>
        <w:t>Ein Gegengutachten zum DKJS-Memorandum beauftragen</w:t>
      </w:r>
      <w:r>
        <w:t xml:space="preserve"> (§5.6), das Punkt für Punkt darauf eingeht und </w:t>
      </w:r>
      <w:r>
        <w:rPr>
          <w:i/>
          <w:iCs/>
        </w:rPr>
        <w:t>Korrekturassistenz</w:t>
      </w:r>
      <w:r>
        <w:t xml:space="preserve"> von KI-Bewertung abgrenzt. Es ist das ungünstigste glaubwürdige Dokument der deutschen Landschaft, und wir brauchen eine Antwort, bevor ein Ministerium es uns vorhält.</w:t>
      </w:r>
    </w:p>
    <w:p w14:paraId="48D8E033" w14:textId="77777777" w:rsidR="0090768F" w:rsidRDefault="00000000">
      <w:pPr>
        <w:pStyle w:val="Compact"/>
        <w:numPr>
          <w:ilvl w:val="0"/>
          <w:numId w:val="49"/>
        </w:numPr>
      </w:pPr>
      <w:r>
        <w:rPr>
          <w:b/>
          <w:bCs/>
        </w:rPr>
        <w:t>Die Arbeiten zu Art. 10 (Daten-Governance) und Art. 15 (Genauigkeitsvalidierung) jetzt beginnen.</w:t>
      </w:r>
      <w:r>
        <w:t xml:space="preserve"> Fünfzehn Monate bis zum 2. Dezember 2027 klingen großzügig; die curriculums- und länderbezogene Validierung einer Handschrift-plus-LLM-Pipeline sind bei sofortigem Beginn neun bis zwölf Monate Arbeit.</w:t>
      </w:r>
    </w:p>
    <w:p w14:paraId="431DE27D" w14:textId="77777777" w:rsidR="0090768F" w:rsidRDefault="00000000">
      <w:pPr>
        <w:pStyle w:val="FirstParagraph"/>
      </w:pPr>
      <w:r>
        <w:rPr>
          <w:b/>
          <w:bCs/>
        </w:rPr>
        <w:t>Marktsequenz.</w:t>
      </w:r>
    </w:p>
    <w:tbl>
      <w:tblPr>
        <w:tblStyle w:val="Table"/>
        <w:tblW w:w="5000" w:type="pct"/>
        <w:tblLook w:val="0020" w:firstRow="1" w:lastRow="0" w:firstColumn="0" w:lastColumn="0" w:noHBand="0" w:noVBand="0"/>
      </w:tblPr>
      <w:tblGrid>
        <w:gridCol w:w="1041"/>
        <w:gridCol w:w="8319"/>
      </w:tblGrid>
      <w:tr w:rsidR="0090768F" w14:paraId="605B3E96" w14:textId="77777777" w:rsidTr="0090768F">
        <w:trPr>
          <w:cnfStyle w:val="100000000000" w:firstRow="1" w:lastRow="0" w:firstColumn="0" w:lastColumn="0" w:oddVBand="0" w:evenVBand="0" w:oddHBand="0" w:evenHBand="0" w:firstRowFirstColumn="0" w:firstRowLastColumn="0" w:lastRowFirstColumn="0" w:lastRowLastColumn="0"/>
          <w:tblHeader/>
        </w:trPr>
        <w:tc>
          <w:tcPr>
            <w:tcW w:w="0" w:type="auto"/>
          </w:tcPr>
          <w:p w14:paraId="6C86A6B4" w14:textId="77777777" w:rsidR="0090768F" w:rsidRDefault="00000000">
            <w:pPr>
              <w:pStyle w:val="Compact"/>
            </w:pPr>
            <w:r>
              <w:t>Phase</w:t>
            </w:r>
          </w:p>
        </w:tc>
        <w:tc>
          <w:tcPr>
            <w:tcW w:w="0" w:type="auto"/>
          </w:tcPr>
          <w:p w14:paraId="04B64AAB" w14:textId="77777777" w:rsidR="0090768F" w:rsidRDefault="00000000">
            <w:pPr>
              <w:pStyle w:val="Compact"/>
            </w:pPr>
            <w:r>
              <w:t>Maßnahme</w:t>
            </w:r>
          </w:p>
        </w:tc>
      </w:tr>
      <w:tr w:rsidR="0090768F" w14:paraId="5EB567EB" w14:textId="77777777">
        <w:tc>
          <w:tcPr>
            <w:tcW w:w="0" w:type="auto"/>
          </w:tcPr>
          <w:p w14:paraId="277CF0BD" w14:textId="77777777" w:rsidR="0090768F" w:rsidRDefault="00000000">
            <w:pPr>
              <w:pStyle w:val="Compact"/>
            </w:pPr>
            <w:r>
              <w:t>Jetzt – Q1 2027</w:t>
            </w:r>
          </w:p>
        </w:tc>
        <w:tc>
          <w:tcPr>
            <w:tcW w:w="0" w:type="auto"/>
          </w:tcPr>
          <w:p w14:paraId="7F2C39E1" w14:textId="77777777" w:rsidR="0090768F" w:rsidRDefault="00000000">
            <w:pPr>
              <w:pStyle w:val="Compact"/>
            </w:pPr>
            <w:r>
              <w:t>Vorbereitungsstufe ausliefern. Deutsche Hochschulen als erste institutionelle Referenz (autonomer Verantwortlicher, kein Ministeriumsgatekeeper, AVV-fähig). Britischer Hochschulbereich parallel — am wenigsten reguliert, kein Children’s Code. Reallabor-Antrag. NRW-Anfrage.</w:t>
            </w:r>
          </w:p>
        </w:tc>
      </w:tr>
      <w:tr w:rsidR="0090768F" w14:paraId="267EA6E0" w14:textId="77777777">
        <w:tc>
          <w:tcPr>
            <w:tcW w:w="0" w:type="auto"/>
          </w:tcPr>
          <w:p w14:paraId="706093E3" w14:textId="77777777" w:rsidR="0090768F" w:rsidRDefault="00000000">
            <w:pPr>
              <w:pStyle w:val="Compact"/>
            </w:pPr>
            <w:r>
              <w:t>2027</w:t>
            </w:r>
          </w:p>
        </w:tc>
        <w:tc>
          <w:tcPr>
            <w:tcW w:w="0" w:type="auto"/>
          </w:tcPr>
          <w:p w14:paraId="44164C6C" w14:textId="77777777" w:rsidR="0090768F" w:rsidRDefault="00000000">
            <w:pPr>
              <w:pStyle w:val="Compact"/>
            </w:pPr>
            <w:r>
              <w:t>UK: Direktvertrieb an Trusts in England plus Bewerbung um einen DfE-Rahmenvertrag; Wales/Hwb als nationale Vorzeigereferenz. Deutschland: Pilotnutzung auf Grundlage einer ministeriellen Verwaltungsvorschrift, zur Erzeugung des Abweichungsnachweises. USA: Beitritt zu zwei bis drei SDPC-</w:t>
            </w:r>
            <w:r>
              <w:lastRenderedPageBreak/>
              <w:t>Landesallianzen, erstes NDPA mit Exhibit E.</w:t>
            </w:r>
          </w:p>
        </w:tc>
      </w:tr>
      <w:tr w:rsidR="0090768F" w14:paraId="496DD1D6" w14:textId="77777777">
        <w:tc>
          <w:tcPr>
            <w:tcW w:w="0" w:type="auto"/>
          </w:tcPr>
          <w:p w14:paraId="63D49878" w14:textId="77777777" w:rsidR="0090768F" w:rsidRDefault="00000000">
            <w:pPr>
              <w:pStyle w:val="Compact"/>
            </w:pPr>
            <w:r>
              <w:lastRenderedPageBreak/>
              <w:t>2027–2028</w:t>
            </w:r>
          </w:p>
        </w:tc>
        <w:tc>
          <w:tcPr>
            <w:tcW w:w="0" w:type="auto"/>
          </w:tcPr>
          <w:p w14:paraId="6DEA1D2A" w14:textId="77777777" w:rsidR="0090768F" w:rsidRDefault="00000000">
            <w:pPr>
              <w:pStyle w:val="Compact"/>
            </w:pPr>
            <w:r>
              <w:t>Deutschland: Rahmenvertrag oder Verordnungsänderung, verdient durch den Nachweis. UK: Schottland und Nordirland, sobald die Hwb-Referenz steht. USA: Kooperativen und landesweite Rahmenverträge. Vollständige Anbieterkonformität nach KI-VO vor dem 2. Dezember 2027.</w:t>
            </w:r>
          </w:p>
        </w:tc>
      </w:tr>
    </w:tbl>
    <w:p w14:paraId="1517E912" w14:textId="77777777" w:rsidR="0090768F" w:rsidRDefault="00000000">
      <w:pPr>
        <w:pStyle w:val="BodyText"/>
      </w:pPr>
      <w:r>
        <w:rPr>
          <w:b/>
          <w:bCs/>
        </w:rPr>
        <w:t>Zwei nutzbare Asymmetrien.</w:t>
      </w:r>
      <w:r>
        <w:t xml:space="preserve"> Erstens treffen Art. 27 KI-VO (GRFA) und Art. 26 Abs. 7 (Personalratsinformation) die </w:t>
      </w:r>
      <w:r>
        <w:rPr>
          <w:b/>
          <w:bCs/>
        </w:rPr>
        <w:t>Schule</w:t>
      </w:r>
      <w:r>
        <w:t xml:space="preserve"> am selben Tag, an dem uns unsere eigenen Pflichten treffen. Ein Anbieter, der 2027 mit fertiger DSFA/GRFA-Vorlage, Personalratspaket und Schulungsmodul kommt, verkauft ein gelöstes Problem; wer mit Software kommt, verkauft dem Kunden ein Projekt. Zweitens ist der Konformitätsweg für Bildung die </w:t>
      </w:r>
      <w:r>
        <w:rPr>
          <w:b/>
          <w:bCs/>
        </w:rPr>
        <w:t>Selbstbewertung nach Anhang VI ohne benannte Stelle</w:t>
      </w:r>
      <w:r>
        <w:t xml:space="preserve"> — deutlich günstiger, als der Einkauf erwartet. Das früh sagen.</w:t>
      </w:r>
    </w:p>
    <w:p w14:paraId="51550159" w14:textId="77777777" w:rsidR="0090768F" w:rsidRDefault="00000000">
      <w:pPr>
        <w:pStyle w:val="Heading2"/>
      </w:pPr>
      <w:bookmarkStart w:id="195" w:name="was-nicht-verifiziert-werden-konnte"/>
      <w:bookmarkStart w:id="196" w:name="_Toc240060427"/>
      <w:bookmarkEnd w:id="193"/>
      <w:r>
        <w:t>14. Was nicht verifiziert werden konnte</w:t>
      </w:r>
      <w:bookmarkEnd w:id="196"/>
    </w:p>
    <w:p w14:paraId="45219ACF" w14:textId="77777777" w:rsidR="0090768F" w:rsidRDefault="00000000">
      <w:pPr>
        <w:pStyle w:val="FirstParagraph"/>
      </w:pPr>
      <w:r>
        <w:t>Dies sind Lücken, keine Befunde. Vier davon sollten vor jeder kommerziellen Verwendung anwaltlich geklärt werden.</w:t>
      </w:r>
    </w:p>
    <w:p w14:paraId="353CCB1F" w14:textId="77777777" w:rsidR="0090768F" w:rsidRDefault="00000000">
      <w:pPr>
        <w:pStyle w:val="BodyText"/>
      </w:pPr>
      <w:r>
        <w:rPr>
          <w:b/>
          <w:bCs/>
        </w:rPr>
        <w:t>Höchste Priorität</w:t>
      </w:r>
    </w:p>
    <w:p w14:paraId="78492885" w14:textId="77777777" w:rsidR="0090768F" w:rsidRDefault="00000000">
      <w:pPr>
        <w:pStyle w:val="Compact"/>
        <w:numPr>
          <w:ilvl w:val="0"/>
          <w:numId w:val="50"/>
        </w:numPr>
      </w:pPr>
      <w:r>
        <w:rPr>
          <w:b/>
          <w:bCs/>
        </w:rPr>
        <w:t>Das DKJS-Memorandum im Wortlaut.</w:t>
      </w:r>
      <w:r>
        <w:t xml:space="preserve"> Alle Angaben in §5.6 stammen aus einer Drittzusammenfassung; der Server blockierte den Abruf. Es ist das ungünstigste Dokument der deutschen Landschaft und muss im Original gelesen werden.</w:t>
      </w:r>
    </w:p>
    <w:p w14:paraId="29A4625D" w14:textId="77777777" w:rsidR="0090768F" w:rsidRDefault="00000000">
      <w:pPr>
        <w:pStyle w:val="Compact"/>
        <w:numPr>
          <w:ilvl w:val="0"/>
          <w:numId w:val="50"/>
        </w:numPr>
      </w:pPr>
      <w:r>
        <w:rPr>
          <w:b/>
          <w:bCs/>
        </w:rPr>
        <w:t>Die Prämisse des NRW-</w:t>
      </w:r>
      <w:r>
        <w:rPr>
          <w:b/>
          <w:bCs/>
          <w:i/>
          <w:iCs/>
        </w:rPr>
        <w:t>Softwarekatalogs</w:t>
      </w:r>
      <w:r>
        <w:rPr>
          <w:b/>
          <w:bCs/>
        </w:rPr>
        <w:t>.</w:t>
      </w:r>
      <w:r>
        <w:t xml:space="preserve"> Die geltende VO-DV I enthält keine Programmzulassung, und das Ministerium beschreibt Einzelfallermessen der Schule; ein Text vor 2022 und eine Landtagsantwort von 2025 waren nicht abrufbar. Per schriftlicher Anfrage klären, nicht durch weitere Recherche.</w:t>
      </w:r>
    </w:p>
    <w:p w14:paraId="225E60EE" w14:textId="77777777" w:rsidR="0090768F" w:rsidRDefault="00000000">
      <w:pPr>
        <w:pStyle w:val="Compact"/>
        <w:numPr>
          <w:ilvl w:val="0"/>
          <w:numId w:val="50"/>
        </w:numPr>
      </w:pPr>
      <w:r>
        <w:rPr>
          <w:b/>
          <w:bCs/>
        </w:rPr>
        <w:t xml:space="preserve">Der bayerische </w:t>
      </w:r>
      <w:r>
        <w:rPr>
          <w:b/>
          <w:bCs/>
          <w:i/>
          <w:iCs/>
        </w:rPr>
        <w:t>Handlungsleitfaden „Künstliche Intelligenz in der pädagogischen Praxis”</w:t>
      </w:r>
      <w:r>
        <w:rPr>
          <w:b/>
          <w:bCs/>
        </w:rPr>
        <w:t>, Fassung 19.05.2026</w:t>
      </w:r>
      <w:r>
        <w:t xml:space="preserve"> — Titel und Datum bestätigt, Inhalt ungelesen. Angesichts der Marktgröße das wichtigste offene deutsche Dokument.</w:t>
      </w:r>
    </w:p>
    <w:p w14:paraId="19B94775" w14:textId="77777777" w:rsidR="0090768F" w:rsidRDefault="00000000">
      <w:pPr>
        <w:pStyle w:val="Compact"/>
        <w:numPr>
          <w:ilvl w:val="0"/>
          <w:numId w:val="50"/>
        </w:numPr>
      </w:pPr>
      <w:r>
        <w:rPr>
          <w:b/>
          <w:bCs/>
        </w:rPr>
        <w:t>Der berichtete Übergang der FERPA-/PPRA-Beschwerdeermittlung auf das Justizministerium (Juni 2026).</w:t>
      </w:r>
      <w:r>
        <w:t xml:space="preserve"> Einzelne Sekundärquelle, kein Wirksamkeitsdatum, offene Details. Ändert den Charakter der US-Durchsetzung, falls zutreffend.</w:t>
      </w:r>
    </w:p>
    <w:p w14:paraId="73F7016F" w14:textId="77777777" w:rsidR="0090768F" w:rsidRDefault="00000000">
      <w:pPr>
        <w:pStyle w:val="FirstParagraph"/>
      </w:pPr>
      <w:r>
        <w:rPr>
          <w:b/>
          <w:bCs/>
        </w:rPr>
        <w:t>EU-Ebene</w:t>
      </w:r>
    </w:p>
    <w:p w14:paraId="65FEE66C" w14:textId="77777777" w:rsidR="0090768F" w:rsidRDefault="00000000">
      <w:pPr>
        <w:pStyle w:val="Compact"/>
        <w:numPr>
          <w:ilvl w:val="0"/>
          <w:numId w:val="51"/>
        </w:numPr>
      </w:pPr>
      <w:r>
        <w:t xml:space="preserve">Ob eine </w:t>
      </w:r>
      <w:r>
        <w:rPr>
          <w:b/>
          <w:bCs/>
        </w:rPr>
        <w:t>endgültige</w:t>
      </w:r>
      <w:r>
        <w:t xml:space="preserve"> Fassung der Kommissionsleitlinien zur Hochrisikoeinstufung angenommen wurde (letzter gesicherter Stand: Entwurf, 19. Mai 2026; ohnehin unverbindlich).</w:t>
      </w:r>
    </w:p>
    <w:p w14:paraId="7EDABB09" w14:textId="77777777" w:rsidR="0090768F" w:rsidRDefault="00000000">
      <w:pPr>
        <w:pStyle w:val="Compact"/>
        <w:numPr>
          <w:ilvl w:val="0"/>
          <w:numId w:val="51"/>
        </w:numPr>
      </w:pPr>
      <w:r>
        <w:t xml:space="preserve">Ob </w:t>
      </w:r>
      <w:r>
        <w:rPr>
          <w:b/>
          <w:bCs/>
        </w:rPr>
        <w:t>überhaupt eine harmonisierte Norm</w:t>
      </w:r>
      <w:r>
        <w:t xml:space="preserve"> zur KI-VO im Amtsblatt fundstellenveröffentlicht wurde. Belege dafür fanden sich nicht. Unmittelbar vor Fertigstellung erneut prüfen — der schnellste bewegliche Punkt der Akte.</w:t>
      </w:r>
    </w:p>
    <w:p w14:paraId="28464780" w14:textId="77777777" w:rsidR="0090768F" w:rsidRDefault="00000000">
      <w:pPr>
        <w:pStyle w:val="Compact"/>
        <w:numPr>
          <w:ilvl w:val="0"/>
          <w:numId w:val="51"/>
        </w:numPr>
      </w:pPr>
      <w:r>
        <w:lastRenderedPageBreak/>
        <w:t xml:space="preserve">Der Stand des </w:t>
      </w:r>
      <w:r>
        <w:rPr>
          <w:b/>
          <w:bCs/>
        </w:rPr>
        <w:t>DSGVO-Teils des Digital-Omnibus</w:t>
      </w:r>
      <w:r>
        <w:t xml:space="preserve">, der Änderungen an Art. 22 vorschlug. Soweit feststellbar nicht angenommen. </w:t>
      </w:r>
      <w:r>
        <w:rPr>
          <w:b/>
          <w:bCs/>
        </w:rPr>
        <w:t>Nicht darauf planen, dass Art. 22 gelockert wird.</w:t>
      </w:r>
    </w:p>
    <w:p w14:paraId="2B31BD76" w14:textId="77777777" w:rsidR="0090768F" w:rsidRDefault="00000000">
      <w:pPr>
        <w:pStyle w:val="Compact"/>
        <w:numPr>
          <w:ilvl w:val="0"/>
          <w:numId w:val="51"/>
        </w:numPr>
      </w:pPr>
      <w:r>
        <w:t xml:space="preserve">Ob gegen </w:t>
      </w:r>
      <w:r>
        <w:rPr>
          <w:b/>
          <w:bCs/>
        </w:rPr>
        <w:t xml:space="preserve">T-553/23 </w:t>
      </w:r>
      <w:r>
        <w:rPr>
          <w:b/>
          <w:bCs/>
          <w:i/>
          <w:iCs/>
        </w:rPr>
        <w:t>Latombe</w:t>
      </w:r>
      <w:r>
        <w:t xml:space="preserve"> ein Rechtsmittel eingelegt wurde und wie der EU-US-Datenschutzrahmen politisch steht. Vor Beratung eines Kunden zu US-Modellendpunkten erneut prüfen.</w:t>
      </w:r>
    </w:p>
    <w:p w14:paraId="2E3E280B" w14:textId="77777777" w:rsidR="0090768F" w:rsidRDefault="00000000">
      <w:pPr>
        <w:pStyle w:val="Compact"/>
        <w:numPr>
          <w:ilvl w:val="0"/>
          <w:numId w:val="51"/>
        </w:numPr>
      </w:pPr>
      <w:r>
        <w:t xml:space="preserve">Ob das </w:t>
      </w:r>
      <w:r>
        <w:rPr>
          <w:b/>
          <w:bCs/>
        </w:rPr>
        <w:t>KI-Büro die Vorlage nach Art. 27 Abs. 5</w:t>
      </w:r>
      <w:r>
        <w:t xml:space="preserve"> veröffentlicht hat.</w:t>
      </w:r>
    </w:p>
    <w:p w14:paraId="2192EF1C" w14:textId="77777777" w:rsidR="0090768F" w:rsidRDefault="00000000">
      <w:pPr>
        <w:pStyle w:val="Compact"/>
        <w:numPr>
          <w:ilvl w:val="0"/>
          <w:numId w:val="51"/>
        </w:numPr>
      </w:pPr>
      <w:r>
        <w:t xml:space="preserve">Ob </w:t>
      </w:r>
      <w:r>
        <w:rPr>
          <w:b/>
          <w:bCs/>
        </w:rPr>
        <w:t>eine Behörde die Anwendungslücke bei Art. 49 / Kapitel III Abschnitt 5</w:t>
      </w:r>
      <w:r>
        <w:t xml:space="preserve"> (§4.5) adressiert hat. Nichts gefunden.</w:t>
      </w:r>
    </w:p>
    <w:p w14:paraId="1CEBD918" w14:textId="77777777" w:rsidR="0090768F" w:rsidRDefault="00000000">
      <w:pPr>
        <w:pStyle w:val="Compact"/>
        <w:numPr>
          <w:ilvl w:val="0"/>
          <w:numId w:val="51"/>
        </w:numPr>
      </w:pPr>
      <w:r>
        <w:t xml:space="preserve">Ob die </w:t>
      </w:r>
      <w:r>
        <w:rPr>
          <w:b/>
          <w:bCs/>
        </w:rPr>
        <w:t>EDSA-Leitlinien 01/2025 zur Pseudonymisierung</w:t>
      </w:r>
      <w:r>
        <w:t xml:space="preserve"> nach der Konsultation finalisiert wurden.</w:t>
      </w:r>
    </w:p>
    <w:p w14:paraId="1EF431FB" w14:textId="77777777" w:rsidR="0090768F" w:rsidRDefault="00000000">
      <w:pPr>
        <w:pStyle w:val="FirstParagraph"/>
      </w:pPr>
      <w:r>
        <w:rPr>
          <w:b/>
          <w:bCs/>
        </w:rPr>
        <w:t>Deutschland</w:t>
      </w:r>
    </w:p>
    <w:p w14:paraId="192E2FDF" w14:textId="77777777" w:rsidR="0090768F" w:rsidRDefault="00000000">
      <w:pPr>
        <w:pStyle w:val="Compact"/>
        <w:numPr>
          <w:ilvl w:val="0"/>
          <w:numId w:val="52"/>
        </w:numPr>
      </w:pPr>
      <w:r>
        <w:t xml:space="preserve">Schuldatenschutzbestimmungen und Verordnungsbezeichnungen für </w:t>
      </w:r>
      <w:r>
        <w:rPr>
          <w:b/>
          <w:bCs/>
        </w:rPr>
        <w:t>Berlin, Rheinland-Pfalz, Sachsen, Saarland, Schleswig-Holstein, Hamburg, Bremen, Brandenburg, Mecklenburg-Vorpommern, Sachsen-Anhalt und Thüringen</w:t>
      </w:r>
      <w:r>
        <w:t>. Für diese Länder keine Paragraphen aus diesem Papier zitieren.</w:t>
      </w:r>
    </w:p>
    <w:p w14:paraId="1BEF2EA5" w14:textId="77777777" w:rsidR="0090768F" w:rsidRDefault="00000000">
      <w:pPr>
        <w:pStyle w:val="Compact"/>
        <w:numPr>
          <w:ilvl w:val="0"/>
          <w:numId w:val="52"/>
        </w:numPr>
      </w:pPr>
      <w:r>
        <w:rPr>
          <w:b/>
          <w:bCs/>
        </w:rPr>
        <w:t>§ 115b SchG BW und der DUVO-Text</w:t>
      </w:r>
      <w:r>
        <w:t xml:space="preserve"> (Ministeriumszitat, Texte ungelesen); der konsolidierte Text der </w:t>
      </w:r>
      <w:r>
        <w:rPr>
          <w:b/>
          <w:bCs/>
        </w:rPr>
        <w:t>hessischen SchulDSVO</w:t>
      </w:r>
      <w:r>
        <w:t>.</w:t>
      </w:r>
    </w:p>
    <w:p w14:paraId="41DD1EFF" w14:textId="77777777" w:rsidR="0090768F" w:rsidRDefault="00000000">
      <w:pPr>
        <w:pStyle w:val="Compact"/>
        <w:numPr>
          <w:ilvl w:val="0"/>
          <w:numId w:val="52"/>
        </w:numPr>
      </w:pPr>
      <w:r>
        <w:rPr>
          <w:b/>
          <w:bCs/>
        </w:rPr>
        <w:t>Mitbestimmungsnormen der Länder</w:t>
      </w:r>
      <w:r>
        <w:t xml:space="preserve"> (nur das BPersVG wurde verifiziert) und die </w:t>
      </w:r>
      <w:r>
        <w:rPr>
          <w:b/>
          <w:bCs/>
        </w:rPr>
        <w:t>Landesentsprechungen zu § 35a VwVfG</w:t>
      </w:r>
      <w:r>
        <w:t>.</w:t>
      </w:r>
    </w:p>
    <w:p w14:paraId="5AFAF92C" w14:textId="77777777" w:rsidR="0090768F" w:rsidRDefault="00000000">
      <w:pPr>
        <w:pStyle w:val="Compact"/>
        <w:numPr>
          <w:ilvl w:val="0"/>
          <w:numId w:val="52"/>
        </w:numPr>
      </w:pPr>
      <w:r>
        <w:rPr>
          <w:b/>
          <w:bCs/>
        </w:rPr>
        <w:t>Positionen der HRK</w:t>
      </w:r>
      <w:r>
        <w:t xml:space="preserve"> zu KI in Hochschulprüfungen — KI-LOTSE und das Papier von November 2024 waren nicht zu öffnen.</w:t>
      </w:r>
    </w:p>
    <w:p w14:paraId="6935F356" w14:textId="77777777" w:rsidR="0090768F" w:rsidRDefault="00000000">
      <w:pPr>
        <w:pStyle w:val="Compact"/>
        <w:numPr>
          <w:ilvl w:val="0"/>
          <w:numId w:val="52"/>
        </w:numPr>
      </w:pPr>
      <w:r>
        <w:rPr>
          <w:b/>
          <w:bCs/>
        </w:rPr>
        <w:t>Zulassungszeiträume für LOGINEO NRW, mebis, itslearning und Microsoft 365.</w:t>
      </w:r>
      <w:r>
        <w:t xml:space="preserve"> Die Zeitschätzungen in §8.1 sind strukturelle Schlüsse, keine Präzedenzfälle. Vor Zahlen gegenüber Vorstand oder Investoren verifizieren.</w:t>
      </w:r>
    </w:p>
    <w:p w14:paraId="55C508BA" w14:textId="77777777" w:rsidR="0090768F" w:rsidRDefault="00000000">
      <w:pPr>
        <w:pStyle w:val="Compact"/>
        <w:numPr>
          <w:ilvl w:val="0"/>
          <w:numId w:val="52"/>
        </w:numPr>
      </w:pPr>
      <w:r>
        <w:t xml:space="preserve">Zu </w:t>
      </w:r>
      <w:r>
        <w:rPr>
          <w:b/>
          <w:bCs/>
        </w:rPr>
        <w:t>BayLDA, LDI NRW, BlnBDI und HBDI</w:t>
      </w:r>
      <w:r>
        <w:t xml:space="preserve"> wurde keine veröffentlichte Position zur KI-gestützten Bewertung gefunden — ein Negativbefund aus abgebrochener Recherche, keine bestätigte Abwesenheit.</w:t>
      </w:r>
    </w:p>
    <w:p w14:paraId="02ECA349" w14:textId="77777777" w:rsidR="0090768F" w:rsidRDefault="00000000">
      <w:pPr>
        <w:pStyle w:val="FirstParagraph"/>
      </w:pPr>
      <w:r>
        <w:rPr>
          <w:b/>
          <w:bCs/>
        </w:rPr>
        <w:t>Vereinigtes Königreich</w:t>
      </w:r>
    </w:p>
    <w:p w14:paraId="4B40E795" w14:textId="77777777" w:rsidR="0090768F" w:rsidRDefault="00000000">
      <w:pPr>
        <w:pStyle w:val="Compact"/>
        <w:numPr>
          <w:ilvl w:val="0"/>
          <w:numId w:val="53"/>
        </w:numPr>
      </w:pPr>
      <w:r>
        <w:rPr>
          <w:b/>
          <w:bCs/>
        </w:rPr>
        <w:t>Endgültige ICO-Leitlinie zur automatisierten Entscheidung</w:t>
      </w:r>
      <w:r>
        <w:t xml:space="preserve"> (Konsultation am 29. Mai 2026 geschlossen; nicht veröffentlicht). Alle Angaben zur aussagekräftigen menschlichen Beteiligung stammen aus dem Entwurf.</w:t>
      </w:r>
    </w:p>
    <w:p w14:paraId="14012496" w14:textId="77777777" w:rsidR="0090768F" w:rsidRDefault="00000000">
      <w:pPr>
        <w:pStyle w:val="Compact"/>
        <w:numPr>
          <w:ilvl w:val="0"/>
          <w:numId w:val="53"/>
        </w:numPr>
      </w:pPr>
      <w:r>
        <w:rPr>
          <w:b/>
          <w:bCs/>
        </w:rPr>
        <w:t>Der gesetzliche ICO-Kodex nach SI 2026/425</w:t>
      </w:r>
      <w:r>
        <w:t xml:space="preserve"> — die Pflicht gilt, aber weder Entwurf noch Konsultation noch Zeitplan waren auffindbar. Sein Kinder-Kapitel wird das maßgebliche britische Konformitätsdokument.</w:t>
      </w:r>
    </w:p>
    <w:p w14:paraId="0AE556BA" w14:textId="77777777" w:rsidR="0090768F" w:rsidRDefault="00000000">
      <w:pPr>
        <w:pStyle w:val="Compact"/>
        <w:numPr>
          <w:ilvl w:val="0"/>
          <w:numId w:val="53"/>
        </w:numPr>
      </w:pPr>
      <w:r>
        <w:rPr>
          <w:b/>
          <w:bCs/>
        </w:rPr>
        <w:t>JCQ-Abschnittsnummern</w:t>
      </w:r>
      <w:r>
        <w:t xml:space="preserve"> — die Zitate stammen aus der Webdarstellung; die PDF-Dateien lieferten Fehler.</w:t>
      </w:r>
    </w:p>
    <w:p w14:paraId="1B3CD4F2" w14:textId="77777777" w:rsidR="0090768F" w:rsidRDefault="00000000">
      <w:pPr>
        <w:pStyle w:val="Compact"/>
        <w:numPr>
          <w:ilvl w:val="0"/>
          <w:numId w:val="53"/>
        </w:numPr>
      </w:pPr>
      <w:r>
        <w:rPr>
          <w:b/>
          <w:bCs/>
        </w:rPr>
        <w:t>Eine KI-spezifische OfS-Bedingung oder -Leitlinie</w:t>
      </w:r>
      <w:r>
        <w:t xml:space="preserve"> sowie QAA-Veröffentlichungen 2025/26 zur KI-Bewertung. Nichts gefunden.</w:t>
      </w:r>
    </w:p>
    <w:p w14:paraId="07C2044F" w14:textId="77777777" w:rsidR="0090768F" w:rsidRDefault="00000000">
      <w:pPr>
        <w:pStyle w:val="Compact"/>
        <w:numPr>
          <w:ilvl w:val="0"/>
          <w:numId w:val="53"/>
        </w:numPr>
      </w:pPr>
      <w:r>
        <w:rPr>
          <w:b/>
          <w:bCs/>
        </w:rPr>
        <w:lastRenderedPageBreak/>
        <w:t>Das förmliche Verfahren zur Aufnahme eines Drittdienstes in Glow</w:t>
      </w:r>
      <w:r>
        <w:t xml:space="preserve"> (Schottland) und ein veröffentlichtes Anbieter-Prüfverfahren für </w:t>
      </w:r>
      <w:r>
        <w:rPr>
          <w:b/>
          <w:bCs/>
        </w:rPr>
        <w:t>Hwb</w:t>
      </w:r>
      <w:r>
        <w:t xml:space="preserve"> (Wales). Beide Wege in §8.2 sind Schlüsse mittlerer Verlässlichkeit.</w:t>
      </w:r>
    </w:p>
    <w:p w14:paraId="392C0D9C" w14:textId="77777777" w:rsidR="0090768F" w:rsidRDefault="00000000">
      <w:pPr>
        <w:pStyle w:val="FirstParagraph"/>
      </w:pPr>
      <w:r>
        <w:rPr>
          <w:b/>
          <w:bCs/>
        </w:rPr>
        <w:t>Vereinigte Staaten</w:t>
      </w:r>
    </w:p>
    <w:p w14:paraId="6A12FB60" w14:textId="77777777" w:rsidR="0090768F" w:rsidRDefault="00000000">
      <w:pPr>
        <w:pStyle w:val="Compact"/>
        <w:numPr>
          <w:ilvl w:val="0"/>
          <w:numId w:val="54"/>
        </w:numPr>
      </w:pPr>
      <w:r>
        <w:rPr>
          <w:b/>
          <w:bCs/>
        </w:rPr>
        <w:t>Der verabschiedete Text von Oklahoma SB 1734.</w:t>
      </w:r>
      <w:r>
        <w:t xml:space="preserve"> Bestimmungen von vier Sekundärquellen übereinstimmend berichtet; genauer Wortlaut unverifiziert.</w:t>
      </w:r>
    </w:p>
    <w:p w14:paraId="75428CAE" w14:textId="77777777" w:rsidR="0090768F" w:rsidRDefault="00000000">
      <w:pPr>
        <w:pStyle w:val="Compact"/>
        <w:numPr>
          <w:ilvl w:val="0"/>
          <w:numId w:val="54"/>
        </w:numPr>
      </w:pPr>
      <w:r>
        <w:rPr>
          <w:b/>
          <w:bCs/>
        </w:rPr>
        <w:t>Der Wortlaut des Exhibit E im NDPA v2.2</w:t>
      </w:r>
      <w:r>
        <w:t xml:space="preserve"> — der folgenreichste Vertrag, den wir in den USA schließen würden.</w:t>
      </w:r>
    </w:p>
    <w:p w14:paraId="151BE440" w14:textId="77777777" w:rsidR="0090768F" w:rsidRDefault="00000000">
      <w:pPr>
        <w:pStyle w:val="Compact"/>
        <w:numPr>
          <w:ilvl w:val="0"/>
          <w:numId w:val="54"/>
        </w:numPr>
      </w:pPr>
      <w:r>
        <w:t xml:space="preserve">Datum und Instrument der </w:t>
      </w:r>
      <w:r>
        <w:rPr>
          <w:b/>
          <w:bCs/>
        </w:rPr>
        <w:t>Rücknahme der OCR-KI-Leitlinie</w:t>
      </w:r>
      <w:r>
        <w:t xml:space="preserve">; ob </w:t>
      </w:r>
      <w:r>
        <w:rPr>
          <w:b/>
          <w:bCs/>
        </w:rPr>
        <w:t>Klagen gegen die Aufhebung der Title-VI-Disparate-Impact-Vorschriften</w:t>
      </w:r>
      <w:r>
        <w:t xml:space="preserve"> anhängig sind.</w:t>
      </w:r>
    </w:p>
    <w:p w14:paraId="6A103A99" w14:textId="77777777" w:rsidR="0090768F" w:rsidRDefault="00000000">
      <w:pPr>
        <w:pStyle w:val="Compact"/>
        <w:numPr>
          <w:ilvl w:val="0"/>
          <w:numId w:val="54"/>
        </w:numPr>
      </w:pPr>
      <w:r>
        <w:rPr>
          <w:b/>
          <w:bCs/>
        </w:rPr>
        <w:t>Der Text der Edmodo-Verfügung</w:t>
      </w:r>
      <w:r>
        <w:t>, einschließlich der Bestimmung zur algorithmischen Löschung.</w:t>
      </w:r>
    </w:p>
    <w:p w14:paraId="0BA4E723" w14:textId="77777777" w:rsidR="0090768F" w:rsidRDefault="00000000">
      <w:pPr>
        <w:pStyle w:val="Compact"/>
        <w:numPr>
          <w:ilvl w:val="0"/>
          <w:numId w:val="54"/>
        </w:numPr>
      </w:pPr>
      <w:r>
        <w:rPr>
          <w:b/>
          <w:bCs/>
        </w:rPr>
        <w:t>MSCHE- (Juli 2025) und C-RAC-Erklärungen (Oktober 2025)</w:t>
      </w:r>
      <w:r>
        <w:t xml:space="preserve"> — beide nicht abrufbar; vor einer Festlegung zum US-Hochschulsegment beschaffen.</w:t>
      </w:r>
    </w:p>
    <w:p w14:paraId="5043DE3D" w14:textId="77777777" w:rsidR="0090768F" w:rsidRDefault="00000000">
      <w:pPr>
        <w:pStyle w:val="Compact"/>
        <w:numPr>
          <w:ilvl w:val="0"/>
          <w:numId w:val="54"/>
        </w:numPr>
      </w:pPr>
      <w:r>
        <w:rPr>
          <w:b/>
          <w:bCs/>
        </w:rPr>
        <w:t>Ob eine FERPA-Rechtsetzung eingeleitet wurde</w:t>
      </w:r>
      <w:r>
        <w:t>, auf die die FTC verwiesen hat. Die gesamte COPPA-Blockade ruht darauf.</w:t>
      </w:r>
    </w:p>
    <w:p w14:paraId="56B1B0A9" w14:textId="77777777" w:rsidR="0090768F" w:rsidRDefault="00000000">
      <w:pPr>
        <w:pStyle w:val="Compact"/>
        <w:numPr>
          <w:ilvl w:val="0"/>
          <w:numId w:val="54"/>
        </w:numPr>
      </w:pPr>
      <w:r>
        <w:rPr>
          <w:b/>
          <w:bCs/>
        </w:rPr>
        <w:t>Das Ergebnis der Abstimmung des Florida State Board of Education am 16. September 2026.</w:t>
      </w:r>
    </w:p>
    <w:p w14:paraId="79D32FD0" w14:textId="77777777" w:rsidR="0090768F" w:rsidRDefault="00000000">
      <w:pPr>
        <w:pStyle w:val="Compact"/>
        <w:numPr>
          <w:ilvl w:val="0"/>
          <w:numId w:val="54"/>
        </w:numPr>
      </w:pPr>
      <w:r>
        <w:t xml:space="preserve">Status von </w:t>
      </w:r>
      <w:r>
        <w:rPr>
          <w:b/>
          <w:bCs/>
        </w:rPr>
        <w:t>Kalifornien AB 1064</w:t>
      </w:r>
      <w:r>
        <w:t xml:space="preserve">; Inhalt von </w:t>
      </w:r>
      <w:r>
        <w:rPr>
          <w:b/>
          <w:bCs/>
        </w:rPr>
        <w:t>Alabama HB 329</w:t>
      </w:r>
      <w:r>
        <w:t xml:space="preserve">, </w:t>
      </w:r>
      <w:r>
        <w:rPr>
          <w:b/>
          <w:bCs/>
        </w:rPr>
        <w:t>Hawaii SB 2212</w:t>
      </w:r>
      <w:r>
        <w:t xml:space="preserve"> und </w:t>
      </w:r>
      <w:r>
        <w:rPr>
          <w:b/>
          <w:bCs/>
        </w:rPr>
        <w:t>West Virginia HB 5205</w:t>
      </w:r>
      <w:r>
        <w:t xml:space="preserve">; die Paragraphennummer der Tennessee-Regelung für Schulbezirke; ob ein </w:t>
      </w:r>
      <w:r>
        <w:rPr>
          <w:b/>
          <w:bCs/>
        </w:rPr>
        <w:t>überarbeitetes NIST AI RMF</w:t>
      </w:r>
      <w:r>
        <w:t xml:space="preserve"> veröffentlicht wurde.</w:t>
      </w:r>
    </w:p>
    <w:p w14:paraId="35DE3866" w14:textId="77777777" w:rsidR="0090768F" w:rsidRDefault="00000000">
      <w:pPr>
        <w:pStyle w:val="Compact"/>
        <w:numPr>
          <w:ilvl w:val="0"/>
          <w:numId w:val="54"/>
        </w:numPr>
      </w:pPr>
      <w:r>
        <w:rPr>
          <w:b/>
          <w:bCs/>
        </w:rPr>
        <w:t>Sämtliche in Sekundäranalysen genannten Produkthaftungsverfahren zu KI</w:t>
      </w:r>
      <w:r>
        <w:t xml:space="preserve"> sowie der </w:t>
      </w:r>
      <w:r>
        <w:rPr>
          <w:b/>
          <w:bCs/>
        </w:rPr>
        <w:t>KI-E&amp;O-Versicherungsmarkt</w:t>
      </w:r>
      <w:r>
        <w:t>, der nicht recherchiert wurde.</w:t>
      </w:r>
    </w:p>
    <w:p w14:paraId="29266205" w14:textId="77777777" w:rsidR="0090768F" w:rsidRDefault="00000000">
      <w:pPr>
        <w:pStyle w:val="FirstParagraph"/>
      </w:pPr>
      <w:r>
        <w:rPr>
          <w:b/>
          <w:bCs/>
        </w:rPr>
        <w:t>Eine Anmerkung zur Anbindung.</w:t>
      </w:r>
      <w:r>
        <w:t xml:space="preserve"> Drei MCP-Konnektoren (Brightdata, Anthropic Partner Network, Apollo) mussten während der Recherche neu autorisiert werden und standen nicht zur Verfügung. Das Schließen der Länderlücken in Punkt 12 ginge mit einem funktionierenden Zugriff auf die Hosts von DKJS, hessenrecht, landesrecht-bw und Medienberatung NRW erheblich schneller.</w:t>
      </w:r>
    </w:p>
    <w:p w14:paraId="408B1FCD" w14:textId="77777777" w:rsidR="0090768F" w:rsidRDefault="00000000">
      <w:pPr>
        <w:pStyle w:val="Heading2"/>
      </w:pPr>
      <w:bookmarkStart w:id="197" w:name="quellen"/>
      <w:bookmarkStart w:id="198" w:name="_Toc240060428"/>
      <w:bookmarkEnd w:id="195"/>
      <w:r>
        <w:t>15. Quellen</w:t>
      </w:r>
      <w:bookmarkEnd w:id="198"/>
    </w:p>
    <w:p w14:paraId="344FC7FA" w14:textId="77777777" w:rsidR="0090768F" w:rsidRDefault="00000000">
      <w:pPr>
        <w:pStyle w:val="FirstParagraph"/>
      </w:pPr>
      <w:r>
        <w:t xml:space="preserve">Das vollständige Quellenverzeichnis findet sich in </w:t>
      </w:r>
      <w:r>
        <w:rPr>
          <w:b/>
          <w:bCs/>
        </w:rPr>
        <w:t>Teil I, Abschnitt 15</w:t>
      </w:r>
      <w:r>
        <w:t>. Es gilt unverändert für Teil II; die Fundstellen sind dort nach Rechtsraum gegliedert: EU-Rechtsakte (15.1), EU-Rechtsprechung (15.2), EU-Aufsichtsdokumente (15.3), Deutschland (15.4), Vereinigtes Königreich (15.5), USA Bundesebene (15.6) und USA Einzelstaaten (15.7).</w:t>
      </w:r>
    </w:p>
    <w:p w14:paraId="73B786C0" w14:textId="77777777" w:rsidR="0090768F" w:rsidRDefault="00000000">
      <w:pPr>
        <w:pStyle w:val="BodyText"/>
      </w:pPr>
      <w:r>
        <w:rPr>
          <w:i/>
          <w:iCs/>
        </w:rPr>
        <w:t>Ende von Teil II.</w:t>
      </w:r>
      <w:bookmarkEnd w:id="103"/>
      <w:bookmarkEnd w:id="197"/>
    </w:p>
    <w:sectPr w:rsidR="0090768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35C8E" w14:textId="77777777" w:rsidR="00192D0C" w:rsidRDefault="00192D0C">
      <w:pPr>
        <w:spacing w:after="0"/>
      </w:pPr>
      <w:r>
        <w:separator/>
      </w:r>
    </w:p>
  </w:endnote>
  <w:endnote w:type="continuationSeparator" w:id="0">
    <w:p w14:paraId="65E0F9CE" w14:textId="77777777" w:rsidR="00192D0C" w:rsidRDefault="00192D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6058C" w14:textId="77777777" w:rsidR="00192D0C" w:rsidRDefault="00192D0C">
      <w:r>
        <w:separator/>
      </w:r>
    </w:p>
  </w:footnote>
  <w:footnote w:type="continuationSeparator" w:id="0">
    <w:p w14:paraId="2DF9E377" w14:textId="77777777" w:rsidR="00192D0C" w:rsidRDefault="00192D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8E65B4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8CAC17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5"/>
    <w:multiLevelType w:val="multilevel"/>
    <w:tmpl w:val="2BBE9840"/>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3" w15:restartNumberingAfterBreak="0">
    <w:nsid w:val="0A994112"/>
    <w:multiLevelType w:val="multilevel"/>
    <w:tmpl w:val="21622F6C"/>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4" w15:restartNumberingAfterBreak="0">
    <w:nsid w:val="0A994115"/>
    <w:multiLevelType w:val="multilevel"/>
    <w:tmpl w:val="B4A6F716"/>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5" w15:restartNumberingAfterBreak="0">
    <w:nsid w:val="0A994118"/>
    <w:multiLevelType w:val="multilevel"/>
    <w:tmpl w:val="7F427D2E"/>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6" w15:restartNumberingAfterBreak="0">
    <w:nsid w:val="0A994123"/>
    <w:multiLevelType w:val="multilevel"/>
    <w:tmpl w:val="CB6C96DC"/>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 w16cid:durableId="1843737136">
    <w:abstractNumId w:val="0"/>
  </w:num>
  <w:num w:numId="2" w16cid:durableId="188642333">
    <w:abstractNumId w:val="0"/>
  </w:num>
  <w:num w:numId="3" w16cid:durableId="1587230102">
    <w:abstractNumId w:val="0"/>
  </w:num>
  <w:num w:numId="4" w16cid:durableId="571046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5204898">
    <w:abstractNumId w:val="0"/>
  </w:num>
  <w:num w:numId="6" w16cid:durableId="1220508578">
    <w:abstractNumId w:val="0"/>
  </w:num>
  <w:num w:numId="7" w16cid:durableId="844635881">
    <w:abstractNumId w:val="0"/>
  </w:num>
  <w:num w:numId="8" w16cid:durableId="449974934">
    <w:abstractNumId w:val="0"/>
  </w:num>
  <w:num w:numId="9" w16cid:durableId="5422487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245653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477640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42005149">
    <w:abstractNumId w:val="0"/>
  </w:num>
  <w:num w:numId="13" w16cid:durableId="988245739">
    <w:abstractNumId w:val="0"/>
  </w:num>
  <w:num w:numId="14" w16cid:durableId="14104190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71041701">
    <w:abstractNumId w:val="0"/>
  </w:num>
  <w:num w:numId="16" w16cid:durableId="547104940">
    <w:abstractNumId w:val="0"/>
  </w:num>
  <w:num w:numId="17" w16cid:durableId="883099111">
    <w:abstractNumId w:val="0"/>
  </w:num>
  <w:num w:numId="18" w16cid:durableId="1812557665">
    <w:abstractNumId w:val="0"/>
  </w:num>
  <w:num w:numId="19" w16cid:durableId="16379075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1801580">
    <w:abstractNumId w:val="4"/>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21" w16cid:durableId="78403928">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2" w16cid:durableId="1869158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39427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45440033">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5" w16cid:durableId="1602765202">
    <w:abstractNumId w:val="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26" w16cid:durableId="58328819">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7" w16cid:durableId="1138690908">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8" w16cid:durableId="256643628">
    <w:abstractNumId w:val="0"/>
  </w:num>
  <w:num w:numId="29" w16cid:durableId="1502743298">
    <w:abstractNumId w:val="0"/>
  </w:num>
  <w:num w:numId="30" w16cid:durableId="1506091724">
    <w:abstractNumId w:val="0"/>
  </w:num>
  <w:num w:numId="31" w16cid:durableId="20933153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62406979">
    <w:abstractNumId w:val="0"/>
  </w:num>
  <w:num w:numId="33" w16cid:durableId="1016999239">
    <w:abstractNumId w:val="0"/>
  </w:num>
  <w:num w:numId="34" w16cid:durableId="1422095648">
    <w:abstractNumId w:val="0"/>
  </w:num>
  <w:num w:numId="35" w16cid:durableId="1730373732">
    <w:abstractNumId w:val="0"/>
  </w:num>
  <w:num w:numId="36" w16cid:durableId="20574611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597480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380424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58911789">
    <w:abstractNumId w:val="0"/>
  </w:num>
  <w:num w:numId="40" w16cid:durableId="1022046473">
    <w:abstractNumId w:val="0"/>
  </w:num>
  <w:num w:numId="41" w16cid:durableId="11542944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26177303">
    <w:abstractNumId w:val="0"/>
  </w:num>
  <w:num w:numId="43" w16cid:durableId="285430788">
    <w:abstractNumId w:val="0"/>
  </w:num>
  <w:num w:numId="44" w16cid:durableId="1754012067">
    <w:abstractNumId w:val="0"/>
  </w:num>
  <w:num w:numId="45" w16cid:durableId="1388840736">
    <w:abstractNumId w:val="0"/>
  </w:num>
  <w:num w:numId="46" w16cid:durableId="2097327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14105142">
    <w:abstractNumId w:val="4"/>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48" w16cid:durableId="2080785139">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49" w16cid:durableId="14180213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55249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05308068">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2" w16cid:durableId="4485396">
    <w:abstractNumId w:val="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53" w16cid:durableId="1058166679">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54" w16cid:durableId="73017165">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68F"/>
    <w:rsid w:val="00041B67"/>
    <w:rsid w:val="00192D0C"/>
    <w:rsid w:val="0090768F"/>
    <w:rsid w:val="0094161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14C99"/>
  <w15:docId w15:val="{7AEA20CB-8F88-4031-B1ED-D1A5EBA53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41615"/>
    <w:pPr>
      <w:spacing w:after="100"/>
    </w:pPr>
  </w:style>
  <w:style w:type="paragraph" w:styleId="TOC2">
    <w:name w:val="toc 2"/>
    <w:basedOn w:val="Normal"/>
    <w:next w:val="Normal"/>
    <w:autoRedefine/>
    <w:uiPriority w:val="39"/>
    <w:rsid w:val="0094161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140</Pages>
  <Words>56460</Words>
  <Characters>321826</Characters>
  <Application>Microsoft Office Word</Application>
  <DocSecurity>0</DocSecurity>
  <Lines>2681</Lines>
  <Paragraphs>755</Paragraphs>
  <ScaleCrop>false</ScaleCrop>
  <Company/>
  <LinksUpToDate>false</LinksUpToDate>
  <CharactersWithSpaces>377531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and Regulatory Requirements for AI-Supported Exam Grading</dc:title>
  <dc:creator>New Digital Intelligence · GRADIAS — Internal decision paper</dc:creator>
  <cp:keywords/>
  <cp:lastModifiedBy>Michael Burian</cp:lastModifiedBy>
  <cp:revision>2</cp:revision>
  <dcterms:created xsi:type="dcterms:W3CDTF">2026-09-11T21:06:00Z</dcterms:created>
  <dcterms:modified xsi:type="dcterms:W3CDTF">2026-09-11T21:06:00Z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September 2026 · Version 1.0</vt:lpwstr>
  </property>
</Properties>
</file>