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Legal</w:t>
      </w:r>
      <w:r>
        <w:t xml:space="preserve"> </w:t>
      </w:r>
      <w:r>
        <w:t xml:space="preserve">and</w:t>
      </w:r>
      <w:r>
        <w:t xml:space="preserve"> </w:t>
      </w:r>
      <w:r>
        <w:t xml:space="preserve">Regulatory</w:t>
      </w:r>
      <w:r>
        <w:t xml:space="preserve"> </w:t>
      </w:r>
      <w:r>
        <w:t xml:space="preserve">Requirements</w:t>
      </w:r>
      <w:r>
        <w:t xml:space="preserve"> </w:t>
      </w:r>
      <w:r>
        <w:t xml:space="preserve">for</w:t>
      </w:r>
      <w:r>
        <w:t xml:space="preserve"> </w:t>
      </w:r>
      <w:r>
        <w:t xml:space="preserve">AI-Supported</w:t>
      </w:r>
      <w:r>
        <w:t xml:space="preserve"> </w:t>
      </w:r>
      <w:r>
        <w:t xml:space="preserve">Exam</w:t>
      </w:r>
      <w:r>
        <w:t xml:space="preserve"> </w:t>
      </w:r>
      <w:r>
        <w:t xml:space="preserve">Grading</w:t>
      </w:r>
    </w:p>
    <w:p>
      <w:pPr>
        <w:pStyle w:val="Author"/>
      </w:pPr>
      <w:r>
        <w:t xml:space="preserve">Germany</w:t>
      </w:r>
      <w:r>
        <w:t xml:space="preserve"> </w:t>
      </w:r>
      <w:r>
        <w:t xml:space="preserve">·</w:t>
      </w:r>
      <w:r>
        <w:t xml:space="preserve"> </w:t>
      </w:r>
      <w:r>
        <w:t xml:space="preserve">United</w:t>
      </w:r>
      <w:r>
        <w:t xml:space="preserve"> </w:t>
      </w:r>
      <w:r>
        <w:t xml:space="preserve">Kingdom</w:t>
      </w:r>
      <w:r>
        <w:t xml:space="preserve"> </w:t>
      </w:r>
      <w:r>
        <w:t xml:space="preserve">·</w:t>
      </w:r>
      <w:r>
        <w:t xml:space="preserve"> </w:t>
      </w:r>
      <w:r>
        <w:t xml:space="preserve">United</w:t>
      </w:r>
      <w:r>
        <w:t xml:space="preserve"> </w:t>
      </w:r>
      <w:r>
        <w:t xml:space="preserve">States</w:t>
      </w:r>
    </w:p>
    <w:p>
      <w:pPr>
        <w:pStyle w:val="Date"/>
      </w:pPr>
      <w:r>
        <w:t xml:space="preserve">A</w:t>
      </w:r>
      <w:r>
        <w:t xml:space="preserve"> </w:t>
      </w:r>
      <w:r>
        <w:t xml:space="preserve">review</w:t>
      </w:r>
      <w:r>
        <w:t xml:space="preserve"> </w:t>
      </w:r>
      <w:r>
        <w:t xml:space="preserve">of</w:t>
      </w:r>
      <w:r>
        <w:t xml:space="preserve"> </w:t>
      </w:r>
      <w:r>
        <w:t xml:space="preserve">the</w:t>
      </w:r>
      <w:r>
        <w:t xml:space="preserve"> </w:t>
      </w:r>
      <w:r>
        <w:t xml:space="preserve">applicable</w:t>
      </w:r>
      <w:r>
        <w:t xml:space="preserve"> </w:t>
      </w:r>
      <w:r>
        <w:t xml:space="preserve">law</w:t>
      </w:r>
      <w:r>
        <w:t xml:space="preserve"> </w:t>
      </w:r>
      <w:r>
        <w:t xml:space="preserve">as</w:t>
      </w:r>
      <w:r>
        <w:t xml:space="preserve"> </w:t>
      </w:r>
      <w:r>
        <w:t xml:space="preserve">at</w:t>
      </w:r>
      <w:r>
        <w:t xml:space="preserve"> </w:t>
      </w:r>
      <w:r>
        <w:t xml:space="preserve">11</w:t>
      </w:r>
      <w:r>
        <w:t xml:space="preserve"> </w:t>
      </w:r>
      <w:r>
        <w:t xml:space="preserve">September</w:t>
      </w:r>
      <w:r>
        <w:t xml:space="preserve"> </w:t>
      </w:r>
      <w:r>
        <w:t xml:space="preserve">2026</w:t>
      </w:r>
      <w:r>
        <w:t xml:space="preserve"> </w:t>
      </w:r>
      <w:r>
        <w:t xml:space="preserve">·</w:t>
      </w:r>
      <w:r>
        <w:t xml:space="preserve"> </w:t>
      </w:r>
      <w:r>
        <w:t xml:space="preserve">Version</w:t>
      </w:r>
      <w:r>
        <w:t xml:space="preserve"> </w:t>
      </w:r>
      <w:r>
        <w:t xml:space="preserve">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t xml:space="preserve">This review is bilingual: Part I is in English, Part II is a one-to-one German rendering of the same content. It states the law as at 11 September 2026. It is not legal advice and has not been reviewed by a lawyer.</w:t>
      </w:r>
    </w:p>
    <w:p>
      <w:pPr>
        <w:pStyle w:val="BodyText"/>
      </w:pPr>
      <w:r>
        <w:t xml:space="preserve">Bilingual document. Part I is in English; Part II is a one-to-one German rendering of the same content. / Zweisprachiges Dokument. Teil I ist englisch; Teil II ist eine 1:1-Entsprechung desselben Inhalts auf Deutsch.</w:t>
      </w:r>
    </w:p>
    <w:bookmarkStart w:id="114" w:name="part-i-english"/>
    <w:p>
      <w:pPr>
        <w:pStyle w:val="Heading1"/>
      </w:pPr>
      <w:r>
        <w:t xml:space="preserve">PART I — ENGLISH</w:t>
      </w:r>
    </w:p>
    <w:bookmarkStart w:id="20" w:name="how-to-read-this-document"/>
    <w:p>
      <w:pPr>
        <w:pStyle w:val="Heading2"/>
      </w:pPr>
      <w:r>
        <w:t xml:space="preserve">0. How to read this document</w:t>
      </w:r>
    </w:p>
    <w:p>
      <w:pPr>
        <w:pStyle w:val="FirstParagraph"/>
      </w:pPr>
      <w:r>
        <w:rPr>
          <w:bCs/>
          <w:b/>
        </w:rPr>
        <w:t xml:space="preserve">Purpose.</w:t>
      </w:r>
      <w:r>
        <w:t xml:space="preserve"> </w:t>
      </w:r>
      <w:r>
        <w:t xml:space="preserve">This review establishes what the law requires of AI-supported exam grading in three jurisdictions — Germany, the United Kingdom and the United States — and answers the six questions set out below (§§3–8): what the GDPR requires; what the EU AI Act implies; what rules exist below the EU level in Germany; why AI processing is legally different from ordinary data processing; whether a teacher may use such a service or the school must authorise it; and whether a Land or the Bund could authorise all schools at once.</w:t>
      </w:r>
    </w:p>
    <w:p>
      <w:pPr>
        <w:pStyle w:val="BodyText"/>
      </w:pPr>
      <w:r>
        <w:rPr>
          <w:bCs/>
          <w:b/>
        </w:rPr>
        <w:t xml:space="preserve">Scope of the system assumed throughout.</w:t>
      </w:r>
      <w:r>
        <w:t xml:space="preserve"> </w:t>
      </w:r>
      <w:r>
        <w:t xml:space="preserve">Scanned handwritten (or typed) school and university exam scripts are ingested; OCR/handwriting recognition transcribes them; a language model applies a rubric and produces a proposed score plus feedback; a teacher or examiner reviews and decides the final mark. Where a conclusion turns on a different configuration — a student-facing feature, proctoring, model training on customer data — this is stated.</w:t>
      </w:r>
    </w:p>
    <w:p>
      <w:pPr>
        <w:pStyle w:val="BodyText"/>
      </w:pPr>
      <w:r>
        <w:rPr>
          <w:bCs/>
          <w:b/>
        </w:rPr>
        <w:t xml:space="preserve">Status of the law.</w:t>
      </w:r>
      <w:r>
        <w:t xml:space="preserve"> </w:t>
      </w:r>
      <w:r>
        <w:t xml:space="preserve">Everything is stated as at</w:t>
      </w:r>
      <w:r>
        <w:t xml:space="preserve"> </w:t>
      </w:r>
      <w:r>
        <w:rPr>
          <w:bCs/>
          <w:b/>
        </w:rPr>
        <w:t xml:space="preserve">11 September 2026</w:t>
      </w:r>
      <w:r>
        <w:t xml:space="preserve">. Three areas moved materially in the last twelve months and any paper written before mid-2026 is wrong on them: the EU AI Act timetable (Regulation (EU) 2026/1744), the UK automated-decision-making regime (Data (Use and Access) Act 2025, in force 5 February 2026), and Colorado’s AI Act (repealed and replaced in May 2026).</w:t>
      </w:r>
    </w:p>
    <w:p>
      <w:pPr>
        <w:pStyle w:val="BodyText"/>
      </w:pPr>
      <w:r>
        <w:rPr>
          <w:bCs/>
          <w:b/>
        </w:rPr>
        <w:t xml:space="preserve">Verification convention.</w:t>
      </w:r>
      <w:r>
        <w:t xml:space="preserve"> </w:t>
      </w:r>
      <w:r>
        <w:t xml:space="preserve">Every substantive claim is traceable to a primary source listed in §15. Where a source could not be verified for this review, the text says so in the sentence itself rather than in a footnote. §14 lists every open item. This convention is deliberate: a compliance analysis that does not distinguish what it checked from what it assumed cannot be relied on, because a reader has no way to tell which of its conclusions rest on verified law.</w:t>
      </w:r>
    </w:p>
    <w:p>
      <w:pPr>
        <w:pStyle w:val="BodyText"/>
      </w:pPr>
      <w:r>
        <w:rPr>
          <w:bCs/>
          <w:b/>
        </w:rPr>
        <w:t xml:space="preserve">Not legal advice.</w:t>
      </w:r>
      <w:r>
        <w:t xml:space="preserve"> </w:t>
      </w:r>
      <w:r>
        <w:t xml:space="preserve">No lawyer has reviewed this. It is a structured reading of primary sources, not a legal opinion. The items listed as highest priority in §14 should go to counsel before anything in this review is relied on.</w:t>
      </w:r>
    </w:p>
    <w:bookmarkEnd w:id="20"/>
    <w:bookmarkStart w:id="21" w:name="summary-of-findings"/>
    <w:p>
      <w:pPr>
        <w:pStyle w:val="Heading2"/>
      </w:pPr>
      <w:r>
        <w:t xml:space="preserve">1. Summary of findings</w:t>
      </w:r>
    </w:p>
    <w:p>
      <w:pPr>
        <w:pStyle w:val="FirstParagraph"/>
      </w:pPr>
      <w:r>
        <w:rPr>
          <w:bCs/>
          <w:b/>
        </w:rPr>
        <w:t xml:space="preserve">1. Exam scripts are personal data, and this is settled, not arguable.</w:t>
      </w:r>
      <w:r>
        <w:t xml:space="preserve"> </w:t>
      </w:r>
      <w:r>
        <w:t xml:space="preserve">CJEU C-434/16</w:t>
      </w:r>
      <w:r>
        <w:t xml:space="preserve"> </w:t>
      </w:r>
      <w:r>
        <w:rPr>
          <w:iCs/>
          <w:i/>
        </w:rPr>
        <w:t xml:space="preserve">Nowak</w:t>
      </w:r>
      <w:r>
        <w:t xml:space="preserve"> </w:t>
      </w:r>
      <w:r>
        <w:t xml:space="preserve">holds that a candidate’s written answers</w:t>
      </w:r>
      <w:r>
        <w:t xml:space="preserve"> </w:t>
      </w:r>
      <w:r>
        <w:rPr>
          <w:bCs/>
          <w:b/>
        </w:rPr>
        <w:t xml:space="preserve">and</w:t>
      </w:r>
      <w:r>
        <w:t xml:space="preserve"> </w:t>
      </w:r>
      <w:r>
        <w:t xml:space="preserve">the examiner’s comments on them are the candidate’s personal data. Anything the system generates and attaches to a script — sub-scores, confidence values, feedback text, flags — is likewise that student’s personal data and is disclosable.</w:t>
      </w:r>
    </w:p>
    <w:p>
      <w:pPr>
        <w:pStyle w:val="BodyText"/>
      </w:pPr>
      <w:r>
        <w:rPr>
          <w:bCs/>
          <w:b/>
        </w:rPr>
        <w:t xml:space="preserve">2. Pseudonymisation does not reduce the applicable obligations.</w:t>
      </w:r>
      <w:r>
        <w:t xml:space="preserve"> </w:t>
      </w:r>
      <w:r>
        <w:t xml:space="preserve">Pseudonymised data is personal data (GDPR Recital 26; EDPB Guidelines 01/2025). Removing the name does almost nothing in this setting, because handwriting within a class of 25–30 is near-unique and the examiner who receives the output knows every hand in the room — identification is not merely likely, it is the purpose. NRW’s AI/data-protection FAQ makes two further points that close the obvious workarounds: replacing names with pupil numbers does not necessarily remove personal-data status, and</w:t>
      </w:r>
      <w:r>
        <w:t xml:space="preserve"> </w:t>
      </w:r>
      <w:r>
        <w:rPr>
          <w:bCs/>
          <w:b/>
        </w:rPr>
        <w:t xml:space="preserve">anonymisation is itself a processing operation that needs its own lawful basis — transmitting identified data to an AI service in order to have it anonymised does not cure the initial disclosure.</w:t>
      </w:r>
      <w:r>
        <w:t xml:space="preserve"> </w:t>
      </w:r>
      <w:r>
        <w:t xml:space="preserve">Pseudonymisation remains a genuine Art. 25 data-protection-by-design and Art. 32 security measure, and it carries weight in balancing tests. It removes no obligation.</w:t>
      </w:r>
    </w:p>
    <w:p>
      <w:pPr>
        <w:pStyle w:val="BodyText"/>
      </w:pPr>
      <w:r>
        <w:rPr>
          <w:bCs/>
          <w:b/>
        </w:rPr>
        <w:t xml:space="preserve">3. AI-supported exam grading is a high-risk AI system under the EU AI Act, Annex III point 3(b) —</w:t>
      </w:r>
      <w:r>
        <w:rPr>
          <w:bCs/>
          <w:b/>
        </w:rPr>
        <w:t xml:space="preserve"> </w:t>
      </w:r>
      <w:r>
        <w:rPr>
          <w:bCs/>
          <w:b/>
        </w:rPr>
        <w:t xml:space="preserve">“</w:t>
      </w:r>
      <w:r>
        <w:rPr>
          <w:bCs/>
          <w:b/>
        </w:rPr>
        <w:t xml:space="preserve">AI systems intended to be used to evaluate learning outcomes</w:t>
      </w:r>
      <w:r>
        <w:rPr>
          <w:bCs/>
          <w:b/>
        </w:rPr>
        <w:t xml:space="preserve">”</w:t>
      </w:r>
      <w:r>
        <w:rPr>
          <w:bCs/>
          <w:b/>
        </w:rPr>
        <w:t xml:space="preserve">. This is not arguable either.</w:t>
      </w:r>
    </w:p>
    <w:p>
      <w:pPr>
        <w:pStyle w:val="BodyText"/>
      </w:pPr>
      <w:r>
        <w:rPr>
          <w:bCs/>
          <w:b/>
        </w:rPr>
        <w:t xml:space="preserve">4. The Art. 6(3) derogation from the high-risk rules is, on the analysis at §4.3, not available to a system of this kind.</w:t>
      </w:r>
      <w:r>
        <w:t xml:space="preserve"> </w:t>
      </w:r>
      <w:r>
        <w:t xml:space="preserve">Art. 6(3) AI Act closes on three independent grounds: the final sub-paragraph makes any system performing</w:t>
      </w:r>
      <w:r>
        <w:t xml:space="preserve"> </w:t>
      </w:r>
      <w:r>
        <w:rPr>
          <w:iCs/>
          <w:i/>
        </w:rPr>
        <w:t xml:space="preserve">profiling</w:t>
      </w:r>
      <w:r>
        <w:t xml:space="preserve"> </w:t>
      </w:r>
      <w:r>
        <w:t xml:space="preserve">of natural persons always high-risk, and scoring a student’s attainment is profiling on the GDPR Art. 4(4) definition the AI Act adopts; the chapeau requires that the system not materially influence the outcome of decision-making, which is the opposite of what a grading-assistance system is designed to do; and the Commission’s draft classification guidelines of 19 May 2026 exclude systems that</w:t>
      </w:r>
      <w:r>
        <w:t xml:space="preserve"> </w:t>
      </w:r>
      <w:r>
        <w:t xml:space="preserve">“</w:t>
      </w:r>
      <w:r>
        <w:t xml:space="preserve">rank, score, or label</w:t>
      </w:r>
      <w:r>
        <w:t xml:space="preserve">”</w:t>
      </w:r>
      <w:r>
        <w:t xml:space="preserve"> </w:t>
      </w:r>
      <w:r>
        <w:t xml:space="preserve">and treat summative assessment as high-risk. Even where the derogation succeeds, Art. 6(4) and Art. 49(2) require a documented assessment and</w:t>
      </w:r>
      <w:r>
        <w:t xml:space="preserve"> </w:t>
      </w:r>
      <w:r>
        <w:rPr>
          <w:bCs/>
          <w:b/>
        </w:rPr>
        <w:t xml:space="preserve">public</w:t>
      </w:r>
      <w:r>
        <w:t xml:space="preserve"> </w:t>
      </w:r>
      <w:r>
        <w:t xml:space="preserve">registration of the not-high-risk claim in the EU database, which for an exam-grading system invites supervisory attention. One point of terminology:</w:t>
      </w:r>
      <w:r>
        <w:t xml:space="preserve"> </w:t>
      </w:r>
      <w:r>
        <w:t xml:space="preserve">“</w:t>
      </w:r>
      <w:r>
        <w:t xml:space="preserve">System 4</w:t>
      </w:r>
      <w:r>
        <w:t xml:space="preserve">”</w:t>
      </w:r>
      <w:r>
        <w:t xml:space="preserve"> </w:t>
      </w:r>
      <w:r>
        <w:t xml:space="preserve">/</w:t>
      </w:r>
      <w:r>
        <w:t xml:space="preserve"> </w:t>
      </w:r>
      <w:r>
        <w:t xml:space="preserve">“</w:t>
      </w:r>
      <w:r>
        <w:t xml:space="preserve">Category 4</w:t>
      </w:r>
      <w:r>
        <w:t xml:space="preserve">”</w:t>
      </w:r>
      <w:r>
        <w:t xml:space="preserve">, which is found in circulation, is not AI Act vocabulary. The correct citation is</w:t>
      </w:r>
      <w:r>
        <w:t xml:space="preserve"> </w:t>
      </w:r>
      <w:r>
        <w:rPr>
          <w:bCs/>
          <w:b/>
        </w:rPr>
        <w:t xml:space="preserve">Annex III, point 3(b)</w:t>
      </w:r>
      <w:r>
        <w:t xml:space="preserve">.</w:t>
      </w:r>
    </w:p>
    <w:p>
      <w:pPr>
        <w:pStyle w:val="BodyText"/>
      </w:pPr>
      <w:r>
        <w:rPr>
          <w:bCs/>
          <w:b/>
        </w:rPr>
        <w:t xml:space="preserve">5. The timetable moved.</w:t>
      </w:r>
      <w:r>
        <w:t xml:space="preserve"> </w:t>
      </w:r>
      <w:r>
        <w:t xml:space="preserve">Regulation (EU) 2026/1744 (Digital Omnibus on AI), in force 27 July 2026, deferred the Annex III high-risk obligations from 2 August 2026 to</w:t>
      </w:r>
      <w:r>
        <w:t xml:space="preserve"> </w:t>
      </w:r>
      <w:r>
        <w:rPr>
          <w:bCs/>
          <w:b/>
        </w:rPr>
        <w:t xml:space="preserve">2 December 2027</w:t>
      </w:r>
      <w:r>
        <w:t xml:space="preserve">. Arts. 8–15 and 16–27 therefore bite from that date, on the provider and on schools as deployers. A real gap remains unresolved: the deferral covers only Chapter III Sections 1–3. Section 5 (Arts. 40–49: conformity assessment, declaration of conformity, CE marking, registration) was</w:t>
      </w:r>
      <w:r>
        <w:t xml:space="preserve"> </w:t>
      </w:r>
      <w:r>
        <w:rPr>
          <w:bCs/>
          <w:b/>
        </w:rPr>
        <w:t xml:space="preserve">not</w:t>
      </w:r>
      <w:r>
        <w:t xml:space="preserve"> </w:t>
      </w:r>
      <w:r>
        <w:t xml:space="preserve">deferred and has applied since 2 August 2026, while Art. 6 — the provision that classifies a system as high-risk — has not. No authority has resolved this. Registration therefore cannot be assumed to be unnecessary.</w:t>
      </w:r>
    </w:p>
    <w:p>
      <w:pPr>
        <w:pStyle w:val="BodyText"/>
      </w:pPr>
      <w:r>
        <w:rPr>
          <w:bCs/>
          <w:b/>
        </w:rPr>
        <w:t xml:space="preserve">6. The conformity route does not involve a notified body.</w:t>
      </w:r>
      <w:r>
        <w:t xml:space="preserve"> </w:t>
      </w:r>
      <w:r>
        <w:t xml:space="preserve">For Annex III points 2–8, including education, Art. 43 prescribes the</w:t>
      </w:r>
      <w:r>
        <w:t xml:space="preserve"> </w:t>
      </w:r>
      <w:r>
        <w:rPr>
          <w:bCs/>
          <w:b/>
        </w:rPr>
        <w:t xml:space="preserve">Annex VI internal-control</w:t>
      </w:r>
      <w:r>
        <w:t xml:space="preserve"> </w:t>
      </w:r>
      <w:r>
        <w:t xml:space="preserve">procedure: self-assessment, EU declaration of conformity, CE marking, EU database registration.</w:t>
      </w:r>
      <w:r>
        <w:t xml:space="preserve"> </w:t>
      </w:r>
      <w:r>
        <w:rPr>
          <w:bCs/>
          <w:b/>
        </w:rPr>
        <w:t xml:space="preserve">No notified body is involved.</w:t>
      </w:r>
    </w:p>
    <w:p>
      <w:pPr>
        <w:pStyle w:val="BodyText"/>
      </w:pPr>
      <w:r>
        <w:rPr>
          <w:bCs/>
          <w:b/>
        </w:rPr>
        <w:t xml:space="preserve">7. Germany has addressed the central question at national level.</w:t>
      </w:r>
      <w:r>
        <w:t xml:space="preserve"> </w:t>
      </w:r>
      <w:r>
        <w:t xml:space="preserve">The Bildungsministerkonferenz resolution of 10 October 2024 states:</w:t>
      </w:r>
      <w:r>
        <w:t xml:space="preserve"> </w:t>
      </w:r>
      <w:r>
        <w:rPr>
          <w:iCs/>
          <w:i/>
        </w:rPr>
        <w:t xml:space="preserve">“</w:t>
      </w:r>
      <w:r>
        <w:rPr>
          <w:iCs/>
          <w:i/>
        </w:rPr>
        <w:t xml:space="preserve">Leistungsbewertung ist und bleibt eine pädagogische und hoheitliche Aufgabe, die als Verwaltungsakt im schulischen Kontext ausschließlich von Lehrkräften erfüllt werden kann</w:t>
      </w:r>
      <w:r>
        <w:rPr>
          <w:iCs/>
          <w:i/>
        </w:rPr>
        <w:t xml:space="preserve">”</w:t>
      </w:r>
      <w:r>
        <w:t xml:space="preserve"> </w:t>
      </w:r>
      <w:r>
        <w:t xml:space="preserve">— and in the same passage expressly endorses AI as</w:t>
      </w:r>
      <w:r>
        <w:t xml:space="preserve"> </w:t>
      </w:r>
      <w:r>
        <w:rPr>
          <w:iCs/>
          <w:i/>
        </w:rPr>
        <w:t xml:space="preserve">Vorkorrektur</w:t>
      </w:r>
      <w:r>
        <w:t xml:space="preserve"> </w:t>
      </w:r>
      <w:r>
        <w:t xml:space="preserve">and</w:t>
      </w:r>
      <w:r>
        <w:t xml:space="preserve"> </w:t>
      </w:r>
      <w:r>
        <w:rPr>
          <w:iCs/>
          <w:i/>
        </w:rPr>
        <w:t xml:space="preserve">Korrekturassistenz</w:t>
      </w:r>
      <w:r>
        <w:t xml:space="preserve">, calls for Länder rules governing its use as an</w:t>
      </w:r>
      <w:r>
        <w:t xml:space="preserve"> </w:t>
      </w:r>
      <w:r>
        <w:rPr>
          <w:iCs/>
          <w:i/>
        </w:rPr>
        <w:t xml:space="preserve">Entscheidungsunterstützungssystem</w:t>
      </w:r>
      <w:r>
        <w:t xml:space="preserve">, and names the conditions: data protection, security, transparency, explainability, bias. The resolution is simultaneously the ceiling and the authorisation for assistive use.</w:t>
      </w:r>
      <w:r>
        <w:t xml:space="preserve"> </w:t>
      </w:r>
      <w:r>
        <w:rPr>
          <w:bCs/>
          <w:b/>
        </w:rPr>
        <w:t xml:space="preserve">One caution on how the passage is quoted:</w:t>
      </w:r>
      <w:r>
        <w:t xml:space="preserve"> </w:t>
      </w:r>
      <w:r>
        <w:t xml:space="preserve">the KMK’s</w:t>
      </w:r>
      <w:r>
        <w:t xml:space="preserve"> </w:t>
      </w:r>
      <w:r>
        <w:rPr>
          <w:iCs/>
          <w:i/>
        </w:rPr>
        <w:t xml:space="preserve">Verwaltungsakt</w:t>
      </w:r>
      <w:r>
        <w:t xml:space="preserve"> </w:t>
      </w:r>
      <w:r>
        <w:t xml:space="preserve">characterisation should not be read as making every individual classroom mark a separately appealable administrative act. The Kloppenburg opinion distinguishes individual marks from administrative acts while holding that significant effects are possible in either case, which is the accurate formulation.</w:t>
      </w:r>
    </w:p>
    <w:p>
      <w:pPr>
        <w:pStyle w:val="BodyText"/>
      </w:pPr>
      <w:r>
        <w:rPr>
          <w:bCs/>
          <w:b/>
        </w:rPr>
        <w:t xml:space="preserve">8. The German constraint concerns the transmission of pupil personal data rather than assistive correction as such.</w:t>
      </w:r>
      <w:r>
        <w:t xml:space="preserve"> </w:t>
      </w:r>
      <w:r>
        <w:t xml:space="preserve">NRW’s ministry</w:t>
      </w:r>
      <w:r>
        <w:t xml:space="preserve"> </w:t>
      </w:r>
      <w:r>
        <w:rPr>
          <w:bCs/>
          <w:b/>
        </w:rPr>
        <w:t xml:space="preserve">expressly permits supportive correction use</w:t>
      </w:r>
      <w:r>
        <w:t xml:space="preserve">, requires the teacher to form their own assessment, describes automated assessment as high-risk and subject to strict conditions — and states that</w:t>
      </w:r>
      <w:r>
        <w:t xml:space="preserve"> </w:t>
      </w:r>
      <w:r>
        <w:rPr>
          <w:bCs/>
          <w:b/>
        </w:rPr>
        <w:t xml:space="preserve">pupil personal data must not be transmitted</w:t>
      </w:r>
      <w:r>
        <w:t xml:space="preserve">. Hessen’s 2023 Handreichung is to the same effect on data (</w:t>
      </w:r>
      <w:r>
        <w:rPr>
          <w:iCs/>
          <w:i/>
        </w:rPr>
        <w:t xml:space="preserve">“</w:t>
      </w:r>
      <w:r>
        <w:rPr>
          <w:iCs/>
          <w:i/>
        </w:rPr>
        <w:t xml:space="preserve">keine Eingabe personenbezogener Daten von Schülerinnen und Schülern</w:t>
      </w:r>
      <w:r>
        <w:rPr>
          <w:iCs/>
          <w:i/>
        </w:rPr>
        <w:t xml:space="preserve">”</w:t>
      </w:r>
      <w:r>
        <w:t xml:space="preserve">), as is NRW’s 2023 Handlungsleitfaden; Baden-Württemberg states that</w:t>
      </w:r>
      <w:r>
        <w:t xml:space="preserve"> </w:t>
      </w:r>
      <w:r>
        <w:rPr>
          <w:iCs/>
          <w:i/>
        </w:rPr>
        <w:t xml:space="preserve">“</w:t>
      </w:r>
      <w:r>
        <w:rPr>
          <w:iCs/>
          <w:i/>
        </w:rPr>
        <w:t xml:space="preserve">KI-Anwendungen keine Noten vergeben</w:t>
      </w:r>
      <w:r>
        <w:rPr>
          <w:iCs/>
          <w:i/>
        </w:rPr>
        <w:t xml:space="preserve">”</w:t>
      </w:r>
      <w:r>
        <w:t xml:space="preserve"> </w:t>
      </w:r>
      <w:r>
        <w:t xml:space="preserve">dürfen. The assistive workflow is therefore sanctioned and the</w:t>
      </w:r>
      <w:r>
        <w:t xml:space="preserve"> </w:t>
      </w:r>
      <w:r>
        <w:rPr>
          <w:bCs/>
          <w:b/>
        </w:rPr>
        <w:t xml:space="preserve">data transfer is the constraint</w:t>
      </w:r>
      <w:r>
        <w:t xml:space="preserve">, which locates the legal question at where the input is processed rather than at whether such a system may exist at all.</w:t>
      </w:r>
    </w:p>
    <w:p>
      <w:pPr>
        <w:pStyle w:val="BodyText"/>
      </w:pPr>
      <w:r>
        <w:rPr>
          <w:bCs/>
          <w:b/>
        </w:rPr>
        <w:t xml:space="preserve">8a. In North Rhine-Westphalia the question is currently before the Landtag.</w:t>
      </w:r>
      <w:r>
        <w:t xml:space="preserve"> </w:t>
      </w:r>
      <w:r>
        <w:t xml:space="preserve">An FDP motion,</w:t>
      </w:r>
      <w:r>
        <w:t xml:space="preserve"> </w:t>
      </w:r>
      <w:r>
        <w:rPr>
          <w:iCs/>
          <w:i/>
        </w:rPr>
        <w:t xml:space="preserve">Drucksache 18/18104</w:t>
      </w:r>
      <w:r>
        <w:t xml:space="preserve">, proposes making AI-assisted correction standard, with human final responsibility, transparent criteria, sample checks and additional human review on request. Nine expert submissions were filed to the hearing, including a 13-page legal opinion from Alicia Kloppenburg (Ruhr-Universität Bochum, 6 June 2026), positions from Philologenverband NRW, lehrer nrw, vlbs, VBE and GEW, and a submission from a supplier already active in this market.</w:t>
      </w:r>
      <w:r>
        <w:t xml:space="preserve"> </w:t>
      </w:r>
      <w:r>
        <w:rPr>
          <w:bCs/>
          <w:b/>
        </w:rPr>
        <w:t xml:space="preserve">A motion changes no law and approves no supplier</w:t>
      </w:r>
      <w:r>
        <w:t xml:space="preserve"> </w:t>
      </w:r>
      <w:r>
        <w:t xml:space="preserve">— but it is the most concrete current route to the Land-level rules the KMK called for, and the submissions amount to a published statement of what the sector will demand. §5.12 sets out what each contributes.</w:t>
      </w:r>
    </w:p>
    <w:p>
      <w:pPr>
        <w:pStyle w:val="BodyText"/>
      </w:pPr>
      <w:r>
        <w:rPr>
          <w:bCs/>
          <w:b/>
        </w:rPr>
        <w:t xml:space="preserve">9. A teacher cannot lawfully sign up alone, in any of the three countries.</w:t>
      </w:r>
      <w:r>
        <w:t xml:space="preserve"> </w:t>
      </w:r>
      <w:r>
        <w:t xml:space="preserve">The controller is the school, trust, Land body or district — never the individual teacher. A teacher cannot conclude an Art. 28 processing agreement, cannot amend a district’s FERPA annual notification, and in Germany faces personal exposure under the Dienstgeheimnis and, at the margin, § 203(2) StGB.</w:t>
      </w:r>
    </w:p>
    <w:p>
      <w:pPr>
        <w:pStyle w:val="BodyText"/>
      </w:pPr>
      <w:r>
        <w:rPr>
          <w:bCs/>
          <w:b/>
        </w:rPr>
        <w:t xml:space="preserve">10. No jurisdiction offers a single switch that authorises all schools.</w:t>
      </w:r>
      <w:r>
        <w:t xml:space="preserve"> </w:t>
      </w:r>
      <w:r>
        <w:t xml:space="preserve">Germany: the Bund has no competence over schools at all (Kulturhoheit der Länder); a Land has five mechanisms of very different speed, of which an administrative instruction is fastest and a Verordnung amendment slowest (in NRW, § 122(4) SchulG requires the consent of the Landtag education committee). England: no national mechanism exists; the unit of scale is the multi-academy trust. Wales (Hwb) and Northern Ireland (EA/EdIS) do have genuine single-decision national gates. The US: the federal government cannot; the mechanism that delivers</w:t>
      </w:r>
      <w:r>
        <w:t xml:space="preserve"> </w:t>
      </w:r>
      <w:r>
        <w:t xml:space="preserve">“</w:t>
      </w:r>
      <w:r>
        <w:t xml:space="preserve">sign once, reach many</w:t>
      </w:r>
      <w:r>
        <w:t xml:space="preserve">”</w:t>
      </w:r>
      <w:r>
        <w:t xml:space="preserve"> </w:t>
      </w:r>
      <w:r>
        <w:t xml:space="preserve">is the SDPC National Data Privacy Agreement with its Exhibit E general offer.</w:t>
      </w:r>
    </w:p>
    <w:p>
      <w:pPr>
        <w:pStyle w:val="BodyText"/>
      </w:pPr>
      <w:r>
        <w:rPr>
          <w:bCs/>
          <w:b/>
        </w:rPr>
        <w:t xml:space="preserve">11. The design of the review interface determines the compliance position.</w:t>
      </w:r>
      <w:r>
        <w:t xml:space="preserve"> </w:t>
      </w:r>
      <w:r>
        <w:t xml:space="preserve">Where the proposed mark appears on screen, and how many actions acceptance takes, determines simultaneously (a) whether the deployer is inside or outside Art. 22 GDPR / Art. 22C UK GDPR, (b) whether the provider satisfies AI Act Art. 14(4)(b) on automation bias, (c) whether the California ADMT safe harbour applies, and (d) whether Oklahoma SB 1734 is complied with. The consequence is a requirement, not a preference: the system must not offer an auto-accept, bulk-accept or timeout-accept path in any market, and Art. 14(4)(b) requires the system to be designed so that the reviewing person remains aware of the tendency to over-rely on its output — an interface that presents the proposed mark first and allows acceptance in a single click does not meet this.</w:t>
      </w:r>
    </w:p>
    <w:p>
      <w:pPr>
        <w:pStyle w:val="BodyText"/>
      </w:pPr>
      <w:r>
        <w:rPr>
          <w:bCs/>
          <w:b/>
        </w:rPr>
        <w:t xml:space="preserve">12. The closer examiner behaviour tracks the proposed mark, the weaker the argument that the decision is not</w:t>
      </w:r>
      <w:r>
        <w:rPr>
          <w:bCs/>
          <w:b/>
        </w:rPr>
        <w:t xml:space="preserve"> </w:t>
      </w:r>
      <w:r>
        <w:rPr>
          <w:bCs/>
          <w:b/>
        </w:rPr>
        <w:t xml:space="preserve">“</w:t>
      </w:r>
      <w:r>
        <w:rPr>
          <w:bCs/>
          <w:b/>
        </w:rPr>
        <w:t xml:space="preserve">solely</w:t>
      </w:r>
      <w:r>
        <w:rPr>
          <w:bCs/>
          <w:b/>
        </w:rPr>
        <w:t xml:space="preserve">”</w:t>
      </w:r>
      <w:r>
        <w:rPr>
          <w:bCs/>
          <w:b/>
        </w:rPr>
        <w:t xml:space="preserve"> </w:t>
      </w:r>
      <w:r>
        <w:rPr>
          <w:bCs/>
          <w:b/>
        </w:rPr>
        <w:t xml:space="preserve">automated.</w:t>
      </w:r>
      <w:r>
        <w:t xml:space="preserve"> </w:t>
      </w:r>
      <w:r>
        <w:t xml:space="preserve">CJEU C-634/21</w:t>
      </w:r>
      <w:r>
        <w:t xml:space="preserve"> </w:t>
      </w:r>
      <w:r>
        <w:rPr>
          <w:iCs/>
          <w:i/>
        </w:rPr>
        <w:t xml:space="preserve">SCHUFA</w:t>
      </w:r>
      <w:r>
        <w:t xml:space="preserve"> </w:t>
      </w:r>
      <w:r>
        <w:t xml:space="preserve">holds that where a decision-maker</w:t>
      </w:r>
      <w:r>
        <w:t xml:space="preserve"> </w:t>
      </w:r>
      <w:r>
        <w:t xml:space="preserve">“</w:t>
      </w:r>
      <w:r>
        <w:t xml:space="preserve">draws strongly on</w:t>
      </w:r>
      <w:r>
        <w:t xml:space="preserve">”</w:t>
      </w:r>
      <w:r>
        <w:t xml:space="preserve"> </w:t>
      </w:r>
      <w:r>
        <w:t xml:space="preserve">an automated score, the score is itself the decision for Art. 22 purposes. The German DSK puts it operationally:</w:t>
      </w:r>
      <w:r>
        <w:t xml:space="preserve"> </w:t>
      </w:r>
      <w:r>
        <w:rPr>
          <w:iCs/>
          <w:i/>
        </w:rPr>
        <w:t xml:space="preserve">“</w:t>
      </w:r>
      <w:r>
        <w:rPr>
          <w:iCs/>
          <w:i/>
        </w:rPr>
        <w:t xml:space="preserve">Eine lediglich formelle Beteiligung eines Menschen im Entscheidungsprozess ist nicht ausreichend.</w:t>
      </w:r>
      <w:r>
        <w:rPr>
          <w:iCs/>
          <w:i/>
        </w:rPr>
        <w:t xml:space="preserve">”</w:t>
      </w:r>
      <w:r>
        <w:t xml:space="preserve"> </w:t>
      </w:r>
      <w:r>
        <w:t xml:space="preserve">Where examiners accept 95% of proposals in four seconds, the human-decision analysis does not hold. The question is settled by evidence: measured and logged override and divergence rates are the artefact by which a deployer or provider can demonstrate that the human involvement is more than formal, and they must be capable of being produced from the outset.</w:t>
      </w:r>
    </w:p>
    <w:bookmarkEnd w:id="21"/>
    <w:bookmarkStart w:id="22" w:name="X84ab2572998d79f00f27ab03ec764164334c2f2"/>
    <w:p>
      <w:pPr>
        <w:pStyle w:val="Heading2"/>
      </w:pPr>
      <w:r>
        <w:t xml:space="preserve">2. The five questions that determine the applicable regime</w:t>
      </w:r>
    </w:p>
    <w:p>
      <w:pPr>
        <w:pStyle w:val="FirstParagraph"/>
      </w:pPr>
      <w:r>
        <w:t xml:space="preserve">Five questions decide which regime applies to a given deployment of an AI-supported exam-grading system, and in what order the obligations arise. Each is answered in full in the section cross-referenced.</w:t>
      </w:r>
    </w:p>
    <w:p>
      <w:pPr>
        <w:pStyle w:val="BodyText"/>
      </w:pPr>
      <w:r>
        <w:rPr>
          <w:bCs/>
          <w:b/>
        </w:rPr>
        <w:t xml:space="preserve">(i) Is the material personal data?</w:t>
      </w:r>
      <w:r>
        <w:t xml:space="preserve"> </w:t>
      </w:r>
      <w:r>
        <w:t xml:space="preserve">Yes. A candidate’s answers and an examiner’s comments on them are the candidate’s personal data (C-434/16</w:t>
      </w:r>
      <w:r>
        <w:t xml:space="preserve"> </w:t>
      </w:r>
      <w:r>
        <w:rPr>
          <w:iCs/>
          <w:i/>
        </w:rPr>
        <w:t xml:space="preserve">Nowak</w:t>
      </w:r>
      <w:r>
        <w:t xml:space="preserve">), and so is every score, sub-score, confidence value, feedback text and flag the system attaches to a script. Pseudonymisation does not change this: pseudonymised data remains personal data (Recital 26; EDPB Guidelines 01/2025), and in this setting handwriting within a class of 25–30 is near-unique and the recipient examiner knows the hand. Whether a handwriting image is additionally</w:t>
      </w:r>
      <w:r>
        <w:t xml:space="preserve"> </w:t>
      </w:r>
      <w:r>
        <w:rPr>
          <w:iCs/>
          <w:i/>
        </w:rPr>
        <w:t xml:space="preserve">biometric</w:t>
      </w:r>
      <w:r>
        <w:t xml:space="preserve"> </w:t>
      </w:r>
      <w:r>
        <w:t xml:space="preserve">data under Art. 9 is a separate question, addressed at §3.10. See §3.1 and §3.10.</w:t>
      </w:r>
    </w:p>
    <w:p>
      <w:pPr>
        <w:pStyle w:val="BodyText"/>
      </w:pPr>
      <w:r>
        <w:rPr>
          <w:bCs/>
          <w:b/>
        </w:rPr>
        <w:t xml:space="preserve">(ii) What is the lawful basis, and can consent serve?</w:t>
      </w:r>
      <w:r>
        <w:t xml:space="preserve"> </w:t>
      </w:r>
      <w:r>
        <w:t xml:space="preserve">For a state school the answer is Art. 6(1)(e) GDPR — processing necessary for the performance of a task carried out in the public interest or in the exercise of official authority — resting on Member State law, which in Germany means the school and data-protection law of the Land. Consent is presumptively excluded: Recital 43 treats consent as invalid where there is a clear imbalance between the controller and the data subject, which is the position of a pupil facing a public authority that grades them, and assessment cannot in any event be made contingent on a pupil’s agreement. The school (or trust, Land body or district) is the controller; a vendor processing scripts on its instructions is a processor and requires an Art. 28 agreement. The obligations that bite hardest in practice are Art. 5(1)(b) purpose limitation, Art. 15 access, Art. 22 and Art. 35. See §3.2.</w:t>
      </w:r>
    </w:p>
    <w:p>
      <w:pPr>
        <w:pStyle w:val="BodyText"/>
      </w:pPr>
      <w:r>
        <w:rPr>
          <w:bCs/>
          <w:b/>
        </w:rPr>
        <w:t xml:space="preserve">(iii) Is the system high-risk under the AI Act, and is the Art. 6(3) derogation available?</w:t>
      </w:r>
      <w:r>
        <w:t xml:space="preserve"> </w:t>
      </w:r>
      <w:r>
        <w:t xml:space="preserve">It is high-risk under Annex III point 3(b). On the analysis at §4.3 the Art. 6(3) derogation is not available to a system of this kind, for the three independent reasons given in finding 4. The high-risk obligations apply from 2 December 2027 under Regulation (EU) 2026/1744, with the unresolved position of Chapter III Section 5 noted in finding 5. The obligations do not fall on the provider alone: a school deploying a high-risk AI system takes on Art. 26 deployer duties and, as a body governed by public law, must carry out an Art. 27 fundamental rights impact assessment; and a school that repurposes a general-purpose system for grading can itself fall into</w:t>
      </w:r>
      <w:r>
        <w:t xml:space="preserve"> </w:t>
      </w:r>
      <w:r>
        <w:rPr>
          <w:bCs/>
          <w:b/>
        </w:rPr>
        <w:t xml:space="preserve">provider</w:t>
      </w:r>
      <w:r>
        <w:t xml:space="preserve"> </w:t>
      </w:r>
      <w:r>
        <w:t xml:space="preserve">obligations under Art. 25 AI Act, a point developed in the Kloppenburg opinion (§5.12). See §4.1, §4.3 and §4.5.</w:t>
      </w:r>
    </w:p>
    <w:p>
      <w:pPr>
        <w:pStyle w:val="BodyText"/>
      </w:pPr>
      <w:r>
        <w:rPr>
          <w:bCs/>
          <w:b/>
        </w:rPr>
        <w:t xml:space="preserve">(iv) Does examiner review take the decision outside Art. 22 GDPR?</w:t>
      </w:r>
      <w:r>
        <w:t xml:space="preserve"> </w:t>
      </w:r>
      <w:r>
        <w:t xml:space="preserve">This is contested. The test is behavioural rather than formal: under C-634/21</w:t>
      </w:r>
      <w:r>
        <w:t xml:space="preserve"> </w:t>
      </w:r>
      <w:r>
        <w:rPr>
          <w:iCs/>
          <w:i/>
        </w:rPr>
        <w:t xml:space="preserve">SCHUFA</w:t>
      </w:r>
      <w:r>
        <w:t xml:space="preserve"> </w:t>
      </w:r>
      <w:r>
        <w:t xml:space="preserve">and the DSK’s</w:t>
      </w:r>
      <w:r>
        <w:t xml:space="preserve"> </w:t>
      </w:r>
      <w:r>
        <w:rPr>
          <w:iCs/>
          <w:i/>
        </w:rPr>
        <w:t xml:space="preserve">“</w:t>
      </w:r>
      <w:r>
        <w:rPr>
          <w:iCs/>
          <w:i/>
        </w:rPr>
        <w:t xml:space="preserve">lediglich formelle Beteiligung</w:t>
      </w:r>
      <w:r>
        <w:rPr>
          <w:iCs/>
          <w:i/>
        </w:rPr>
        <w:t xml:space="preserve">”</w:t>
      </w:r>
      <w:r>
        <w:t xml:space="preserve"> </w:t>
      </w:r>
      <w:r>
        <w:t xml:space="preserve">formulation, a review that consists of accepting the proposed mark does not remove the decision from Art. 22, whatever the process diagram says. What settles the question for a given deployment is the design of the review step and the measured override and divergence rates it produces. See §3.5.</w:t>
      </w:r>
    </w:p>
    <w:p>
      <w:pPr>
        <w:pStyle w:val="BodyText"/>
      </w:pPr>
      <w:r>
        <w:rPr>
          <w:bCs/>
          <w:b/>
        </w:rPr>
        <w:t xml:space="preserve">(v) What sits below the EU layer?</w:t>
      </w:r>
      <w:r>
        <w:t xml:space="preserve"> </w:t>
      </w:r>
      <w:r>
        <w:t xml:space="preserve">In Germany, Länder school and examination law, ministry guidance and administrative instructions, and works-council or staff-council co-determination over systems capable of monitoring performance. In the United Kingdom and the United States the regimes are wholly separate: UK GDPR as amended by the Data (Use and Access) Act 2025 with its own Art. 22A–22D scheme, and in the US a federal layer (FERPA, PPRA, COPPA) together with a state layer in which education-agency guidance converges on the rule that AI must not be the sole basis of a grade — statutory in Oklahoma under SB 1734. See §5, §9, §10 and §11.</w:t>
      </w:r>
    </w:p>
    <w:p>
      <w:pPr>
        <w:pStyle w:val="BodyText"/>
      </w:pPr>
      <w:r>
        <w:t xml:space="preserve">The answers to (iii) and (iv) are the ones on which the compliance burden principally turns.</w:t>
      </w:r>
    </w:p>
    <w:bookmarkEnd w:id="22"/>
    <w:bookmarkStart w:id="33" w:name="question-1-what-does-the-gdpr-require"/>
    <w:p>
      <w:pPr>
        <w:pStyle w:val="Heading2"/>
      </w:pPr>
      <w:r>
        <w:t xml:space="preserve">3. Question 1 — What does the GDPR require?</w:t>
      </w:r>
    </w:p>
    <w:bookmarkStart w:id="23" w:name="the-data"/>
    <w:p>
      <w:pPr>
        <w:pStyle w:val="Heading3"/>
      </w:pPr>
      <w:r>
        <w:t xml:space="preserve">3.1 The data</w:t>
      </w:r>
    </w:p>
    <w:p>
      <w:pPr>
        <w:pStyle w:val="FirstParagraph"/>
      </w:pPr>
      <w:r>
        <w:t xml:space="preserve">Exam scripts, examiner comments, marks, machine-generated feedback and internal rubric sub-scores are all personal data of the candidate. CJEU</w:t>
      </w:r>
      <w:r>
        <w:t xml:space="preserve"> </w:t>
      </w:r>
      <w:r>
        <w:rPr>
          <w:bCs/>
          <w:b/>
        </w:rPr>
        <w:t xml:space="preserve">C-434/16</w:t>
      </w:r>
      <w:r>
        <w:rPr>
          <w:bCs/>
          <w:b/>
        </w:rPr>
        <w:t xml:space="preserve"> </w:t>
      </w:r>
      <w:r>
        <w:rPr>
          <w:iCs/>
          <w:i/>
          <w:bCs/>
          <w:b/>
        </w:rPr>
        <w:t xml:space="preserve">Nowak</w:t>
      </w:r>
      <w:r>
        <w:t xml:space="preserve"> </w:t>
      </w:r>
      <w:r>
        <w:t xml:space="preserve">(20 December 2017), operative part:</w:t>
      </w:r>
      <w:r>
        <w:t xml:space="preserve"> </w:t>
      </w:r>
      <w:r>
        <w:rPr>
          <w:iCs/>
          <w:i/>
        </w:rPr>
        <w:t xml:space="preserve">“</w:t>
      </w:r>
      <w:r>
        <w:rPr>
          <w:iCs/>
          <w:i/>
        </w:rPr>
        <w:t xml:space="preserve">the written answers submitted by a candidate at a professional examination and any comments made by an examiner with respect to those answers constitute personal data</w:t>
      </w:r>
      <w:r>
        <w:rPr>
          <w:iCs/>
          <w:i/>
        </w:rPr>
        <w:t xml:space="preserve">”</w:t>
      </w:r>
      <w:r>
        <w:t xml:space="preserve">. The Court’s reasoning is that the answers reflect the candidate’s knowledge and competence and are collected in order to evaluate professional abilities. The Court also drew two limits worth knowing: the right of access does not extend to the examination</w:t>
      </w:r>
      <w:r>
        <w:t xml:space="preserve"> </w:t>
      </w:r>
      <w:r>
        <w:rPr>
          <w:iCs/>
          <w:i/>
        </w:rPr>
        <w:t xml:space="preserve">questions</w:t>
      </w:r>
      <w:r>
        <w:t xml:space="preserve">, and rectification does not let a candidate correct wrong answers after the fact.</w:t>
      </w:r>
    </w:p>
    <w:p>
      <w:pPr>
        <w:pStyle w:val="BodyText"/>
      </w:pPr>
      <w:r>
        <w:t xml:space="preserve">Consequence for system design: script, rationale and scoring telemetry must be exportable. A system cannot be architected on the assumption that internal scoring telemetry is invisible to the data subject.</w:t>
      </w:r>
    </w:p>
    <w:bookmarkEnd w:id="23"/>
    <w:bookmarkStart w:id="24" w:name="X399a725c8067a14eef541b170a20c8332ceeb5c"/>
    <w:p>
      <w:pPr>
        <w:pStyle w:val="Heading3"/>
      </w:pPr>
      <w:r>
        <w:t xml:space="preserve">3.2 Lawful basis — and why consent is the wrong answer</w:t>
      </w:r>
    </w:p>
    <w:p>
      <w:pPr>
        <w:pStyle w:val="FirstParagraph"/>
      </w:pPr>
      <w:r>
        <w:t xml:space="preserve">For a state school the basis is</w:t>
      </w:r>
      <w:r>
        <w:t xml:space="preserve"> </w:t>
      </w:r>
      <w:r>
        <w:rPr>
          <w:bCs/>
          <w:b/>
        </w:rPr>
        <w:t xml:space="preserve">Art. 6(1)(e)</w:t>
      </w:r>
      <w:r>
        <w:t xml:space="preserve"> </w:t>
      </w:r>
      <w:r>
        <w:t xml:space="preserve">(public task) read with</w:t>
      </w:r>
      <w:r>
        <w:t xml:space="preserve"> </w:t>
      </w:r>
      <w:r>
        <w:rPr>
          <w:bCs/>
          <w:b/>
        </w:rPr>
        <w:t xml:space="preserve">Art. 6(3)</w:t>
      </w:r>
      <w:r>
        <w:t xml:space="preserve"> </w:t>
      </w:r>
      <w:r>
        <w:t xml:space="preserve">(basis laid down in Member State law — the Schulgesetz and its data ordinance). Consent is presumptively excluded: Recital 43 excludes it where there is a clear imbalance</w:t>
      </w:r>
      <w:r>
        <w:t xml:space="preserve"> </w:t>
      </w:r>
      <w:r>
        <w:t xml:space="preserve">“</w:t>
      </w:r>
      <w:r>
        <w:t xml:space="preserve">in particular where the controller is a public authority</w:t>
      </w:r>
      <w:r>
        <w:t xml:space="preserve">”</w:t>
      </w:r>
      <w:r>
        <w:t xml:space="preserve">, and the imbalance here is tripled — public authority, minor, and a compulsory non-substitutable service. A pupil cannot refuse to be graded, so consent could not be withdrawn without detriment, so it is not freely given. Operationally, consent would also be incoherent: withdrawal under Art. 7(3) would have to unwind the grade.</w:t>
      </w:r>
    </w:p>
    <w:p>
      <w:pPr>
        <w:pStyle w:val="BodyText"/>
      </w:pPr>
      <w:r>
        <w:t xml:space="preserve">Consent retains a role only for a genuinely optional, structurally separate feature — additive formative feedback beyond the statutory assessment, or a research programme. It must remain unbundled.</w:t>
      </w:r>
    </w:p>
    <w:p>
      <w:pPr>
        <w:pStyle w:val="BodyText"/>
      </w:pPr>
      <w:r>
        <w:rPr>
          <w:bCs/>
          <w:b/>
        </w:rPr>
        <w:t xml:space="preserve">The provider’s role.</w:t>
      </w:r>
      <w:r>
        <w:t xml:space="preserve"> </w:t>
      </w:r>
      <w:r>
        <w:t xml:space="preserve">In the standard deployment a provider of an AI-supported exam-grading system is a</w:t>
      </w:r>
      <w:r>
        <w:t xml:space="preserve"> </w:t>
      </w:r>
      <w:r>
        <w:rPr>
          <w:bCs/>
          <w:b/>
        </w:rPr>
        <w:t xml:space="preserve">processor</w:t>
      </w:r>
      <w:r>
        <w:t xml:space="preserve"> </w:t>
      </w:r>
      <w:r>
        <w:t xml:space="preserve">and has no lawful basis of its own. The moment scripts are used for model improvement, the provider becomes a</w:t>
      </w:r>
      <w:r>
        <w:t xml:space="preserve"> </w:t>
      </w:r>
      <w:r>
        <w:rPr>
          <w:bCs/>
          <w:b/>
        </w:rPr>
        <w:t xml:space="preserve">controller</w:t>
      </w:r>
      <w:r>
        <w:t xml:space="preserve"> </w:t>
      </w:r>
      <w:r>
        <w:t xml:space="preserve">for that purpose — Art. 28(10) is explicit that a processor determining purposes and means</w:t>
      </w:r>
      <w:r>
        <w:t xml:space="preserve"> </w:t>
      </w:r>
      <w:r>
        <w:t xml:space="preserve">“</w:t>
      </w:r>
      <w:r>
        <w:t xml:space="preserve">shall be considered to be a controller</w:t>
      </w:r>
      <w:r>
        <w:t xml:space="preserve">”</w:t>
      </w:r>
      <w:r>
        <w:t xml:space="preserve"> </w:t>
      </w:r>
      <w:r>
        <w:t xml:space="preserve">— and it then requires its own lawful basis and its own transparency. This is the most consequential architectural distinction in such a system.</w:t>
      </w:r>
    </w:p>
    <w:bookmarkEnd w:id="24"/>
    <w:bookmarkStart w:id="25" w:name="special-categories-art.-9"/>
    <w:p>
      <w:pPr>
        <w:pStyle w:val="Heading3"/>
      </w:pPr>
      <w:r>
        <w:t xml:space="preserve">3.3 Special categories (Art. 9)</w:t>
      </w:r>
    </w:p>
    <w:p>
      <w:pPr>
        <w:pStyle w:val="FirstParagraph"/>
      </w:pPr>
      <w:r>
        <w:t xml:space="preserve">Free-text answers in humanities, ethics, religion, biology and civics routinely disclose religious or philosophical beliefs, political opinions, health data and sex life, either as subject matter or as volunteered self-disclosure. A claim that no special categories are collected is not sustainable. More sharply: handwriting and error patterns can disclose dyslexia, dyscalculia and motor impairment — that is health data, whether or not anyone intends to process it. The DKJS memorandum (§5.6) makes this point and it is correct.</w:t>
      </w:r>
    </w:p>
    <w:p>
      <w:pPr>
        <w:pStyle w:val="BodyText"/>
      </w:pPr>
      <w:r>
        <w:rPr>
          <w:bCs/>
          <w:b/>
        </w:rPr>
        <w:t xml:space="preserve">A genuine new unlock.</w:t>
      </w:r>
      <w:r>
        <w:t xml:space="preserve"> </w:t>
      </w:r>
      <w:r>
        <w:t xml:space="preserve">Regulation (EU) 2026/1744 inserted</w:t>
      </w:r>
      <w:r>
        <w:t xml:space="preserve"> </w:t>
      </w:r>
      <w:r>
        <w:rPr>
          <w:bCs/>
          <w:b/>
        </w:rPr>
        <w:t xml:space="preserve">AI Act Art. 4a</w:t>
      </w:r>
      <w:r>
        <w:t xml:space="preserve">, giving providers and deployers a Union-law basis to process special categories</w:t>
      </w:r>
      <w:r>
        <w:t xml:space="preserve"> </w:t>
      </w:r>
      <w:r>
        <w:rPr>
          <w:bCs/>
          <w:b/>
        </w:rPr>
        <w:t xml:space="preserve">strictly for bias detection and correction</w:t>
      </w:r>
      <w:r>
        <w:t xml:space="preserve">, subject to six cumulative conditions including that synthetic or anonymised data would not suffice, that the data are not transmitted onward, and that they are deleted once bias is corrected. Art. 10(5) AI Act was deleted and folded into it. Before July 2026 there was no clean way for a deployer to run fairness testing on protected attributes; there now is. Reliance on it requires the six conditions to be documented.</w:t>
      </w:r>
    </w:p>
    <w:bookmarkEnd w:id="25"/>
    <w:bookmarkStart w:id="26" w:name="transparency-and-access"/>
    <w:p>
      <w:pPr>
        <w:pStyle w:val="Heading3"/>
      </w:pPr>
      <w:r>
        <w:t xml:space="preserve">3.4 Transparency and access</w:t>
      </w:r>
    </w:p>
    <w:p>
      <w:pPr>
        <w:pStyle w:val="FirstParagraph"/>
      </w:pPr>
      <w:r>
        <w:t xml:space="preserve">Arts. 13/14 require the school to tell pupils and parents, in child-appropriate language (Art. 12(1)), that an AI system proposes marks, the logic involved and the consequences.</w:t>
      </w:r>
      <w:r>
        <w:t xml:space="preserve"> </w:t>
      </w:r>
      <w:r>
        <w:rPr>
          <w:bCs/>
          <w:b/>
        </w:rPr>
        <w:t xml:space="preserve">Art. 15 is the operationally expensive one</w:t>
      </w:r>
      <w:r>
        <w:t xml:space="preserve">, because</w:t>
      </w:r>
      <w:r>
        <w:t xml:space="preserve"> </w:t>
      </w:r>
      <w:r>
        <w:rPr>
          <w:iCs/>
          <w:i/>
        </w:rPr>
        <w:t xml:space="preserve">Nowak</w:t>
      </w:r>
      <w:r>
        <w:t xml:space="preserve"> </w:t>
      </w:r>
      <w:r>
        <w:t xml:space="preserve">makes the script and the comments disclosable.</w:t>
      </w:r>
    </w:p>
    <w:p>
      <w:pPr>
        <w:pStyle w:val="BodyText"/>
      </w:pPr>
      <w:r>
        <w:rPr>
          <w:bCs/>
          <w:b/>
        </w:rPr>
        <w:t xml:space="preserve">C-203/22</w:t>
      </w:r>
      <w:r>
        <w:rPr>
          <w:bCs/>
          <w:b/>
        </w:rPr>
        <w:t xml:space="preserve"> </w:t>
      </w:r>
      <w:r>
        <w:rPr>
          <w:iCs/>
          <w:i/>
          <w:bCs/>
          <w:b/>
        </w:rPr>
        <w:t xml:space="preserve">Dun &amp; Bradstreet Austria</w:t>
      </w:r>
      <w:r>
        <w:t xml:space="preserve"> </w:t>
      </w:r>
      <w:r>
        <w:t xml:space="preserve">(27 February 2025) is now the controlling authority on Art. 15(1)(h): the controller must explain</w:t>
      </w:r>
      <w:r>
        <w:t xml:space="preserve"> </w:t>
      </w:r>
      <w:r>
        <w:t xml:space="preserve">“</w:t>
      </w:r>
      <w:r>
        <w:t xml:space="preserve">the procedure and principles actually applied</w:t>
      </w:r>
      <w:r>
        <w:t xml:space="preserve">”</w:t>
      </w:r>
      <w:r>
        <w:t xml:space="preserve"> </w:t>
      </w:r>
      <w:r>
        <w:t xml:space="preserve">so the data subject can understand which data were used and how — but</w:t>
      </w:r>
      <w:r>
        <w:t xml:space="preserve"> </w:t>
      </w:r>
      <w:r>
        <w:rPr>
          <w:bCs/>
          <w:b/>
        </w:rPr>
        <w:t xml:space="preserve">not</w:t>
      </w:r>
      <w:r>
        <w:t xml:space="preserve"> </w:t>
      </w:r>
      <w:r>
        <w:t xml:space="preserve">the algorithm or the formulas. Where trade secrets are asserted, the material goes to the supervisory authority or the court for balancing; a blanket refusal is incompatible with the GDPR. The consequence is twofold: a provider is not obliged to publish weights or prompts, but the system must be capable of stating, per grade, what features of the script drove the proposed score. That is a requirement on the system, not a legal footnote.</w:t>
      </w:r>
    </w:p>
    <w:bookmarkEnd w:id="26"/>
    <w:bookmarkStart w:id="27" w:name="article-22-the-core-question"/>
    <w:p>
      <w:pPr>
        <w:pStyle w:val="Heading3"/>
      </w:pPr>
      <w:r>
        <w:t xml:space="preserve">3.5 Article 22 — the core question</w:t>
      </w:r>
    </w:p>
    <w:p>
      <w:pPr>
        <w:pStyle w:val="FirstParagraph"/>
      </w:pPr>
      <w:r>
        <w:rPr>
          <w:bCs/>
          <w:b/>
        </w:rPr>
        <w:t xml:space="preserve">Art. 22(1)</w:t>
      </w:r>
      <w:r>
        <w:t xml:space="preserve"> </w:t>
      </w:r>
      <w:r>
        <w:t xml:space="preserve">gives the data subject the right not to be subject to a decision</w:t>
      </w:r>
      <w:r>
        <w:t xml:space="preserve"> </w:t>
      </w:r>
      <w:r>
        <w:rPr>
          <w:iCs/>
          <w:i/>
        </w:rPr>
        <w:t xml:space="preserve">based solely</w:t>
      </w:r>
      <w:r>
        <w:t xml:space="preserve"> </w:t>
      </w:r>
      <w:r>
        <w:t xml:space="preserve">on automated processing which produces legal effects or similarly significantly affects them. Three cumulative conditions (confirmed in</w:t>
      </w:r>
      <w:r>
        <w:t xml:space="preserve"> </w:t>
      </w:r>
      <w:r>
        <w:rPr>
          <w:iCs/>
          <w:i/>
        </w:rPr>
        <w:t xml:space="preserve">SCHUFA</w:t>
      </w:r>
      <w:r>
        <w:t xml:space="preserve"> </w:t>
      </w:r>
      <w:r>
        <w:t xml:space="preserve">at para 43): a decision; based solely on automated processing; legal or similarly significant effect.</w:t>
      </w:r>
    </w:p>
    <w:p>
      <w:pPr>
        <w:pStyle w:val="BodyText"/>
      </w:pPr>
      <w:r>
        <w:rPr>
          <w:bCs/>
          <w:b/>
        </w:rPr>
        <w:t xml:space="preserve">Is a grade significant?</w:t>
      </w:r>
      <w:r>
        <w:t xml:space="preserve"> </w:t>
      </w:r>
      <w:r>
        <w:t xml:space="preserve">Yes, and this is the least contestable limb. WP251rev.01 lists</w:t>
      </w:r>
      <w:r>
        <w:t xml:space="preserve"> </w:t>
      </w:r>
      <w:r>
        <w:t xml:space="preserve">“</w:t>
      </w:r>
      <w:r>
        <w:t xml:space="preserve">decisions that affect someone’s access to education, for example university admissions</w:t>
      </w:r>
      <w:r>
        <w:t xml:space="preserve">”</w:t>
      </w:r>
      <w:r>
        <w:t xml:space="preserve"> </w:t>
      </w:r>
      <w:r>
        <w:t xml:space="preserve">as crossing the threshold. An Abitur grade, a GCSE grade or a university module mark determines access to further education and to regulated professions; in Germany a state examination grade is an administrative act, which is arguably a legal effect proper.</w:t>
      </w:r>
    </w:p>
    <w:p>
      <w:pPr>
        <w:pStyle w:val="BodyText"/>
      </w:pPr>
      <w:r>
        <w:t xml:space="preserve">A genuinely low-stakes practice quiz with no record consequence may fall below the threshold.</w:t>
      </w:r>
      <w:r>
        <w:t xml:space="preserve"> </w:t>
      </w:r>
      <w:r>
        <w:rPr>
          <w:bCs/>
          <w:b/>
        </w:rPr>
        <w:t xml:space="preserve">Formative and summative modes must therefore be technically and contractually distinct</w:t>
      </w:r>
      <w:r>
        <w:t xml:space="preserve">, because the legal consequences diverge sharply — and the Commission’s draft AI Act guidance draws the same line.</w:t>
      </w:r>
    </w:p>
    <w:p>
      <w:pPr>
        <w:pStyle w:val="BodyText"/>
      </w:pPr>
      <w:r>
        <w:rPr>
          <w:bCs/>
          <w:b/>
        </w:rPr>
        <w:t xml:space="preserve">Does teacher review escape</w:t>
      </w:r>
      <w:r>
        <w:rPr>
          <w:bCs/>
          <w:b/>
        </w:rPr>
        <w:t xml:space="preserve"> </w:t>
      </w:r>
      <w:r>
        <w:rPr>
          <w:bCs/>
          <w:b/>
        </w:rPr>
        <w:t xml:space="preserve">“</w:t>
      </w:r>
      <w:r>
        <w:rPr>
          <w:bCs/>
          <w:b/>
        </w:rPr>
        <w:t xml:space="preserve">solely</w:t>
      </w:r>
      <w:r>
        <w:rPr>
          <w:bCs/>
          <w:b/>
        </w:rPr>
        <w:t xml:space="preserve">”</w:t>
      </w:r>
      <w:r>
        <w:rPr>
          <w:bCs/>
          <w:b/>
        </w:rPr>
        <w:t xml:space="preserve">?</w:t>
      </w:r>
      <w:r>
        <w:t xml:space="preserve"> </w:t>
      </w:r>
      <w:r>
        <w:t xml:space="preserve">WP251rev.01 is the governing test and it is behavioural, not formal:</w:t>
      </w:r>
    </w:p>
    <w:p>
      <w:pPr>
        <w:pStyle w:val="BlockText"/>
      </w:pPr>
      <w:r>
        <w:rPr>
          <w:iCs/>
          <w:i/>
        </w:rPr>
        <w:t xml:space="preserve">“</w:t>
      </w:r>
      <w:r>
        <w:rPr>
          <w:iCs/>
          <w:i/>
        </w:rPr>
        <w:t xml:space="preserve">The controller cannot avoid the Article 22 provisions by fabricating human involvement. … To qualify as human involvement, the controller must ensure that any oversight of the decision is meaningful, rather than just a token gesture. It should be carried out by someone who has the authority and competence to change the decision. As part of the analysis, they should consider all the relevant data.</w:t>
      </w:r>
      <w:r>
        <w:rPr>
          <w:iCs/>
          <w:i/>
        </w:rPr>
        <w:t xml:space="preserve">”</w:t>
      </w:r>
    </w:p>
    <w:p>
      <w:pPr>
        <w:pStyle w:val="FirstParagraph"/>
      </w:pPr>
      <w:r>
        <w:rPr>
          <w:bCs/>
          <w:b/>
        </w:rPr>
        <w:t xml:space="preserve">CJEU C-634/21</w:t>
      </w:r>
      <w:r>
        <w:rPr>
          <w:bCs/>
          <w:b/>
        </w:rPr>
        <w:t xml:space="preserve"> </w:t>
      </w:r>
      <w:r>
        <w:rPr>
          <w:iCs/>
          <w:i/>
          <w:bCs/>
          <w:b/>
        </w:rPr>
        <w:t xml:space="preserve">SCHUFA</w:t>
      </w:r>
      <w:r>
        <w:t xml:space="preserve"> </w:t>
      </w:r>
      <w:r>
        <w:t xml:space="preserve">(7 December 2023) then removes the easy answer. SCHUFA advanced the argument that it merely produced a score and a human took the decision, and the Court rejected it, holding that where a third party</w:t>
      </w:r>
      <w:r>
        <w:t xml:space="preserve"> </w:t>
      </w:r>
      <w:r>
        <w:t xml:space="preserve">“</w:t>
      </w:r>
      <w:r>
        <w:t xml:space="preserve">draws strongly on</w:t>
      </w:r>
      <w:r>
        <w:t xml:space="preserve">”</w:t>
      </w:r>
      <w:r>
        <w:t xml:space="preserve"> </w:t>
      </w:r>
      <w:r>
        <w:t xml:space="preserve">the probability value, the establishment of that value is itself automated individual decision-making. The rationale was anti-circumvention: a narrow reading would create a protection gap.</w:t>
      </w:r>
    </w:p>
    <w:p>
      <w:pPr>
        <w:pStyle w:val="BodyText"/>
      </w:pPr>
      <w:r>
        <w:t xml:space="preserve">Applied to exam grading: if examiners accept the proposed mark in 90–95% of cases, the examiner</w:t>
      </w:r>
      <w:r>
        <w:t xml:space="preserve"> </w:t>
      </w:r>
      <w:r>
        <w:t xml:space="preserve">“</w:t>
      </w:r>
      <w:r>
        <w:t xml:space="preserve">draws strongly on</w:t>
      </w:r>
      <w:r>
        <w:t xml:space="preserve">”</w:t>
      </w:r>
      <w:r>
        <w:t xml:space="preserve"> </w:t>
      </w:r>
      <w:r>
        <w:t xml:space="preserve">the output and the proposal is the decision.</w:t>
      </w:r>
      <w:r>
        <w:t xml:space="preserve"> </w:t>
      </w:r>
      <w:r>
        <w:rPr>
          <w:bCs/>
          <w:b/>
        </w:rPr>
        <w:t xml:space="preserve">The higher the acceptance rate in practice, the weaker the argument that the decision is not based solely on automated processing.</w:t>
      </w:r>
      <w:r>
        <w:t xml:space="preserve"> </w:t>
      </w:r>
      <w:r>
        <w:t xml:space="preserve">That tension is inherent to the deployment and must be managed, not denied.</w:t>
      </w:r>
    </w:p>
    <w:p>
      <w:pPr>
        <w:pStyle w:val="BodyText"/>
      </w:pPr>
      <w:r>
        <w:rPr>
          <w:bCs/>
          <w:b/>
        </w:rPr>
        <w:t xml:space="preserve">The elements that make human involvement meaningful: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Requirement</w:t>
            </w:r>
          </w:p>
        </w:tc>
        <w:tc>
          <w:tcPr/>
          <w:p>
            <w:pPr>
              <w:pStyle w:val="Compact"/>
              <w:jc w:val="left"/>
            </w:pPr>
            <w:r>
              <w:t xml:space="preserve">Authority</w:t>
            </w:r>
          </w:p>
        </w:tc>
      </w:tr>
      <w:tr>
        <w:tc>
          <w:tcPr/>
          <w:p>
            <w:pPr>
              <w:pStyle w:val="Compact"/>
              <w:jc w:val="left"/>
            </w:pPr>
            <w:r>
              <w:t xml:space="preserve">The examiner sees the script first and</w:t>
            </w:r>
            <w:r>
              <w:t xml:space="preserve"> </w:t>
            </w:r>
            <w:r>
              <w:rPr>
                <w:bCs/>
                <w:b/>
              </w:rPr>
              <w:t xml:space="preserve">forms their own assessment before consulting the AI</w:t>
            </w:r>
            <w:r>
              <w:t xml:space="preserve"> </w:t>
            </w:r>
            <w:r>
              <w:t xml:space="preserve">(or can toggle the proposal off)</w:t>
            </w:r>
          </w:p>
        </w:tc>
        <w:tc>
          <w:tcPr/>
          <w:p>
            <w:pPr>
              <w:pStyle w:val="Compact"/>
              <w:jc w:val="left"/>
            </w:pPr>
            <w:r>
              <w:t xml:space="preserve">defeats anchoring; evidences</w:t>
            </w:r>
            <w:r>
              <w:t xml:space="preserve"> </w:t>
            </w:r>
            <w:r>
              <w:t xml:space="preserve">“</w:t>
            </w:r>
            <w:r>
              <w:t xml:space="preserve">all the relevant data</w:t>
            </w:r>
            <w:r>
              <w:t xml:space="preserve">”</w:t>
            </w:r>
            <w:r>
              <w:t xml:space="preserve">. The Kloppenburg opinion filed to the NRW Landtag hearing (§5.12) recommends exactly this sequence as an anchoring control</w:t>
            </w:r>
          </w:p>
        </w:tc>
      </w:tr>
      <w:tr>
        <w:tc>
          <w:tcPr/>
          <w:p>
            <w:pPr>
              <w:pStyle w:val="Compact"/>
              <w:jc w:val="left"/>
            </w:pPr>
            <w:r>
              <w:t xml:space="preserve">Express authority to override without escalation or justification burden</w:t>
            </w:r>
          </w:p>
        </w:tc>
        <w:tc>
          <w:tcPr/>
          <w:p>
            <w:pPr>
              <w:pStyle w:val="Compact"/>
              <w:jc w:val="left"/>
            </w:pPr>
            <w:r>
              <w:t xml:space="preserve">WP251</w:t>
            </w:r>
            <w:r>
              <w:t xml:space="preserve"> </w:t>
            </w:r>
            <w:r>
              <w:t xml:space="preserve">“</w:t>
            </w:r>
            <w:r>
              <w:t xml:space="preserve">authority to change the decision</w:t>
            </w:r>
            <w:r>
              <w:t xml:space="preserve">”</w:t>
            </w:r>
          </w:p>
        </w:tc>
      </w:tr>
      <w:tr>
        <w:tc>
          <w:tcPr/>
          <w:p>
            <w:pPr>
              <w:pStyle w:val="Compact"/>
              <w:jc w:val="left"/>
            </w:pPr>
            <w:r>
              <w:t xml:space="preserve">Subject competence plus training on the system’s failure modes</w:t>
            </w:r>
          </w:p>
        </w:tc>
        <w:tc>
          <w:tcPr/>
          <w:p>
            <w:pPr>
              <w:pStyle w:val="Compact"/>
              <w:jc w:val="left"/>
            </w:pPr>
            <w:r>
              <w:t xml:space="preserve">WP251</w:t>
            </w:r>
            <w:r>
              <w:t xml:space="preserve"> </w:t>
            </w:r>
            <w:r>
              <w:t xml:space="preserve">“</w:t>
            </w:r>
            <w:r>
              <w:t xml:space="preserve">competence</w:t>
            </w:r>
            <w:r>
              <w:t xml:space="preserve">”</w:t>
            </w:r>
            <w:r>
              <w:t xml:space="preserve">; AI Act Art. 26(2)</w:t>
            </w:r>
          </w:p>
        </w:tc>
      </w:tr>
      <w:tr>
        <w:tc>
          <w:tcPr/>
          <w:p>
            <w:pPr>
              <w:pStyle w:val="Compact"/>
              <w:jc w:val="left"/>
            </w:pPr>
            <w:r>
              <w:t xml:space="preserve">Override and divergence rates measured, logged and reported</w:t>
            </w:r>
          </w:p>
        </w:tc>
        <w:tc>
          <w:tcPr/>
          <w:p>
            <w:pPr>
              <w:pStyle w:val="Compact"/>
              <w:jc w:val="left"/>
            </w:pPr>
            <w:r>
              <w:t xml:space="preserve">rebuts the</w:t>
            </w:r>
            <w:r>
              <w:t xml:space="preserve"> </w:t>
            </w:r>
            <w:r>
              <w:rPr>
                <w:iCs/>
                <w:i/>
              </w:rPr>
              <w:t xml:space="preserve">SCHUFA</w:t>
            </w:r>
            <w:r>
              <w:t xml:space="preserve"> </w:t>
            </w:r>
            <w:r>
              <w:t xml:space="preserve">“</w:t>
            </w:r>
            <w:r>
              <w:t xml:space="preserve">draws strongly on</w:t>
            </w:r>
            <w:r>
              <w:t xml:space="preserve">”</w:t>
            </w:r>
            <w:r>
              <w:t xml:space="preserve"> </w:t>
            </w:r>
            <w:r>
              <w:t xml:space="preserve">test empirically</w:t>
            </w:r>
          </w:p>
        </w:tc>
      </w:tr>
      <w:tr>
        <w:tc>
          <w:tcPr/>
          <w:p>
            <w:pPr>
              <w:pStyle w:val="Compact"/>
              <w:jc w:val="left"/>
            </w:pPr>
            <w:r>
              <w:t xml:space="preserve">No bulk accept; a time-per-script floor</w:t>
            </w:r>
          </w:p>
        </w:tc>
        <w:tc>
          <w:tcPr/>
          <w:p>
            <w:pPr>
              <w:pStyle w:val="Compact"/>
              <w:jc w:val="left"/>
            </w:pPr>
            <w:r>
              <w:t xml:space="preserve">a UI where accepting takes one click and overriding takes ten is evidence of a token gesture</w:t>
            </w:r>
          </w:p>
        </w:tc>
      </w:tr>
      <w:tr>
        <w:tc>
          <w:tcPr/>
          <w:p>
            <w:pPr>
              <w:pStyle w:val="Compact"/>
              <w:jc w:val="left"/>
            </w:pPr>
            <w:r>
              <w:t xml:space="preserve">Second review triggered at low model confidence or near a grade boundary</w:t>
            </w:r>
          </w:p>
        </w:tc>
        <w:tc>
          <w:tcPr/>
          <w:p>
            <w:pPr>
              <w:pStyle w:val="Compact"/>
              <w:jc w:val="left"/>
            </w:pPr>
            <w:r>
              <w:t xml:space="preserve">proportionate safeguard</w:t>
            </w:r>
          </w:p>
        </w:tc>
      </w:tr>
    </w:tbl>
    <w:p>
      <w:pPr>
        <w:pStyle w:val="BodyText"/>
      </w:pPr>
      <w:r>
        <w:t xml:space="preserve">Two further authorities point the same way. The</w:t>
      </w:r>
      <w:r>
        <w:t xml:space="preserve"> </w:t>
      </w:r>
      <w:r>
        <w:rPr>
          <w:bCs/>
          <w:b/>
        </w:rPr>
        <w:t xml:space="preserve">Spanish supervisory authority (AEPD)</w:t>
      </w:r>
      <w:r>
        <w:t xml:space="preserve"> </w:t>
      </w:r>
      <w:r>
        <w:t xml:space="preserve">has published a practical explanation of the same standard: meaningful intervention requires competence and the authority to change the outcome, not token involvement — significant because it is a regulator stating the test in operational terms. And the</w:t>
      </w:r>
      <w:r>
        <w:t xml:space="preserve"> </w:t>
      </w:r>
      <w:r>
        <w:rPr>
          <w:bCs/>
          <w:b/>
        </w:rPr>
        <w:t xml:space="preserve">Kloppenburg opinion</w:t>
      </w:r>
      <w:r>
        <w:t xml:space="preserve"> </w:t>
      </w:r>
      <w:r>
        <w:t xml:space="preserve">applies it directly to grading: under Art. 22, substantive independent judgment is what matters, and a cursory check or a formal approval is insufficient.</w:t>
      </w:r>
    </w:p>
    <w:p>
      <w:pPr>
        <w:pStyle w:val="BodyText"/>
      </w:pPr>
      <w:r>
        <w:t xml:space="preserve">Because Art. 22(3) safeguards — human intervention, the right to express a point of view, the right to contest — are inexpensive in an examination context, where appeal rights already exist, applying them irrespective of whether Art. 22 formally applies removes the question from dispute.</w:t>
      </w:r>
    </w:p>
    <w:p>
      <w:pPr>
        <w:pStyle w:val="BodyText"/>
      </w:pPr>
      <w:r>
        <w:rPr>
          <w:bCs/>
          <w:b/>
        </w:rPr>
        <w:t xml:space="preserve">Two further constraints.</w:t>
      </w:r>
      <w:r>
        <w:t xml:space="preserve"> </w:t>
      </w:r>
      <w:r>
        <w:t xml:space="preserve">First, the Art. 22(2)(b) fallback (authorisation by Member State law with safeguards) is weakened for schools: Recital 71 says such a measure</w:t>
      </w:r>
      <w:r>
        <w:t xml:space="preserve"> </w:t>
      </w:r>
      <w:r>
        <w:t xml:space="preserve">“</w:t>
      </w:r>
      <w:r>
        <w:t xml:space="preserve">should not concern a child</w:t>
      </w:r>
      <w:r>
        <w:t xml:space="preserve">”</w:t>
      </w:r>
      <w:r>
        <w:t xml:space="preserve">, and WP251 advises that controllers should as a rule not rely on the Art. 22(2) exceptions for children. Second,</w:t>
      </w:r>
      <w:r>
        <w:t xml:space="preserve"> </w:t>
      </w:r>
      <w:r>
        <w:rPr>
          <w:bCs/>
          <w:b/>
        </w:rPr>
        <w:t xml:space="preserve">Art. 21 objection</w:t>
      </w:r>
      <w:r>
        <w:t xml:space="preserve"> </w:t>
      </w:r>
      <w:r>
        <w:t xml:space="preserve">applies to Art. 6(1)(e) processing and is under-analysed: a parent could object to the AI-assisted</w:t>
      </w:r>
      <w:r>
        <w:t xml:space="preserve"> </w:t>
      </w:r>
      <w:r>
        <w:rPr>
          <w:iCs/>
          <w:i/>
        </w:rPr>
        <w:t xml:space="preserve">method</w:t>
      </w:r>
      <w:r>
        <w:t xml:space="preserve"> </w:t>
      </w:r>
      <w:r>
        <w:t xml:space="preserve">rather than to being graded, and the school’s</w:t>
      </w:r>
      <w:r>
        <w:t xml:space="preserve"> </w:t>
      </w:r>
      <w:r>
        <w:t xml:space="preserve">“</w:t>
      </w:r>
      <w:r>
        <w:t xml:space="preserve">compelling legitimate grounds</w:t>
      </w:r>
      <w:r>
        <w:t xml:space="preserve">”</w:t>
      </w:r>
      <w:r>
        <w:t xml:space="preserve"> </w:t>
      </w:r>
      <w:r>
        <w:t xml:space="preserve">argument is weaker there because a purely human alternative exists. A demand by at least one Land supervisory authority for a human-only-on-request path is to be expected.</w:t>
      </w:r>
    </w:p>
    <w:bookmarkEnd w:id="27"/>
    <w:bookmarkStart w:id="28" w:name="Xef2b99031a56e67b823f993e4a5da4a01eca7d9"/>
    <w:p>
      <w:pPr>
        <w:pStyle w:val="Heading3"/>
      </w:pPr>
      <w:r>
        <w:t xml:space="preserve">3.6 DPIA — mandatory, with no serious argument otherwise</w:t>
      </w:r>
    </w:p>
    <w:p>
      <w:pPr>
        <w:pStyle w:val="FirstParagraph"/>
      </w:pPr>
      <w:r>
        <w:t xml:space="preserve">Three independent routes converge:</w:t>
      </w:r>
    </w:p>
    <w:p>
      <w:pPr>
        <w:numPr>
          <w:ilvl w:val="0"/>
          <w:numId w:val="1001"/>
        </w:numPr>
        <w:pStyle w:val="Compact"/>
      </w:pPr>
      <w:r>
        <w:rPr>
          <w:bCs/>
          <w:b/>
        </w:rPr>
        <w:t xml:space="preserve">Art. 35(3)(a)</w:t>
      </w:r>
      <w:r>
        <w:t xml:space="preserve"> </w:t>
      </w:r>
      <w:r>
        <w:t xml:space="preserve">— systematic and extensive evaluation based on automated processing on which decisions are based.</w:t>
      </w:r>
    </w:p>
    <w:p>
      <w:pPr>
        <w:numPr>
          <w:ilvl w:val="0"/>
          <w:numId w:val="1001"/>
        </w:numPr>
        <w:pStyle w:val="Compact"/>
      </w:pPr>
      <w:r>
        <w:rPr>
          <w:bCs/>
          <w:b/>
        </w:rPr>
        <w:t xml:space="preserve">WP248rev.01</w:t>
      </w:r>
      <w:r>
        <w:t xml:space="preserve"> </w:t>
      </w:r>
      <w:r>
        <w:t xml:space="preserve">— ten criteria, two-criterion rule of thumb. An AI exam-grading deployment meets at least five: evaluation/scoring; automated decision-making with significant effect; likely special-category content; large scale; vulnerable data subjects (children are named expressly); innovative technology; cross-border transfer if a US model endpoint is used.</w:t>
      </w:r>
    </w:p>
    <w:p>
      <w:pPr>
        <w:numPr>
          <w:ilvl w:val="0"/>
          <w:numId w:val="1001"/>
        </w:numPr>
        <w:pStyle w:val="Compact"/>
      </w:pPr>
      <w:r>
        <w:rPr>
          <w:bCs/>
          <w:b/>
        </w:rPr>
        <w:t xml:space="preserve">National Art. 35(4)</w:t>
      </w:r>
      <w:r>
        <w:rPr>
          <w:bCs/>
          <w:b/>
        </w:rPr>
        <w:t xml:space="preserve"> </w:t>
      </w:r>
      <w:r>
        <w:rPr>
          <w:bCs/>
          <w:b/>
        </w:rPr>
        <w:t xml:space="preserve">“</w:t>
      </w:r>
      <w:r>
        <w:rPr>
          <w:bCs/>
          <w:b/>
        </w:rPr>
        <w:t xml:space="preserve">must</w:t>
      </w:r>
      <w:r>
        <w:rPr>
          <w:bCs/>
          <w:b/>
        </w:rPr>
        <w:t xml:space="preserve">”</w:t>
      </w:r>
      <w:r>
        <w:rPr>
          <w:bCs/>
          <w:b/>
        </w:rPr>
        <w:t xml:space="preserve"> </w:t>
      </w:r>
      <w:r>
        <w:rPr>
          <w:bCs/>
          <w:b/>
        </w:rPr>
        <w:t xml:space="preserve">lists.</w:t>
      </w:r>
      <w:r>
        <w:t xml:space="preserve"> </w:t>
      </w:r>
      <w:r>
        <w:t xml:space="preserve">Germany is decisive: the DSK</w:t>
      </w:r>
      <w:r>
        <w:t xml:space="preserve"> </w:t>
      </w:r>
      <w:r>
        <w:rPr>
          <w:iCs/>
          <w:i/>
        </w:rPr>
        <w:t xml:space="preserve">Muss-Liste</w:t>
      </w:r>
      <w:r>
        <w:t xml:space="preserve"> </w:t>
      </w:r>
      <w:r>
        <w:t xml:space="preserve">v1.1 of 17 October 2018,</w:t>
      </w:r>
      <w:r>
        <w:t xml:space="preserve"> </w:t>
      </w:r>
      <w:r>
        <w:rPr>
          <w:bCs/>
          <w:b/>
        </w:rPr>
        <w:t xml:space="preserve">entry 11</w:t>
      </w:r>
      <w:r>
        <w:t xml:space="preserve">, names</w:t>
      </w:r>
      <w:r>
        <w:t xml:space="preserve"> </w:t>
      </w:r>
      <w:r>
        <w:rPr>
          <w:iCs/>
          <w:i/>
        </w:rPr>
        <w:t xml:space="preserve">“</w:t>
      </w:r>
      <w:r>
        <w:rPr>
          <w:iCs/>
          <w:i/>
        </w:rPr>
        <w:t xml:space="preserve">Einsatz von künstlicher Intelligenz zur Verarbeitung personenbezogener Daten … zur Bewertung persönlicher Aspekte der betroffenen Person</w:t>
      </w:r>
      <w:r>
        <w:rPr>
          <w:iCs/>
          <w:i/>
        </w:rPr>
        <w:t xml:space="preserve">”</w:t>
      </w:r>
      <w:r>
        <w:t xml:space="preserve">. That is a direct hit.</w:t>
      </w:r>
    </w:p>
    <w:p>
      <w:pPr>
        <w:pStyle w:val="FirstParagraph"/>
      </w:pPr>
      <w:r>
        <w:t xml:space="preserve">Every German public-sector deployment therefore requires a DSFA before the system is put into service, and the deployer will need the template and the technical inputs from the provider. Since Reg. (EU) 2026/1744 amended AI Act Art. 27(4) to let a deployer cross-reference the GDPR DPIA into the AI Act FRIA, a single combined DPIA/FRIA pack is expressly sanctioned.</w:t>
      </w:r>
    </w:p>
    <w:bookmarkEnd w:id="28"/>
    <w:bookmarkStart w:id="29" w:name="processors-sub-processors-and-transfers"/>
    <w:p>
      <w:pPr>
        <w:pStyle w:val="Heading3"/>
      </w:pPr>
      <w:r>
        <w:t xml:space="preserve">3.7 Processors, sub-processors and transfers</w:t>
      </w:r>
    </w:p>
    <w:p>
      <w:pPr>
        <w:numPr>
          <w:ilvl w:val="0"/>
          <w:numId w:val="1002"/>
        </w:numPr>
        <w:pStyle w:val="Compact"/>
      </w:pPr>
      <w:r>
        <w:rPr>
          <w:bCs/>
          <w:b/>
        </w:rPr>
        <w:t xml:space="preserve">Art. 28(2)/(4):</w:t>
      </w:r>
      <w:r>
        <w:t xml:space="preserve"> </w:t>
      </w:r>
      <w:r>
        <w:t xml:space="preserve">a US model provider is a</w:t>
      </w:r>
      <w:r>
        <w:t xml:space="preserve"> </w:t>
      </w:r>
      <w:r>
        <w:rPr>
          <w:bCs/>
          <w:b/>
        </w:rPr>
        <w:t xml:space="preserve">sub-processor</w:t>
      </w:r>
      <w:r>
        <w:t xml:space="preserve">. Public buyers will want prior specific authorisation, so model-provider churn is a contractual problem, not only an engineering one.</w:t>
      </w:r>
    </w:p>
    <w:p>
      <w:pPr>
        <w:numPr>
          <w:ilvl w:val="0"/>
          <w:numId w:val="1002"/>
        </w:numPr>
        <w:pStyle w:val="Compact"/>
      </w:pPr>
      <w:r>
        <w:rPr>
          <w:bCs/>
          <w:b/>
        </w:rPr>
        <w:t xml:space="preserve">Art. 28(3)(a):</w:t>
      </w:r>
      <w:r>
        <w:t xml:space="preserve"> </w:t>
      </w:r>
      <w:r>
        <w:t xml:space="preserve">the processor acts only on documented instructions; any model-improvement use is outside instructions and re-characterises the provider as controller.</w:t>
      </w:r>
    </w:p>
    <w:p>
      <w:pPr>
        <w:numPr>
          <w:ilvl w:val="0"/>
          <w:numId w:val="1002"/>
        </w:numPr>
        <w:pStyle w:val="Compact"/>
      </w:pPr>
      <w:r>
        <w:rPr>
          <w:bCs/>
          <w:b/>
        </w:rPr>
        <w:t xml:space="preserve">Art. 32:</w:t>
      </w:r>
      <w:r>
        <w:t xml:space="preserve"> </w:t>
      </w:r>
      <w:r>
        <w:t xml:space="preserve">zero-retention API configuration and contractual assurance that the model provider does not retain or train on prompts is effectively a security requirement here, not a nice-to-have.</w:t>
      </w:r>
    </w:p>
    <w:p>
      <w:pPr>
        <w:numPr>
          <w:ilvl w:val="0"/>
          <w:numId w:val="1002"/>
        </w:numPr>
        <w:pStyle w:val="Compact"/>
      </w:pPr>
      <w:r>
        <w:rPr>
          <w:bCs/>
          <w:b/>
        </w:rPr>
        <w:t xml:space="preserve">Chapter V:</w:t>
      </w:r>
      <w:r>
        <w:t xml:space="preserve"> </w:t>
      </w:r>
      <w:r>
        <w:t xml:space="preserve">using a US-hosted model endpoint is a transfer. The EU–US Data Privacy Framework survived first-instance challenge (</w:t>
      </w:r>
      <w:r>
        <w:rPr>
          <w:bCs/>
          <w:b/>
        </w:rPr>
        <w:t xml:space="preserve">T-553/23</w:t>
      </w:r>
      <w:r>
        <w:rPr>
          <w:bCs/>
          <w:b/>
        </w:rPr>
        <w:t xml:space="preserve"> </w:t>
      </w:r>
      <w:r>
        <w:rPr>
          <w:iCs/>
          <w:i/>
          <w:bCs/>
          <w:b/>
        </w:rPr>
        <w:t xml:space="preserve">Latombe</w:t>
      </w:r>
      <w:r>
        <w:t xml:space="preserve">, General Court, 3 September 2025, action dismissed), but whether an appeal has been lodged and how the Framework stands politically</w:t>
      </w:r>
      <w:r>
        <w:t xml:space="preserve"> </w:t>
      </w:r>
      <w:r>
        <w:rPr>
          <w:bCs/>
          <w:b/>
        </w:rPr>
        <w:t xml:space="preserve">could not be verified for this review</w:t>
      </w:r>
      <w:r>
        <w:t xml:space="preserve"> </w:t>
      </w:r>
      <w:r>
        <w:t xml:space="preserve">and must be re-checked before any commitment is given. The system should be designed so that the Framework is not load-bearing: EU-region endpoints, standard contractual clauses, a transfer impact assessment. German public buyers have repeatedly treated US-parent cloud as a problem irrespective of adequacy.</w:t>
      </w:r>
    </w:p>
    <w:bookmarkEnd w:id="29"/>
    <w:bookmarkStart w:id="30" w:name="model-training-and-purpose-limitation"/>
    <w:p>
      <w:pPr>
        <w:pStyle w:val="Heading3"/>
      </w:pPr>
      <w:r>
        <w:t xml:space="preserve">3.8 Model training and purpose limitation</w:t>
      </w:r>
    </w:p>
    <w:p>
      <w:pPr>
        <w:pStyle w:val="FirstParagraph"/>
      </w:pPr>
      <w:r>
        <w:rPr>
          <w:bCs/>
          <w:b/>
        </w:rPr>
        <w:t xml:space="preserve">EDPB Opinion 28/2024</w:t>
      </w:r>
      <w:r>
        <w:t xml:space="preserve"> </w:t>
      </w:r>
      <w:r>
        <w:t xml:space="preserve">(17 December 2024) holds that AI models trained on personal data cannot in all cases be considered anonymous, that both direct extraction and extraction via queries must be insignificant before anonymity can be claimed, and that unlawfully processed training data contaminates downstream operation. A model fine-tuned on a cohort’s scripts may itself be personal data.</w:t>
      </w:r>
    </w:p>
    <w:p>
      <w:pPr>
        <w:pStyle w:val="BodyText"/>
      </w:pPr>
      <w:r>
        <w:t xml:space="preserve">Combined with Art. 5(1)(b) purpose limitation — and noting that the Art. 6(4) compatibility route is materially narrower for an Art. 6(1)(e) public-task controller — the conclusion is that</w:t>
      </w:r>
      <w:r>
        <w:t xml:space="preserve"> </w:t>
      </w:r>
      <w:r>
        <w:rPr>
          <w:bCs/>
          <w:b/>
        </w:rPr>
        <w:t xml:space="preserve">customer scripts may not be used for fine-tuning</w:t>
      </w:r>
      <w:r>
        <w:t xml:space="preserve">. Where domain adaptation is needed, it must be carried out on synthetic or properly licensed corpora, and that must be demonstrable. A clause permitting model improvement on customer data is the clause a German school authority will strike out, the clause DfE’s own published worked example uses to justify walking away from a supplier, and the clause that triggers the US analysis in §10.</w:t>
      </w:r>
    </w:p>
    <w:bookmarkEnd w:id="30"/>
    <w:bookmarkStart w:id="31" w:name="children"/>
    <w:p>
      <w:pPr>
        <w:pStyle w:val="Heading3"/>
      </w:pPr>
      <w:r>
        <w:t xml:space="preserve">3.9 Children</w:t>
      </w:r>
    </w:p>
    <w:p>
      <w:pPr>
        <w:pStyle w:val="FirstParagraph"/>
      </w:pPr>
      <w:r>
        <w:t xml:space="preserve">Art. 8 GDPR does</w:t>
      </w:r>
      <w:r>
        <w:t xml:space="preserve"> </w:t>
      </w:r>
      <w:r>
        <w:rPr>
          <w:bCs/>
          <w:b/>
        </w:rPr>
        <w:t xml:space="preserve">not</w:t>
      </w:r>
      <w:r>
        <w:t xml:space="preserve"> </w:t>
      </w:r>
      <w:r>
        <w:t xml:space="preserve">apply, and saying so cleanly matters because edtech vendors routinely misapply it. Art. 8 bites only where consent is the basis</w:t>
      </w:r>
      <w:r>
        <w:t xml:space="preserve"> </w:t>
      </w:r>
      <w:r>
        <w:rPr>
          <w:bCs/>
          <w:b/>
        </w:rPr>
        <w:t xml:space="preserve">and</w:t>
      </w:r>
      <w:r>
        <w:t xml:space="preserve"> </w:t>
      </w:r>
      <w:r>
        <w:t xml:space="preserve">the service is an information-society service offered</w:t>
      </w:r>
      <w:r>
        <w:t xml:space="preserve"> </w:t>
      </w:r>
      <w:r>
        <w:rPr>
          <w:iCs/>
          <w:i/>
        </w:rPr>
        <w:t xml:space="preserve">directly to a child</w:t>
      </w:r>
      <w:r>
        <w:t xml:space="preserve">. Neither gate is satisfied: the basis is Art. 6(1)(e), and the service is offered to the school. Building a parental-consent mechanism would be a category error implying a basis the school cannot lawfully use.</w:t>
      </w:r>
    </w:p>
    <w:p>
      <w:pPr>
        <w:pStyle w:val="BodyText"/>
      </w:pPr>
      <w:r>
        <w:t xml:space="preserve">What does apply is stronger in substance: Art. 12(1) child-readable information; Recital 38 and the DPIA vulnerability trigger; and the Recital 71 / WP251 steer against solely automated significant decisions concerning children.</w:t>
      </w:r>
    </w:p>
    <w:bookmarkEnd w:id="31"/>
    <w:bookmarkStart w:id="32" w:name="is-a-handwriting-image-biometric-data"/>
    <w:p>
      <w:pPr>
        <w:pStyle w:val="Heading3"/>
      </w:pPr>
      <w:r>
        <w:t xml:space="preserve">3.10 Is a handwriting image biometric data?</w:t>
      </w:r>
    </w:p>
    <w:p>
      <w:pPr>
        <w:pStyle w:val="FirstParagraph"/>
      </w:pPr>
      <w:r>
        <w:rPr>
          <w:bCs/>
          <w:b/>
        </w:rPr>
        <w:t xml:space="preserve">Under the GDPR: probably not, as used here.</w:t>
      </w:r>
      <w:r>
        <w:t xml:space="preserve"> </w:t>
      </w:r>
      <w:r>
        <w:t xml:space="preserve">Art. 4(14) requires</w:t>
      </w:r>
      <w:r>
        <w:t xml:space="preserve"> </w:t>
      </w:r>
      <w:r>
        <w:t xml:space="preserve">“</w:t>
      </w:r>
      <w:r>
        <w:t xml:space="preserve">specific technical processing … which allow or confirm the</w:t>
      </w:r>
      <w:r>
        <w:t xml:space="preserve"> </w:t>
      </w:r>
      <w:r>
        <w:rPr>
          <w:iCs/>
          <w:i/>
        </w:rPr>
        <w:t xml:space="preserve">unique identification</w:t>
      </w:r>
      <w:r>
        <w:t xml:space="preserve">”</w:t>
      </w:r>
      <w:r>
        <w:t xml:space="preserve"> </w:t>
      </w:r>
      <w:r>
        <w:t xml:space="preserve">of the person. OCR for transcription is not that.</w:t>
      </w:r>
    </w:p>
    <w:p>
      <w:pPr>
        <w:pStyle w:val="BodyText"/>
      </w:pPr>
      <w:r>
        <w:t xml:space="preserve">Two cautions. First, a system that implements writer verification or anti-impersonation</w:t>
      </w:r>
      <w:r>
        <w:t xml:space="preserve"> </w:t>
      </w:r>
      <w:r>
        <w:rPr>
          <w:iCs/>
          <w:i/>
        </w:rPr>
        <w:t xml:space="preserve">is</w:t>
      </w:r>
      <w:r>
        <w:t xml:space="preserve"> </w:t>
      </w:r>
      <w:r>
        <w:t xml:space="preserve">processing for unique identification, and that converts the processing into Art. 9 processing. A feature of that kind — plausible and customer-requested as an anti-cheating measure — silently changes the regulatory class of the system, and its introduction is a governance decision, not an engineering one. Second, the</w:t>
      </w:r>
      <w:r>
        <w:t xml:space="preserve"> </w:t>
      </w:r>
      <w:r>
        <w:rPr>
          <w:bCs/>
          <w:b/>
        </w:rPr>
        <w:t xml:space="preserve">AI Act uses a broader definition</w:t>
      </w:r>
      <w:r>
        <w:t xml:space="preserve"> </w:t>
      </w:r>
      <w:r>
        <w:t xml:space="preserve">(Art. 3(34) omits the</w:t>
      </w:r>
      <w:r>
        <w:t xml:space="preserve"> </w:t>
      </w:r>
      <w:r>
        <w:t xml:space="preserve">“</w:t>
      </w:r>
      <w:r>
        <w:t xml:space="preserve">unique identification</w:t>
      </w:r>
      <w:r>
        <w:t xml:space="preserve">”</w:t>
      </w:r>
      <w:r>
        <w:t xml:space="preserve"> </w:t>
      </w:r>
      <w:r>
        <w:t xml:space="preserve">qualifier), so a handwriting-analysis feature could be AI Act biometric even where it is not GDPR biometric.</w:t>
      </w:r>
    </w:p>
    <w:p>
      <w:pPr>
        <w:pStyle w:val="BodyText"/>
      </w:pPr>
      <w:r>
        <w:t xml:space="preserve">Independently of the biometric question, handwriting is a powerful quasi-identifier: within a class of 25–30 it singles out reliably, and Recital 26’s</w:t>
      </w:r>
      <w:r>
        <w:t xml:space="preserve"> </w:t>
      </w:r>
      <w:r>
        <w:t xml:space="preserve">“</w:t>
      </w:r>
      <w:r>
        <w:t xml:space="preserve">singling out</w:t>
      </w:r>
      <w:r>
        <w:t xml:space="preserve">”</w:t>
      </w:r>
      <w:r>
        <w:t xml:space="preserve"> </w:t>
      </w:r>
      <w:r>
        <w:t xml:space="preserve">language is directly engaged.</w:t>
      </w:r>
    </w:p>
    <w:p>
      <w:pPr>
        <w:pStyle w:val="BodyText"/>
      </w:pPr>
      <w:r>
        <w:t xml:space="preserve">Two symmetrical cautions, because the point cuts both ways and accuracy is required in both directions. Handwriting is</w:t>
      </w:r>
      <w:r>
        <w:t xml:space="preserve"> </w:t>
      </w:r>
      <w:r>
        <w:rPr>
          <w:bCs/>
          <w:b/>
        </w:rPr>
        <w:t xml:space="preserve">not</w:t>
      </w:r>
      <w:r>
        <w:t xml:space="preserve"> </w:t>
      </w:r>
      <w:r>
        <w:t xml:space="preserve">automatically Art. 9 biometric data — the specific processing and the identification purpose decide it, so the point should neither be conceded in the abstract nor asserted unexamined by a deployer’s data protection officer. Equally,</w:t>
      </w:r>
      <w:r>
        <w:t xml:space="preserve"> </w:t>
      </w:r>
      <w:r>
        <w:rPr>
          <w:bCs/>
          <w:b/>
        </w:rPr>
        <w:t xml:space="preserve">performance data are personal data but are not automatically special-category data</w:t>
      </w:r>
      <w:r>
        <w:t xml:space="preserve">; what makes them so is their content, which in free-text answers lies outside the provider’s control (§3.3). Both formulations are consistent with the position taken in the NRW material reviewed for this paper.</w:t>
      </w:r>
    </w:p>
    <w:p>
      <w:pPr>
        <w:pStyle w:val="BodyText"/>
      </w:pPr>
      <w:r>
        <w:rPr>
          <w:bCs/>
          <w:b/>
        </w:rPr>
        <w:t xml:space="preserve">And one workaround that does not work.</w:t>
      </w:r>
      <w:r>
        <w:t xml:space="preserve"> </w:t>
      </w:r>
      <w:r>
        <w:t xml:space="preserve">NRW’s AI/data-protection FAQ distinguishes anonymisation from pseudonymisation and makes two points that close the obvious engineering shortcuts: replacing names with pupil numbers does not necessarily remove personal-data status; and</w:t>
      </w:r>
      <w:r>
        <w:t xml:space="preserve"> </w:t>
      </w:r>
      <w:r>
        <w:rPr>
          <w:bCs/>
          <w:b/>
        </w:rPr>
        <w:t xml:space="preserve">anonymisation is itself a processing operation requiring its own lawful basis, so sending identified data to an AI service in order to have it anonymised does not cure the initial disclosure.</w:t>
      </w:r>
      <w:r>
        <w:t xml:space="preserve"> </w:t>
      </w:r>
      <w:r>
        <w:t xml:space="preserve">Any</w:t>
      </w:r>
      <w:r>
        <w:t xml:space="preserve"> </w:t>
      </w:r>
      <w:r>
        <w:t xml:space="preserve">“</w:t>
      </w:r>
      <w:r>
        <w:t xml:space="preserve">anonymise on ingestion</w:t>
      </w:r>
      <w:r>
        <w:t xml:space="preserve">”</w:t>
      </w:r>
      <w:r>
        <w:t xml:space="preserve"> </w:t>
      </w:r>
      <w:r>
        <w:t xml:space="preserve">architecture must anonymise</w:t>
      </w:r>
      <w:r>
        <w:t xml:space="preserve"> </w:t>
      </w:r>
      <w:r>
        <w:rPr>
          <w:iCs/>
          <w:i/>
        </w:rPr>
        <w:t xml:space="preserve">before</w:t>
      </w:r>
      <w:r>
        <w:t xml:space="preserve"> </w:t>
      </w:r>
      <w:r>
        <w:t xml:space="preserve">the data leaves the school’s control, not after it reaches the provider.</w:t>
      </w:r>
    </w:p>
    <w:bookmarkEnd w:id="32"/>
    <w:bookmarkEnd w:id="33"/>
    <w:bookmarkStart w:id="41" w:name="question-2-what-does-the-eu-ai-act-imply"/>
    <w:p>
      <w:pPr>
        <w:pStyle w:val="Heading2"/>
      </w:pPr>
      <w:r>
        <w:t xml:space="preserve">4. Question 2 — What does the EU AI Act imply?</w:t>
      </w:r>
    </w:p>
    <w:bookmarkStart w:id="34" w:name="classification"/>
    <w:p>
      <w:pPr>
        <w:pStyle w:val="Heading3"/>
      </w:pPr>
      <w:r>
        <w:t xml:space="preserve">4.1 Classification</w:t>
      </w:r>
    </w:p>
    <w:p>
      <w:pPr>
        <w:pStyle w:val="FirstParagraph"/>
      </w:pPr>
      <w:r>
        <w:rPr>
          <w:bCs/>
          <w:b/>
        </w:rPr>
        <w:t xml:space="preserve">Annex III point 3 (education and vocational training)</w:t>
      </w:r>
      <w:r>
        <w:t xml:space="preserve">, verbatim in the relevant part:</w:t>
      </w:r>
    </w:p>
    <w:p>
      <w:pPr>
        <w:pStyle w:val="BlockText"/>
      </w:pPr>
      <w:r>
        <w:rPr>
          <w:iCs/>
          <w:i/>
        </w:rPr>
        <w:t xml:space="preserve">(b) AI systems intended to be used to evaluate learning outcomes, including when those outcomes are used to steer the learning process of natural persons in educational and vocational training institutions at all levels;</w:t>
      </w:r>
    </w:p>
    <w:p>
      <w:pPr>
        <w:pStyle w:val="FirstParagraph"/>
      </w:pPr>
      <w:r>
        <w:t xml:space="preserve">That is a literal description of exam grading. Note the drafting: the</w:t>
      </w:r>
      <w:r>
        <w:t xml:space="preserve"> </w:t>
      </w:r>
      <w:r>
        <w:t xml:space="preserve">“</w:t>
      </w:r>
      <w:r>
        <w:t xml:space="preserve">including when …</w:t>
      </w:r>
      <w:r>
        <w:t xml:space="preserve">”</w:t>
      </w:r>
      <w:r>
        <w:t xml:space="preserve"> </w:t>
      </w:r>
      <w:r>
        <w:t xml:space="preserve">clause</w:t>
      </w:r>
      <w:r>
        <w:t xml:space="preserve"> </w:t>
      </w:r>
      <w:r>
        <w:rPr>
          <w:bCs/>
          <w:b/>
        </w:rPr>
        <w:t xml:space="preserve">widens</w:t>
      </w:r>
      <w:r>
        <w:t xml:space="preserve">, it does not condition. Annex III point 3 was not amended by Regulation (EU) 2026/1744.</w:t>
      </w:r>
    </w:p>
    <w:p>
      <w:pPr>
        <w:pStyle w:val="BodyText"/>
      </w:pPr>
      <w:r>
        <w:t xml:space="preserve">Point 3(d) separately captures</w:t>
      </w:r>
      <w:r>
        <w:t xml:space="preserve"> </w:t>
      </w:r>
      <w:r>
        <w:rPr>
          <w:bCs/>
          <w:b/>
        </w:rPr>
        <w:t xml:space="preserve">monitoring and detecting prohibited behaviour of students during tests</w:t>
      </w:r>
      <w:r>
        <w:t xml:space="preserve"> </w:t>
      </w:r>
      <w:r>
        <w:t xml:space="preserve">— so any proctoring feature would add a second Annex III hook. Recital 56 gives the rationale: such systems</w:t>
      </w:r>
      <w:r>
        <w:t xml:space="preserve"> </w:t>
      </w:r>
      <w:r>
        <w:t xml:space="preserve">“</w:t>
      </w:r>
      <w:r>
        <w:t xml:space="preserve">may determine the educational and professional course of a person’s life</w:t>
      </w:r>
      <w:r>
        <w:t xml:space="preserve">”</w:t>
      </w:r>
      <w:r>
        <w:t xml:space="preserve"> </w:t>
      </w:r>
      <w:r>
        <w:t xml:space="preserve">and may violate the right to education and to non-discrimination.</w:t>
      </w:r>
    </w:p>
    <w:p>
      <w:pPr>
        <w:pStyle w:val="BodyText"/>
      </w:pPr>
      <w:r>
        <w:t xml:space="preserve">A vendor that places such a system on the market under its own name is the</w:t>
      </w:r>
      <w:r>
        <w:t xml:space="preserve"> </w:t>
      </w:r>
      <w:r>
        <w:rPr>
          <w:bCs/>
          <w:b/>
        </w:rPr>
        <w:t xml:space="preserve">provider</w:t>
      </w:r>
      <w:r>
        <w:t xml:space="preserve"> </w:t>
      </w:r>
      <w:r>
        <w:t xml:space="preserve">(Art. 3(3)). Building on a third-party foundation model does not change this — Art. 25(1)(a) and (c) catch the vendor twice, because it puts its trademark on the system and it directs a general-purpose model to an Annex III purpose. The model house is the provider of the GPAI</w:t>
      </w:r>
      <w:r>
        <w:t xml:space="preserve"> </w:t>
      </w:r>
      <w:r>
        <w:rPr>
          <w:iCs/>
          <w:i/>
        </w:rPr>
        <w:t xml:space="preserve">model</w:t>
      </w:r>
      <w:r>
        <w:t xml:space="preserve">, not of the</w:t>
      </w:r>
      <w:r>
        <w:t xml:space="preserve"> </w:t>
      </w:r>
      <w:r>
        <w:rPr>
          <w:iCs/>
          <w:i/>
        </w:rPr>
        <w:t xml:space="preserve">system</w:t>
      </w:r>
      <w:r>
        <w:t xml:space="preserve">, and its own terms will say so.</w:t>
      </w:r>
    </w:p>
    <w:p>
      <w:pPr>
        <w:pStyle w:val="BodyText"/>
      </w:pPr>
      <w:r>
        <w:rPr>
          <w:bCs/>
          <w:b/>
        </w:rPr>
        <w:t xml:space="preserve">The same provision creates a corresponding exposure on the buyer’s side.</w:t>
      </w:r>
      <w:r>
        <w:t xml:space="preserve"> </w:t>
      </w:r>
      <w:r>
        <w:t xml:space="preserve">Art. 25(1)(c) equally catches a</w:t>
      </w:r>
      <w:r>
        <w:t xml:space="preserve"> </w:t>
      </w:r>
      <w:r>
        <w:rPr>
          <w:bCs/>
          <w:b/>
        </w:rPr>
        <w:t xml:space="preserve">school</w:t>
      </w:r>
      <w:r>
        <w:t xml:space="preserve"> </w:t>
      </w:r>
      <w:r>
        <w:t xml:space="preserve">that takes a general-purpose system not classified as high-risk and repurposes it for grading: it modifies the intended purpose such that the system becomes high-risk, and the school thereby assumes</w:t>
      </w:r>
      <w:r>
        <w:t xml:space="preserve"> </w:t>
      </w:r>
      <w:r>
        <w:rPr>
          <w:bCs/>
          <w:b/>
        </w:rPr>
        <w:t xml:space="preserve">provider</w:t>
      </w:r>
      <w:r>
        <w:t xml:space="preserve"> </w:t>
      </w:r>
      <w:r>
        <w:t xml:space="preserve">obligations. The Kloppenburg opinion filed to the NRW Landtag hearing (§5.12) identifies exactly this exposure. A teacher using a consumer chatbot to mark a set of scripts is not an informal shortcut; it is the school becoming an AI Act provider with no technical documentation, no risk management system and no conformity assessment.</w:t>
      </w:r>
    </w:p>
    <w:bookmarkEnd w:id="34"/>
    <w:bookmarkStart w:id="35" w:name="the-obligations-if-high-risk"/>
    <w:p>
      <w:pPr>
        <w:pStyle w:val="Heading3"/>
      </w:pPr>
      <w:r>
        <w:t xml:space="preserve">4.2 The obligations, if high-risk</w:t>
      </w:r>
    </w:p>
    <w:p>
      <w:pPr>
        <w:pStyle w:val="FirstParagraph"/>
      </w:pPr>
      <w:r>
        <w:rPr>
          <w:bCs/>
          <w:b/>
        </w:rPr>
        <w:t xml:space="preserve">Requirements (Arts. 8–15):</w:t>
      </w:r>
      <w:r>
        <w:t xml:space="preserve"> </w:t>
      </w:r>
      <w:r>
        <w:t xml:space="preserve">risk management (Art. 9);</w:t>
      </w:r>
      <w:r>
        <w:t xml:space="preserve"> </w:t>
      </w:r>
      <w:r>
        <w:rPr>
          <w:bCs/>
          <w:b/>
        </w:rPr>
        <w:t xml:space="preserve">data governance (Art. 10)</w:t>
      </w:r>
      <w:r>
        <w:t xml:space="preserve"> </w:t>
      </w:r>
      <w:r>
        <w:t xml:space="preserve">— training/validation/test sets</w:t>
      </w:r>
      <w:r>
        <w:t xml:space="preserve"> </w:t>
      </w:r>
      <w:r>
        <w:t xml:space="preserve">“</w:t>
      </w:r>
      <w:r>
        <w:t xml:space="preserve">relevant, sufficiently representative and, to the best extent possible, free of errors and complete</w:t>
      </w:r>
      <w:r>
        <w:t xml:space="preserve">”</w:t>
      </w:r>
      <w:r>
        <w:t xml:space="preserve">, examined for bias, with the characteristics of the deployment setting accounted for (Art. 10(4) effectively requires per-curriculum, per-Land validation); technical documentation to Annex IV (Art. 11); logging (Art. 12); instructions for use (Art. 13);</w:t>
      </w:r>
      <w:r>
        <w:t xml:space="preserve"> </w:t>
      </w:r>
      <w:r>
        <w:rPr>
          <w:bCs/>
          <w:b/>
        </w:rPr>
        <w:t xml:space="preserve">human oversight (Art. 14)</w:t>
      </w:r>
      <w:r>
        <w:t xml:space="preserve">; accuracy, robustness and cybersecurity with declared metrics (Art. 15).</w:t>
      </w:r>
    </w:p>
    <w:p>
      <w:pPr>
        <w:pStyle w:val="BodyText"/>
      </w:pPr>
      <w:r>
        <w:rPr>
          <w:bCs/>
          <w:b/>
        </w:rPr>
        <w:t xml:space="preserve">Art. 14(4)(b) is the single most important provision for the design of such a system.</w:t>
      </w:r>
      <w:r>
        <w:t xml:space="preserve"> </w:t>
      </w:r>
      <w:r>
        <w:t xml:space="preserve">Oversight persons must be enabled to</w:t>
      </w:r>
      <w:r>
        <w:t xml:space="preserve"> </w:t>
      </w:r>
      <w:r>
        <w:rPr>
          <w:iCs/>
          <w:i/>
        </w:rPr>
        <w:t xml:space="preserve">“</w:t>
      </w:r>
      <w:r>
        <w:rPr>
          <w:iCs/>
          <w:i/>
        </w:rPr>
        <w:t xml:space="preserve">remain aware of the possible tendency of automatically relying or over-relying on the output produced by a high-risk AI system (automation bias)</w:t>
      </w:r>
      <w:r>
        <w:rPr>
          <w:iCs/>
          <w:i/>
        </w:rPr>
        <w:t xml:space="preserve">”</w:t>
      </w:r>
      <w:r>
        <w:t xml:space="preserve">. This converts automation bias from a UX concern into a statutory design obligation on the</w:t>
      </w:r>
      <w:r>
        <w:t xml:space="preserve"> </w:t>
      </w:r>
      <w:r>
        <w:rPr>
          <w:bCs/>
          <w:b/>
        </w:rPr>
        <w:t xml:space="preserve">provider</w:t>
      </w:r>
      <w:r>
        <w:t xml:space="preserve">. It is also the AI Act’s structural answer to the</w:t>
      </w:r>
      <w:r>
        <w:t xml:space="preserve"> </w:t>
      </w:r>
      <w:r>
        <w:rPr>
          <w:iCs/>
          <w:i/>
        </w:rPr>
        <w:t xml:space="preserve">SCHUFA</w:t>
      </w:r>
      <w:r>
        <w:t xml:space="preserve"> </w:t>
      </w:r>
      <w:r>
        <w:t xml:space="preserve">rubber-stamp problem: an interface that shows the AI’s grade first, prominently, with a one-click accept does not meet Art. 14(4)(b)</w:t>
      </w:r>
      <w:r>
        <w:t xml:space="preserve"> </w:t>
      </w:r>
      <w:r>
        <w:rPr>
          <w:bCs/>
          <w:b/>
        </w:rPr>
        <w:t xml:space="preserve">and</w:t>
      </w:r>
      <w:r>
        <w:t xml:space="preserve"> </w:t>
      </w:r>
      <w:r>
        <w:t xml:space="preserve">simultaneously undermines the argument that the decision is not based solely on automated processing. A single interface design satisfies both requirements.</w:t>
      </w:r>
    </w:p>
    <w:p>
      <w:pPr>
        <w:pStyle w:val="BodyText"/>
      </w:pPr>
      <w:r>
        <w:rPr>
          <w:bCs/>
          <w:b/>
        </w:rPr>
        <w:t xml:space="preserve">Provider obligations (Art. 16):</w:t>
      </w:r>
      <w:r>
        <w:t xml:space="preserve"> </w:t>
      </w:r>
      <w:r>
        <w:t xml:space="preserve">quality management system (Art. 17), documentation and log retention, conformity assessment, EU declaration of conformity (Art. 47), CE marking (Art. 48), registration (Art. 49(1)), corrective action, demonstration of conformity on request, and — Art. 16(l) — compliance with the accessibility requirements of Directives (EU) 2016/2102 and (EU) 2019/882.</w:t>
      </w:r>
    </w:p>
    <w:p>
      <w:pPr>
        <w:pStyle w:val="BodyText"/>
      </w:pPr>
      <w:r>
        <w:rPr>
          <w:bCs/>
          <w:b/>
        </w:rPr>
        <w:t xml:space="preserve">Conformity assessment.</w:t>
      </w:r>
      <w:r>
        <w:t xml:space="preserve"> </w:t>
      </w:r>
      <w:r>
        <w:t xml:space="preserve">Art. 43 sends Annex III points</w:t>
      </w:r>
      <w:r>
        <w:t xml:space="preserve"> </w:t>
      </w:r>
      <w:r>
        <w:rPr>
          <w:bCs/>
          <w:b/>
        </w:rPr>
        <w:t xml:space="preserve">2–8</w:t>
      </w:r>
      <w:r>
        <w:t xml:space="preserve">, which includes education, to the</w:t>
      </w:r>
      <w:r>
        <w:t xml:space="preserve"> </w:t>
      </w:r>
      <w:r>
        <w:rPr>
          <w:bCs/>
          <w:b/>
        </w:rPr>
        <w:t xml:space="preserve">Annex VI internal-control</w:t>
      </w:r>
      <w:r>
        <w:t xml:space="preserve"> </w:t>
      </w:r>
      <w:r>
        <w:t xml:space="preserve">procedure. No notified body, no third-party audit. Only Annex III point 1 (biometrics) can require notified-body involvement. One caveat: Reg. 2026/1744 empowered the Commission to move points 2–8 toward Annex VII in future; not exercised as far as could be verified for this review, but to be monitored.</w:t>
      </w:r>
    </w:p>
    <w:p>
      <w:pPr>
        <w:pStyle w:val="BodyText"/>
      </w:pPr>
      <w:r>
        <w:rPr>
          <w:bCs/>
          <w:b/>
        </w:rPr>
        <w:t xml:space="preserve">Substantial modification</w:t>
      </w:r>
      <w:r>
        <w:t xml:space="preserve"> </w:t>
      </w:r>
      <w:r>
        <w:t xml:space="preserve">(Art. 43(4)) triggers re-assessment, except for changes pre-determined and documented in the original technical documentation. For a product built on a foundation model, an upgrade to the next model version raises precisely that question. A provider that does not declare its intended model-update envelope in the Annex IV documentation faces re-assessment on every model change.</w:t>
      </w:r>
    </w:p>
    <w:p>
      <w:pPr>
        <w:pStyle w:val="BodyText"/>
      </w:pPr>
      <w:r>
        <w:rPr>
          <w:bCs/>
          <w:b/>
        </w:rPr>
        <w:t xml:space="preserve">Post-market:</w:t>
      </w:r>
      <w:r>
        <w:t xml:space="preserve"> </w:t>
      </w:r>
      <w:r>
        <w:t xml:space="preserve">Art. 72 monitoring plan (part of the Annex IV documentation; Commission template due by 2 September 2027) and</w:t>
      </w:r>
      <w:r>
        <w:t xml:space="preserve"> </w:t>
      </w:r>
      <w:r>
        <w:rPr>
          <w:bCs/>
          <w:b/>
        </w:rPr>
        <w:t xml:space="preserve">Art. 73 serious-incident reporting on a 15-day clock</w:t>
      </w:r>
      <w:r>
        <w:t xml:space="preserve"> </w:t>
      </w:r>
      <w:r>
        <w:t xml:space="preserve">(2 days for widespread infringement). A model regression that mis-scores a whole exam sitting is plausibly a serious incident, and the reporting clock must be reflected in the incident runbook.</w:t>
      </w:r>
    </w:p>
    <w:p>
      <w:pPr>
        <w:pStyle w:val="BodyText"/>
      </w:pPr>
      <w:r>
        <w:rPr>
          <w:bCs/>
          <w:b/>
        </w:rPr>
        <w:t xml:space="preserve">Penalties (Art. 99):</w:t>
      </w:r>
      <w:r>
        <w:t xml:space="preserve"> </w:t>
      </w:r>
      <w:r>
        <w:t xml:space="preserve">€35m or 7% of worldwide turnover for Art. 5 prohibited practices; €15m or 3% for operator breaches including Arts. 16, 25(2)–(4), 26 and 50. An SME provider benefits from the amended</w:t>
      </w:r>
      <w:r>
        <w:t xml:space="preserve"> </w:t>
      </w:r>
      <w:r>
        <w:t xml:space="preserve">“</w:t>
      </w:r>
      <w:r>
        <w:t xml:space="preserve">whichever is lower</w:t>
      </w:r>
      <w:r>
        <w:t xml:space="preserve">”</w:t>
      </w:r>
      <w:r>
        <w:t xml:space="preserve"> </w:t>
      </w:r>
      <w:r>
        <w:t xml:space="preserve">cap. The consequences beyond the fine are the public EU-database registration, the market-surveillance finding and the simultaneous loss of public-sector deployments.</w:t>
      </w:r>
    </w:p>
    <w:bookmarkEnd w:id="35"/>
    <w:bookmarkStart w:id="36" w:name="X120ade0d9704f2419fa48b054bde9437919351f"/>
    <w:p>
      <w:pPr>
        <w:pStyle w:val="Heading3"/>
      </w:pPr>
      <w:r>
        <w:t xml:space="preserve">4.3 Why the Art. 6(3) derogation is not available</w:t>
      </w:r>
    </w:p>
    <w:p>
      <w:pPr>
        <w:pStyle w:val="FirstParagraph"/>
      </w:pPr>
      <w:r>
        <w:t xml:space="preserve">The derogation has a chapeau, a list of four alternatives, and an override. All three operate against an exam-grading system.</w:t>
      </w:r>
    </w:p>
    <w:p>
      <w:pPr>
        <w:pStyle w:val="BodyText"/>
      </w:pPr>
      <w:r>
        <w:rPr>
          <w:bCs/>
          <w:b/>
        </w:rPr>
        <w:t xml:space="preserve">The chapeau</w:t>
      </w:r>
      <w:r>
        <w:t xml:space="preserve"> </w:t>
      </w:r>
      <w:r>
        <w:t xml:space="preserve">requires that the system not pose a significant risk to fundamental rights,</w:t>
      </w:r>
      <w:r>
        <w:t xml:space="preserve"> </w:t>
      </w:r>
      <w:r>
        <w:rPr>
          <w:iCs/>
          <w:i/>
        </w:rPr>
        <w:t xml:space="preserve">“</w:t>
      </w:r>
      <w:r>
        <w:rPr>
          <w:iCs/>
          <w:i/>
        </w:rPr>
        <w:t xml:space="preserve">including by not materially influencing the outcome of decision making</w:t>
      </w:r>
      <w:r>
        <w:rPr>
          <w:iCs/>
          <w:i/>
        </w:rPr>
        <w:t xml:space="preserve">”</w:t>
      </w:r>
      <w:r>
        <w:t xml:space="preserve">. The function of an AI exam-grading system is that the proposal materially influences the outcome — that is what saves examiner time. A system that did not would serve no purpose.</w:t>
      </w:r>
    </w:p>
    <w:p>
      <w:pPr>
        <w:pStyle w:val="BodyText"/>
      </w:pPr>
      <w:r>
        <w:rPr>
          <w:bCs/>
          <w:b/>
        </w:rPr>
        <w:t xml:space="preserve">The override is dispositive.</w:t>
      </w:r>
      <w:r>
        <w:t xml:space="preserve"> </w:t>
      </w:r>
      <w:r>
        <w:t xml:space="preserve">The final sub-paragraph:</w:t>
      </w:r>
      <w:r>
        <w:t xml:space="preserve"> </w:t>
      </w:r>
      <w:r>
        <w:rPr>
          <w:iCs/>
          <w:i/>
        </w:rPr>
        <w:t xml:space="preserve">“</w:t>
      </w:r>
      <w:r>
        <w:rPr>
          <w:iCs/>
          <w:i/>
        </w:rPr>
        <w:t xml:space="preserve">an AI system referred to in Annex III shall always be considered to be high-risk where the AI system performs profiling of natural persons.</w:t>
      </w:r>
      <w:r>
        <w:rPr>
          <w:iCs/>
          <w:i/>
        </w:rPr>
        <w:t xml:space="preserve">”</w:t>
      </w:r>
      <w:r>
        <w:t xml:space="preserve"> </w:t>
      </w:r>
      <w:r>
        <w:t xml:space="preserve">AI Act Art. 3(52) adopts the GDPR Art. 4(4) definition —</w:t>
      </w:r>
      <w:r>
        <w:t xml:space="preserve"> </w:t>
      </w:r>
      <w:r>
        <w:t xml:space="preserve">“</w:t>
      </w:r>
      <w:r>
        <w:t xml:space="preserve">any form of automated processing … to evaluate certain personal aspects relating to a natural person</w:t>
      </w:r>
      <w:r>
        <w:t xml:space="preserve">”</w:t>
      </w:r>
      <w:r>
        <w:t xml:space="preserve"> </w:t>
      </w:r>
      <w:r>
        <w:t xml:space="preserve">— and the illustrative list there is not exhaustive, so the absence of</w:t>
      </w:r>
      <w:r>
        <w:t xml:space="preserve"> </w:t>
      </w:r>
      <w:r>
        <w:t xml:space="preserve">“</w:t>
      </w:r>
      <w:r>
        <w:t xml:space="preserve">academic performance</w:t>
      </w:r>
      <w:r>
        <w:t xml:space="preserve">”</w:t>
      </w:r>
      <w:r>
        <w:t xml:space="preserve"> </w:t>
      </w:r>
      <w:r>
        <w:t xml:space="preserve">is immaterial. Scoring a student’s attainment evaluates personal aspects.</w:t>
      </w:r>
      <w:r>
        <w:t xml:space="preserve"> </w:t>
      </w:r>
      <w:r>
        <w:rPr>
          <w:iCs/>
          <w:i/>
        </w:rPr>
        <w:t xml:space="preserve">Nowak</w:t>
      </w:r>
      <w:r>
        <w:t xml:space="preserve"> </w:t>
      </w:r>
      <w:r>
        <w:t xml:space="preserve">says in terms that exam answers reflect the candidate’s knowledge and competence.</w:t>
      </w:r>
    </w:p>
    <w:p>
      <w:pPr>
        <w:pStyle w:val="BodyText"/>
      </w:pPr>
      <w:r>
        <w:rPr>
          <w:bCs/>
          <w:b/>
        </w:rPr>
        <w:t xml:space="preserve">The four limbs fail individually</w:t>
      </w:r>
      <w:r>
        <w:t xml:space="preserve"> </w:t>
      </w:r>
      <w:r>
        <w:t xml:space="preserve">on the Commission’s draft classification guidelines of 19 May 2026:</w:t>
      </w:r>
      <w:r>
        <w:t xml:space="preserve"> </w:t>
      </w:r>
      <w:r>
        <w:t xml:space="preserve">“</w:t>
      </w:r>
      <w:r>
        <w:t xml:space="preserve">narrow procedural task</w:t>
      </w:r>
      <w:r>
        <w:t xml:space="preserve">”</w:t>
      </w:r>
      <w:r>
        <w:t xml:space="preserve"> </w:t>
      </w:r>
      <w:r>
        <w:t xml:space="preserve">expressly excludes systems that rank, score or label;</w:t>
      </w:r>
      <w:r>
        <w:t xml:space="preserve"> </w:t>
      </w:r>
      <w:r>
        <w:t xml:space="preserve">“</w:t>
      </w:r>
      <w:r>
        <w:t xml:space="preserve">improve the result of a previously completed human activity</w:t>
      </w:r>
      <w:r>
        <w:t xml:space="preserve">”</w:t>
      </w:r>
      <w:r>
        <w:t xml:space="preserve"> </w:t>
      </w:r>
      <w:r>
        <w:t xml:space="preserve">has the sequence wrong, since the system proposes</w:t>
      </w:r>
      <w:r>
        <w:t xml:space="preserve"> </w:t>
      </w:r>
      <w:r>
        <w:rPr>
          <w:iCs/>
          <w:i/>
        </w:rPr>
        <w:t xml:space="preserve">before</w:t>
      </w:r>
      <w:r>
        <w:t xml:space="preserve"> </w:t>
      </w:r>
      <w:r>
        <w:t xml:space="preserve">the human decides; limb (c) requires that the system not be meant to influence the prior human assessment; and</w:t>
      </w:r>
      <w:r>
        <w:t xml:space="preserve"> </w:t>
      </w:r>
      <w:r>
        <w:t xml:space="preserve">“</w:t>
      </w:r>
      <w:r>
        <w:t xml:space="preserve">preparatory task</w:t>
      </w:r>
      <w:r>
        <w:t xml:space="preserve">”</w:t>
      </w:r>
      <w:r>
        <w:t xml:space="preserve"> </w:t>
      </w:r>
      <w:r>
        <w:t xml:space="preserve">turns on proximity to the final decision, with systems generating specific recommendations excluded — a proposed numeric grade is the most specific recommendation possible. The same guidance distinguishes summative evaluation (high-risk) from formative feedback (generally not).</w:t>
      </w:r>
      <w:r>
        <w:t xml:space="preserve"> </w:t>
      </w:r>
      <w:r>
        <w:rPr>
          <w:iCs/>
          <w:i/>
        </w:rPr>
        <w:t xml:space="preserve">(Status caveat: those guidelines were still in draft at the last verifiable Commission update and are in any event non-binding — but they are the best available signal of how enforcement will run, and they point uniformly against the derogation.)</w:t>
      </w:r>
    </w:p>
    <w:p>
      <w:pPr>
        <w:pStyle w:val="BodyText"/>
      </w:pPr>
      <w:r>
        <w:rPr>
          <w:bCs/>
          <w:b/>
        </w:rPr>
        <w:t xml:space="preserve">The best counter-argument, and why it fails.</w:t>
      </w:r>
      <w:r>
        <w:t xml:space="preserve"> </w:t>
      </w:r>
      <w:r>
        <w:t xml:space="preserve">One could argue the system evaluates</w:t>
      </w:r>
      <w:r>
        <w:t xml:space="preserve"> </w:t>
      </w:r>
      <w:r>
        <w:rPr>
          <w:iCs/>
          <w:i/>
        </w:rPr>
        <w:t xml:space="preserve">the answer</w:t>
      </w:r>
      <w:r>
        <w:t xml:space="preserve">, not</w:t>
      </w:r>
      <w:r>
        <w:t xml:space="preserve"> </w:t>
      </w:r>
      <w:r>
        <w:rPr>
          <w:iCs/>
          <w:i/>
        </w:rPr>
        <w:t xml:space="preserve">the person</w:t>
      </w:r>
      <w:r>
        <w:t xml:space="preserve"> </w:t>
      </w:r>
      <w:r>
        <w:t xml:space="preserve">— a rubric applied to a text, like a spell-checker applied to a dictionary. It fails because</w:t>
      </w:r>
      <w:r>
        <w:t xml:space="preserve"> </w:t>
      </w:r>
      <w:r>
        <w:rPr>
          <w:iCs/>
          <w:i/>
        </w:rPr>
        <w:t xml:space="preserve">Nowak</w:t>
      </w:r>
      <w:r>
        <w:t xml:space="preserve"> </w:t>
      </w:r>
      <w:r>
        <w:t xml:space="preserve">holds the answers are personal data</w:t>
      </w:r>
      <w:r>
        <w:t xml:space="preserve"> </w:t>
      </w:r>
      <w:r>
        <w:rPr>
          <w:bCs/>
          <w:b/>
        </w:rPr>
        <w:t xml:space="preserve">about the candidate</w:t>
      </w:r>
      <w:r>
        <w:t xml:space="preserve"> </w:t>
      </w:r>
      <w:r>
        <w:t xml:space="preserve">precisely because they reflect competence; because the output attaches to the student’s record, not to the text; and because the Commission’s own guidance excludes ranking and scoring from the narrow-procedural-task limb. The argument would not rate above a 15–20% prospect before a market surveillance authority, and near zero before a Land supervisory authority.</w:t>
      </w:r>
    </w:p>
    <w:p>
      <w:pPr>
        <w:pStyle w:val="BodyText"/>
      </w:pPr>
      <w:r>
        <w:rPr>
          <w:bCs/>
          <w:b/>
        </w:rPr>
        <w:t xml:space="preserve">And the derogation is not an exemption anyway.</w:t>
      </w:r>
      <w:r>
        <w:t xml:space="preserve"> </w:t>
      </w:r>
      <w:r>
        <w:t xml:space="preserve">Art. 6(4) requires a documented assessment before placing on the market, retained and producible. Art. 49(2) requires the provider to</w:t>
      </w:r>
      <w:r>
        <w:t xml:space="preserve"> </w:t>
      </w:r>
      <w:r>
        <w:rPr>
          <w:bCs/>
          <w:b/>
        </w:rPr>
        <w:t xml:space="preserve">register itself and the system in the public EU database</w:t>
      </w:r>
      <w:r>
        <w:t xml:space="preserve"> </w:t>
      </w:r>
      <w:r>
        <w:t xml:space="preserve">on the strength of that conclusion. A registered declaration of non-high-risk status for an exam-grading system invites market-surveillance attention.</w:t>
      </w:r>
    </w:p>
    <w:p>
      <w:pPr>
        <w:pStyle w:val="BodyText"/>
      </w:pPr>
      <w:r>
        <w:t xml:space="preserve">The position to plan for is therefore high-risk provider status. An Art. 6(3) argument is tenable only for a formative-only, non-recorded variant, which must be scoped and documented separately.</w:t>
      </w:r>
    </w:p>
    <w:bookmarkEnd w:id="36"/>
    <w:bookmarkStart w:id="37" w:name="X18b38b053c48d045722008b9d2dd4308e0d3ed3"/>
    <w:p>
      <w:pPr>
        <w:pStyle w:val="Heading3"/>
      </w:pPr>
      <w:r>
        <w:t xml:space="preserve">4.4 Obligations falling on the deploying institution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Provision</w:t>
            </w:r>
          </w:p>
        </w:tc>
        <w:tc>
          <w:tcPr/>
          <w:p>
            <w:pPr>
              <w:pStyle w:val="Compact"/>
              <w:jc w:val="left"/>
            </w:pPr>
            <w:r>
              <w:t xml:space="preserve">What the deploying school must do</w:t>
            </w:r>
          </w:p>
        </w:tc>
      </w:tr>
      <w:tr>
        <w:tc>
          <w:tcPr/>
          <w:p>
            <w:pPr>
              <w:pStyle w:val="Compact"/>
              <w:jc w:val="left"/>
            </w:pPr>
            <w:r>
              <w:t xml:space="preserve">Art. 26(1)</w:t>
            </w:r>
          </w:p>
        </w:tc>
        <w:tc>
          <w:tcPr/>
          <w:p>
            <w:pPr>
              <w:pStyle w:val="Compact"/>
              <w:jc w:val="left"/>
            </w:pPr>
            <w:r>
              <w:t xml:space="preserve">Use the system in accordance with the instructions for use</w:t>
            </w:r>
          </w:p>
        </w:tc>
      </w:tr>
      <w:tr>
        <w:tc>
          <w:tcPr/>
          <w:p>
            <w:pPr>
              <w:pStyle w:val="Compact"/>
              <w:jc w:val="left"/>
            </w:pPr>
            <w:r>
              <w:t xml:space="preserve">Art. 26(2)</w:t>
            </w:r>
          </w:p>
        </w:tc>
        <w:tc>
          <w:tcPr/>
          <w:p>
            <w:pPr>
              <w:pStyle w:val="Compact"/>
              <w:jc w:val="left"/>
            </w:pPr>
            <w:r>
              <w:t xml:space="preserve">Assign human oversight to persons with the necessary</w:t>
            </w:r>
            <w:r>
              <w:t xml:space="preserve"> </w:t>
            </w:r>
            <w:r>
              <w:rPr>
                <w:bCs/>
                <w:b/>
              </w:rPr>
              <w:t xml:space="preserve">competence, training and authority</w:t>
            </w:r>
            <w:r>
              <w:t xml:space="preserve">, and support them</w:t>
            </w:r>
          </w:p>
        </w:tc>
      </w:tr>
      <w:tr>
        <w:tc>
          <w:tcPr/>
          <w:p>
            <w:pPr>
              <w:pStyle w:val="Compact"/>
              <w:jc w:val="left"/>
            </w:pPr>
            <w:r>
              <w:t xml:space="preserve">Art. 26(4)</w:t>
            </w:r>
          </w:p>
        </w:tc>
        <w:tc>
          <w:tcPr/>
          <w:p>
            <w:pPr>
              <w:pStyle w:val="Compact"/>
              <w:jc w:val="left"/>
            </w:pPr>
            <w:r>
              <w:t xml:space="preserve">Ensure input data are relevant and sufficiently representative</w:t>
            </w:r>
          </w:p>
        </w:tc>
      </w:tr>
      <w:tr>
        <w:tc>
          <w:tcPr/>
          <w:p>
            <w:pPr>
              <w:pStyle w:val="Compact"/>
              <w:jc w:val="left"/>
            </w:pPr>
            <w:r>
              <w:t xml:space="preserve">Art. 26(5)</w:t>
            </w:r>
          </w:p>
        </w:tc>
        <w:tc>
          <w:tcPr/>
          <w:p>
            <w:pPr>
              <w:pStyle w:val="Compact"/>
              <w:jc w:val="left"/>
            </w:pPr>
            <w:r>
              <w:t xml:space="preserve">Monitor operation; inform provider and authorities of risks or serious incidents without undue delay</w:t>
            </w:r>
          </w:p>
        </w:tc>
      </w:tr>
      <w:tr>
        <w:tc>
          <w:tcPr/>
          <w:p>
            <w:pPr>
              <w:pStyle w:val="Compact"/>
              <w:jc w:val="left"/>
            </w:pPr>
            <w:r>
              <w:t xml:space="preserve">Art. 26(6)</w:t>
            </w:r>
          </w:p>
        </w:tc>
        <w:tc>
          <w:tcPr/>
          <w:p>
            <w:pPr>
              <w:pStyle w:val="Compact"/>
              <w:jc w:val="left"/>
            </w:pPr>
            <w:r>
              <w:rPr>
                <w:bCs/>
                <w:b/>
              </w:rPr>
              <w:t xml:space="preserve">Retain logs for at least six months</w:t>
            </w:r>
          </w:p>
        </w:tc>
      </w:tr>
      <w:tr>
        <w:tc>
          <w:tcPr/>
          <w:p>
            <w:pPr>
              <w:pStyle w:val="Compact"/>
              <w:jc w:val="left"/>
            </w:pPr>
            <w:r>
              <w:t xml:space="preserve">Art. 26(7)</w:t>
            </w:r>
          </w:p>
        </w:tc>
        <w:tc>
          <w:tcPr/>
          <w:p>
            <w:pPr>
              <w:pStyle w:val="Compact"/>
              <w:jc w:val="left"/>
            </w:pPr>
            <w:r>
              <w:t xml:space="preserve">Before putting a high-risk system into service</w:t>
            </w:r>
            <w:r>
              <w:t xml:space="preserve"> </w:t>
            </w:r>
            <w:r>
              <w:rPr>
                <w:bCs/>
                <w:b/>
              </w:rPr>
              <w:t xml:space="preserve">at the workplace</w:t>
            </w:r>
            <w:r>
              <w:t xml:space="preserve">, inform workers’ representatives and the affected workers</w:t>
            </w:r>
          </w:p>
        </w:tc>
      </w:tr>
      <w:tr>
        <w:tc>
          <w:tcPr/>
          <w:p>
            <w:pPr>
              <w:pStyle w:val="Compact"/>
              <w:jc w:val="left"/>
            </w:pPr>
            <w:r>
              <w:t xml:space="preserve">Art. 26(11)</w:t>
            </w:r>
          </w:p>
        </w:tc>
        <w:tc>
          <w:tcPr/>
          <w:p>
            <w:pPr>
              <w:pStyle w:val="Compact"/>
              <w:jc w:val="left"/>
            </w:pPr>
            <w:r>
              <w:t xml:space="preserve">Inform the persons subject to decisions made or assisted by the system</w:t>
            </w:r>
          </w:p>
        </w:tc>
      </w:tr>
      <w:tr>
        <w:tc>
          <w:tcPr/>
          <w:p>
            <w:pPr>
              <w:pStyle w:val="Compact"/>
              <w:jc w:val="left"/>
            </w:pPr>
            <w:r>
              <w:rPr>
                <w:bCs/>
                <w:b/>
              </w:rPr>
              <w:t xml:space="preserve">Art. 27</w:t>
            </w:r>
          </w:p>
        </w:tc>
        <w:tc>
          <w:tcPr/>
          <w:p>
            <w:pPr>
              <w:pStyle w:val="Compact"/>
              <w:jc w:val="left"/>
            </w:pPr>
            <w:r>
              <w:rPr>
                <w:bCs/>
                <w:b/>
              </w:rPr>
              <w:t xml:space="preserve">Fundamental rights impact assessment</w:t>
            </w:r>
            <w:r>
              <w:t xml:space="preserve"> </w:t>
            </w:r>
            <w:r>
              <w:t xml:space="preserve">— obligatory for deployers that are bodies governed by public law or private entities providing public services</w:t>
            </w:r>
          </w:p>
        </w:tc>
      </w:tr>
    </w:tbl>
    <w:p>
      <w:pPr>
        <w:pStyle w:val="BodyText"/>
      </w:pPr>
      <w:r>
        <w:t xml:space="preserve">Two of these carry particular institutional weight.</w:t>
      </w:r>
      <w:r>
        <w:t xml:space="preserve"> </w:t>
      </w:r>
      <w:r>
        <w:rPr>
          <w:bCs/>
          <w:b/>
        </w:rPr>
        <w:t xml:space="preserve">Art. 26(7)</w:t>
      </w:r>
      <w:r>
        <w:t xml:space="preserve"> </w:t>
      </w:r>
      <w:r>
        <w:t xml:space="preserve">means the</w:t>
      </w:r>
      <w:r>
        <w:t xml:space="preserve"> </w:t>
      </w:r>
      <w:r>
        <w:rPr>
          <w:iCs/>
          <w:i/>
        </w:rPr>
        <w:t xml:space="preserve">Personalrat</w:t>
      </w:r>
      <w:r>
        <w:t xml:space="preserve"> </w:t>
      </w:r>
      <w:r>
        <w:t xml:space="preserve">must be informed before the system is put into service, and in Germany this interacts with the Länder co-determination regimes, which can require consent, not just information, for technical systems capable of monitoring employee performance (§5.8). That process typically takes one to three months and requires a prepared information pack.</w:t>
      </w:r>
      <w:r>
        <w:t xml:space="preserve"> </w:t>
      </w:r>
      <w:r>
        <w:rPr>
          <w:bCs/>
          <w:b/>
        </w:rPr>
        <w:t xml:space="preserve">Art. 27</w:t>
      </w:r>
      <w:r>
        <w:t xml:space="preserve"> </w:t>
      </w:r>
      <w:r>
        <w:t xml:space="preserve">applies to every state school, and the assessment must describe the processes, the period and frequency of use, the categories of persons affected, the specific risks of harm, the human-oversight measures and the complaint mechanisms. This is a substantial documentation burden for an institution that does not normally hold the expertise to discharge it. Art. 27(4) as amended now lets the deployer cross-reference its GDPR DPIA, and Art. 27(5) promises an AI Office template questionnaire (</w:t>
      </w:r>
      <w:r>
        <w:rPr>
          <w:bCs/>
          <w:b/>
        </w:rPr>
        <w:t xml:space="preserve">publication could not be verified for this review</w:t>
      </w:r>
      <w:r>
        <w:t xml:space="preserve">).</w:t>
      </w:r>
    </w:p>
    <w:p>
      <w:pPr>
        <w:pStyle w:val="BodyText"/>
      </w:pPr>
      <w:r>
        <w:t xml:space="preserve">A purely commercial exam body or corporate training provider is</w:t>
      </w:r>
      <w:r>
        <w:t xml:space="preserve"> </w:t>
      </w:r>
      <w:r>
        <w:rPr>
          <w:iCs/>
          <w:i/>
        </w:rPr>
        <w:t xml:space="preserve">not</w:t>
      </w:r>
      <w:r>
        <w:t xml:space="preserve"> </w:t>
      </w:r>
      <w:r>
        <w:t xml:space="preserve">caught by Art. 27’s first limb.</w:t>
      </w:r>
    </w:p>
    <w:bookmarkEnd w:id="37"/>
    <w:bookmarkStart w:id="38" w:name="timeline-as-it-now-stands"/>
    <w:p>
      <w:pPr>
        <w:pStyle w:val="Heading3"/>
      </w:pPr>
      <w:r>
        <w:t xml:space="preserve">4.5 Timeline as it now stands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What applies</w:t>
            </w:r>
          </w:p>
        </w:tc>
        <w:tc>
          <w:tcPr/>
          <w:p>
            <w:pPr>
              <w:pStyle w:val="Compact"/>
              <w:jc w:val="left"/>
            </w:pPr>
            <w:r>
              <w:t xml:space="preserve">Status</w:t>
            </w:r>
          </w:p>
        </w:tc>
      </w:tr>
      <w:tr>
        <w:tc>
          <w:tcPr/>
          <w:p>
            <w:pPr>
              <w:pStyle w:val="Compact"/>
              <w:jc w:val="left"/>
            </w:pPr>
            <w:r>
              <w:t xml:space="preserve">2 Feb 2025</w:t>
            </w:r>
          </w:p>
        </w:tc>
        <w:tc>
          <w:tcPr/>
          <w:p>
            <w:pPr>
              <w:pStyle w:val="Compact"/>
              <w:jc w:val="left"/>
            </w:pPr>
            <w:r>
              <w:t xml:space="preserve">Chapter I (incl. </w:t>
            </w:r>
            <w:r>
              <w:rPr>
                <w:bCs/>
                <w:b/>
              </w:rPr>
              <w:t xml:space="preserve">Art. 4 AI literacy</w:t>
            </w:r>
            <w:r>
              <w:t xml:space="preserve">) and Chapter II (</w:t>
            </w:r>
            <w:r>
              <w:rPr>
                <w:bCs/>
                <w:b/>
              </w:rPr>
              <w:t xml:space="preserve">Art. 5 prohibitions</w:t>
            </w:r>
            <w:r>
              <w:t xml:space="preserve">, incl. 5(1)(f) emotion recognition in education)</w:t>
            </w:r>
          </w:p>
        </w:tc>
        <w:tc>
          <w:tcPr/>
          <w:p>
            <w:pPr>
              <w:pStyle w:val="Compact"/>
              <w:jc w:val="left"/>
            </w:pPr>
            <w:r>
              <w:t xml:space="preserve">in force</w:t>
            </w:r>
          </w:p>
        </w:tc>
      </w:tr>
      <w:tr>
        <w:tc>
          <w:tcPr/>
          <w:p>
            <w:pPr>
              <w:pStyle w:val="Compact"/>
              <w:jc w:val="left"/>
            </w:pPr>
            <w:r>
              <w:t xml:space="preserve">2 Aug 2025</w:t>
            </w:r>
          </w:p>
        </w:tc>
        <w:tc>
          <w:tcPr/>
          <w:p>
            <w:pPr>
              <w:pStyle w:val="Compact"/>
              <w:jc w:val="left"/>
            </w:pPr>
            <w:r>
              <w:t xml:space="preserve">Notified bodies; GPAI; governance; penalties</w:t>
            </w:r>
          </w:p>
        </w:tc>
        <w:tc>
          <w:tcPr/>
          <w:p>
            <w:pPr>
              <w:pStyle w:val="Compact"/>
              <w:jc w:val="left"/>
            </w:pPr>
            <w:r>
              <w:t xml:space="preserve">in force</w:t>
            </w:r>
          </w:p>
        </w:tc>
      </w:tr>
      <w:tr>
        <w:tc>
          <w:tcPr/>
          <w:p>
            <w:pPr>
              <w:pStyle w:val="Compact"/>
              <w:jc w:val="left"/>
            </w:pPr>
            <w:r>
              <w:t xml:space="preserve">27 Jul 2026</w:t>
            </w:r>
          </w:p>
        </w:tc>
        <w:tc>
          <w:tcPr/>
          <w:p>
            <w:pPr>
              <w:pStyle w:val="Compact"/>
              <w:jc w:val="left"/>
            </w:pPr>
            <w:r>
              <w:t xml:space="preserve">Reg. (EU) 2026/1744 in force: softened Art. 4; new Art. 4a (bias-detection basis); Art. 27(4)–(5); SME/SMC penalty caps</w:t>
            </w:r>
          </w:p>
        </w:tc>
        <w:tc>
          <w:tcPr/>
          <w:p>
            <w:pPr>
              <w:pStyle w:val="Compact"/>
              <w:jc w:val="left"/>
            </w:pPr>
            <w:r>
              <w:t xml:space="preserve">in force</w:t>
            </w:r>
          </w:p>
        </w:tc>
      </w:tr>
      <w:tr>
        <w:tc>
          <w:tcPr/>
          <w:p>
            <w:pPr>
              <w:pStyle w:val="Compact"/>
              <w:jc w:val="left"/>
            </w:pPr>
            <w:r>
              <w:t xml:space="preserve">2 Aug 2026</w:t>
            </w:r>
          </w:p>
        </w:tc>
        <w:tc>
          <w:tcPr/>
          <w:p>
            <w:pPr>
              <w:pStyle w:val="Compact"/>
              <w:jc w:val="left"/>
            </w:pPr>
            <w:r>
              <w:t xml:space="preserve">General application date, incl. Art. 50 transparency and</w:t>
            </w:r>
            <w:r>
              <w:t xml:space="preserve"> </w:t>
            </w:r>
            <w:r>
              <w:rPr>
                <w:bCs/>
                <w:b/>
              </w:rPr>
              <w:t xml:space="preserve">Chapter III Section 5 (Arts. 40–49: conformity assessment, DoC, CE marking, registration)</w:t>
            </w:r>
          </w:p>
        </w:tc>
        <w:tc>
          <w:tcPr/>
          <w:p>
            <w:pPr>
              <w:pStyle w:val="Compact"/>
              <w:jc w:val="left"/>
            </w:pPr>
            <w:r>
              <w:t xml:space="preserve">in force — see the gap below</w:t>
            </w:r>
          </w:p>
        </w:tc>
      </w:tr>
      <w:tr>
        <w:tc>
          <w:tcPr/>
          <w:p>
            <w:pPr>
              <w:pStyle w:val="Compact"/>
              <w:jc w:val="left"/>
            </w:pPr>
            <w:r>
              <w:t xml:space="preserve">2 Dec 2026</w:t>
            </w:r>
          </w:p>
        </w:tc>
        <w:tc>
          <w:tcPr/>
          <w:p>
            <w:pPr>
              <w:pStyle w:val="Compact"/>
              <w:jc w:val="left"/>
            </w:pPr>
            <w:r>
              <w:t xml:space="preserve">New Art. 5 prohibitions; Art. 50(2) synthetic-content marking for systems placed on the market before 2 Aug 2026</w:t>
            </w:r>
          </w:p>
        </w:tc>
        <w:tc>
          <w:tcPr/>
          <w:p>
            <w:pPr>
              <w:pStyle w:val="Compact"/>
              <w:jc w:val="left"/>
            </w:pPr>
            <w:r>
              <w:t xml:space="preserve">pending</w:t>
            </w:r>
          </w:p>
        </w:tc>
      </w:tr>
      <w:tr>
        <w:tc>
          <w:tcPr/>
          <w:p>
            <w:pPr>
              <w:pStyle w:val="Compact"/>
              <w:jc w:val="left"/>
            </w:pPr>
            <w:r>
              <w:rPr>
                <w:bCs/>
                <w:b/>
              </w:rPr>
              <w:t xml:space="preserve">2 Dec 2027</w:t>
            </w:r>
          </w:p>
        </w:tc>
        <w:tc>
          <w:tcPr/>
          <w:p>
            <w:pPr>
              <w:pStyle w:val="Compact"/>
              <w:jc w:val="left"/>
            </w:pPr>
            <w:r>
              <w:rPr>
                <w:bCs/>
                <w:b/>
              </w:rPr>
              <w:t xml:space="preserve">Chapter III Sections 1–3 for Annex III high-risk: Arts. 6–7 classification, Arts. 8–15 requirements, Arts. 16–27 provider and deployer obligations</w:t>
            </w:r>
          </w:p>
        </w:tc>
        <w:tc>
          <w:tcPr/>
          <w:p>
            <w:pPr>
              <w:pStyle w:val="Compact"/>
              <w:jc w:val="left"/>
            </w:pPr>
            <w:r>
              <w:rPr>
                <w:bCs/>
                <w:b/>
              </w:rPr>
              <w:t xml:space="preserve">the date that matters</w:t>
            </w:r>
          </w:p>
        </w:tc>
      </w:tr>
      <w:tr>
        <w:tc>
          <w:tcPr/>
          <w:p>
            <w:pPr>
              <w:pStyle w:val="Compact"/>
              <w:jc w:val="left"/>
            </w:pPr>
            <w:r>
              <w:t xml:space="preserve">2 Aug 2028</w:t>
            </w:r>
          </w:p>
        </w:tc>
        <w:tc>
          <w:tcPr/>
          <w:p>
            <w:pPr>
              <w:pStyle w:val="Compact"/>
              <w:jc w:val="left"/>
            </w:pPr>
            <w:r>
              <w:t xml:space="preserve">Chapter III Sections 1–3 for Annex I high-risk</w:t>
            </w:r>
          </w:p>
        </w:tc>
        <w:tc>
          <w:tcPr/>
          <w:p>
            <w:pPr>
              <w:pStyle w:val="Compact"/>
              <w:jc w:val="left"/>
            </w:pPr>
            <w:r>
              <w:t xml:space="preserve">pending</w:t>
            </w:r>
          </w:p>
        </w:tc>
      </w:tr>
    </w:tbl>
    <w:p>
      <w:pPr>
        <w:pStyle w:val="BodyText"/>
      </w:pPr>
      <w:r>
        <w:rPr>
          <w:bCs/>
          <w:b/>
        </w:rPr>
        <w:t xml:space="preserve">The unresolved gap.</w:t>
      </w:r>
      <w:r>
        <w:t xml:space="preserve"> </w:t>
      </w:r>
      <w:r>
        <w:t xml:space="preserve">Article 113 as amended defers only</w:t>
      </w:r>
      <w:r>
        <w:t xml:space="preserve"> </w:t>
      </w:r>
      <w:r>
        <w:t xml:space="preserve">“</w:t>
      </w:r>
      <w:r>
        <w:t xml:space="preserve">Chapter III, Sections 1, 2, and 3</w:t>
      </w:r>
      <w:r>
        <w:t xml:space="preserve">”</w:t>
      </w:r>
      <w:r>
        <w:t xml:space="preserve">. Section 5 (Arts. 40–49) was not deferred and has applied since 2 August 2026 — but Art. 6, which classifies a system as high-risk, and Art. 16, which obliges the provider to undergo conformity assessment and register, do not apply until 2 December 2027. No Commission, AI Office or national statement resolving this could be found. The defensible reading is that a provider cannot be obliged to register a system as high-risk before the provision making it high-risk applies; the practical reading is that no market surveillance authority will enforce Art. 49 against an Annex III provider before December 2027. It is an open question rather than a loophole, it should be put to counsel, and it should not be represented to anyone as settled.</w:t>
      </w:r>
    </w:p>
    <w:p>
      <w:pPr>
        <w:pStyle w:val="BodyText"/>
      </w:pPr>
      <w:r>
        <w:rPr>
          <w:bCs/>
          <w:b/>
        </w:rPr>
        <w:t xml:space="preserve">One point is routinely misread and bears stating in any discussion of the deferral:</w:t>
      </w:r>
      <w:r>
        <w:t xml:space="preserve"> </w:t>
      </w:r>
      <w:r>
        <w:t xml:space="preserve">the postponement moves the AI Act’s high-risk obligations. It suspends nothing in the GDPR and nothing in school or examination law. Those apply in full today. Material still citing 2 August 2026 for the Annex III package is simply out of date.</w:t>
      </w:r>
    </w:p>
    <w:p>
      <w:pPr>
        <w:pStyle w:val="BodyText"/>
      </w:pPr>
      <w:r>
        <w:rPr>
          <w:bCs/>
          <w:b/>
        </w:rPr>
        <w:t xml:space="preserve">Harmonised standards.</w:t>
      </w:r>
      <w:r>
        <w:t xml:space="preserve"> </w:t>
      </w:r>
      <w:r>
        <w:t xml:space="preserve">Regulation (EU) 2026/1744’s own recital records, as the legislature’s finding, the</w:t>
      </w:r>
      <w:r>
        <w:t xml:space="preserve"> </w:t>
      </w:r>
      <w:r>
        <w:rPr>
          <w:iCs/>
          <w:i/>
        </w:rPr>
        <w:t xml:space="preserve">“</w:t>
      </w:r>
      <w:r>
        <w:rPr>
          <w:iCs/>
          <w:i/>
        </w:rPr>
        <w:t xml:space="preserve">delayed availability of standards, common specifications, and alternative guidance</w:t>
      </w:r>
      <w:r>
        <w:rPr>
          <w:iCs/>
          <w:i/>
        </w:rPr>
        <w:t xml:space="preserve">”</w:t>
      </w:r>
      <w:r>
        <w:t xml:space="preserve"> </w:t>
      </w:r>
      <w:r>
        <w:t xml:space="preserve">— and that was the stated reason for the fifteen-month deferral. Whether</w:t>
      </w:r>
      <w:r>
        <w:t xml:space="preserve"> </w:t>
      </w:r>
      <w:r>
        <w:rPr>
          <w:bCs/>
          <w:b/>
        </w:rPr>
        <w:t xml:space="preserve">any</w:t>
      </w:r>
      <w:r>
        <w:t xml:space="preserve"> </w:t>
      </w:r>
      <w:r>
        <w:t xml:space="preserve">harmonised standard under the AI Act has had its reference published in the Official Journal</w:t>
      </w:r>
      <w:r>
        <w:t xml:space="preserve"> </w:t>
      </w:r>
      <w:r>
        <w:rPr>
          <w:bCs/>
          <w:b/>
        </w:rPr>
        <w:t xml:space="preserve">could not be verified for this review</w:t>
      </w:r>
      <w:r>
        <w:t xml:space="preserve">; no evidence was found that any has. Absent publication there is no Art. 40 presumption of conformity, so the Annex VI assessment must be argued from the Art. 8–15 text itself. In practice providers scaffold on</w:t>
      </w:r>
      <w:r>
        <w:t xml:space="preserve"> </w:t>
      </w:r>
      <w:r>
        <w:rPr>
          <w:bCs/>
          <w:b/>
        </w:rPr>
        <w:t xml:space="preserve">ISO/IEC 42001</w:t>
      </w:r>
      <w:r>
        <w:t xml:space="preserve"> </w:t>
      </w:r>
      <w:r>
        <w:t xml:space="preserve">(AI management systems) and</w:t>
      </w:r>
      <w:r>
        <w:t xml:space="preserve"> </w:t>
      </w:r>
      <w:r>
        <w:rPr>
          <w:bCs/>
          <w:b/>
        </w:rPr>
        <w:t xml:space="preserve">ISO/IEC 23894</w:t>
      </w:r>
      <w:r>
        <w:t xml:space="preserve"> </w:t>
      </w:r>
      <w:r>
        <w:t xml:space="preserve">(AI risk management). These are not harmonised standards and confer no presumption of conformity, but they are the best available structure and they are recognisable to procurement. Building the Art. 17 QMS to ISO/IEC 42001 and certifying it is accordingly evidence of compliance, not conformity, and must be described as such.</w:t>
      </w:r>
    </w:p>
    <w:bookmarkEnd w:id="38"/>
    <w:bookmarkStart w:id="39" w:name="two-further-constraints-on-system-scope"/>
    <w:p>
      <w:pPr>
        <w:pStyle w:val="Heading3"/>
      </w:pPr>
      <w:r>
        <w:t xml:space="preserve">4.6 Two further constraints on system scope</w:t>
      </w:r>
    </w:p>
    <w:p>
      <w:pPr>
        <w:pStyle w:val="FirstParagraph"/>
      </w:pPr>
      <w:r>
        <w:rPr>
          <w:bCs/>
          <w:b/>
        </w:rPr>
        <w:t xml:space="preserve">Art. 5(1)(f) — prohibited, not merely regulated.</w:t>
      </w:r>
      <w:r>
        <w:t xml:space="preserve"> </w:t>
      </w:r>
      <w:r>
        <w:rPr>
          <w:iCs/>
          <w:i/>
        </w:rPr>
        <w:t xml:space="preserve">“</w:t>
      </w:r>
      <w:r>
        <w:rPr>
          <w:iCs/>
          <w:i/>
        </w:rPr>
        <w:t xml:space="preserve">AI systems to infer emotions of a natural person in the areas of workplace and education institutions</w:t>
      </w:r>
      <w:r>
        <w:rPr>
          <w:iCs/>
          <w:i/>
        </w:rPr>
        <w:t xml:space="preserve">”</w:t>
      </w:r>
      <w:r>
        <w:t xml:space="preserve"> </w:t>
      </w:r>
      <w:r>
        <w:t xml:space="preserve">are</w:t>
      </w:r>
      <w:r>
        <w:t xml:space="preserve"> </w:t>
      </w:r>
      <w:r>
        <w:rPr>
          <w:bCs/>
          <w:b/>
        </w:rPr>
        <w:t xml:space="preserve">prohibited</w:t>
      </w:r>
      <w:r>
        <w:t xml:space="preserve">, subject only to a narrow medical/safety exception. Penalty tier: €35m or 7%. It has applied since 2 February 2025 and was not deferred. Any engagement-detection, stress-detection,</w:t>
      </w:r>
      <w:r>
        <w:t xml:space="preserve"> </w:t>
      </w:r>
      <w:r>
        <w:t xml:space="preserve">“</w:t>
      </w:r>
      <w:r>
        <w:t xml:space="preserve">is the student struggling</w:t>
      </w:r>
      <w:r>
        <w:t xml:space="preserve">”</w:t>
      </w:r>
      <w:r>
        <w:t xml:space="preserve"> </w:t>
      </w:r>
      <w:r>
        <w:t xml:space="preserve">or affect-based invigilation feature is unlawful in an education institution. Note the adjacency: Annex III 3(d) proctoring is</w:t>
      </w:r>
      <w:r>
        <w:t xml:space="preserve"> </w:t>
      </w:r>
      <w:r>
        <w:rPr>
          <w:iCs/>
          <w:i/>
        </w:rPr>
        <w:t xml:space="preserve">high-risk</w:t>
      </w:r>
      <w:r>
        <w:t xml:space="preserve"> </w:t>
      </w:r>
      <w:r>
        <w:t xml:space="preserve">(permitted, regulated); emotion inference is</w:t>
      </w:r>
      <w:r>
        <w:t xml:space="preserve"> </w:t>
      </w:r>
      <w:r>
        <w:rPr>
          <w:iCs/>
          <w:i/>
        </w:rPr>
        <w:t xml:space="preserve">prohibited</w:t>
      </w:r>
      <w:r>
        <w:t xml:space="preserve">. The line is thin in a real proctoring product and is not apparent at implementation level, so the boundary has to be enforced at governance level rather than left to engineering judgment.</w:t>
      </w:r>
    </w:p>
    <w:p>
      <w:pPr>
        <w:pStyle w:val="BodyText"/>
      </w:pPr>
      <w:r>
        <w:rPr>
          <w:bCs/>
          <w:b/>
        </w:rPr>
        <w:t xml:space="preserve">Art. 50(2) — synthetic content marking.</w:t>
      </w:r>
      <w:r>
        <w:t xml:space="preserve"> </w:t>
      </w:r>
      <w:r>
        <w:t xml:space="preserve">Providers of systems generating synthetic text must mark outputs in a machine-readable, detectable format. AI-generated feedback text is arguably synthetic text output. This applies from 2 August 2026 (2 December 2026 for systems placed on the market before that date) and is under-considered for feedback-generating systems. Art. 50(4)’s exemption for AI-generated text that has undergone human review with editorial responsibility likely helps for the published-text limb, but 50(2) is a separate obligation.</w:t>
      </w:r>
    </w:p>
    <w:bookmarkEnd w:id="39"/>
    <w:bookmarkStart w:id="40" w:name="the-rest-of-the-eu-stack-briefly"/>
    <w:p>
      <w:pPr>
        <w:pStyle w:val="Heading3"/>
      </w:pPr>
      <w:r>
        <w:t xml:space="preserve">4.7 The rest of the EU stack, briefly</w:t>
      </w:r>
    </w:p>
    <w:p>
      <w:pPr>
        <w:numPr>
          <w:ilvl w:val="0"/>
          <w:numId w:val="1003"/>
        </w:numPr>
        <w:pStyle w:val="Compact"/>
      </w:pPr>
      <w:r>
        <w:rPr>
          <w:bCs/>
          <w:b/>
        </w:rPr>
        <w:t xml:space="preserve">AI Liability Directive: withdrawn</w:t>
      </w:r>
      <w:r>
        <w:t xml:space="preserve"> </w:t>
      </w:r>
      <w:r>
        <w:t xml:space="preserve">(OJ C/2025/5423, 6 October 2025). There is no harmonised EU fault-based AI liability regime and no rebuttable causation presumption outside product liability. Fault-based claims fall to national law — in Germany, realistically</w:t>
      </w:r>
      <w:r>
        <w:t xml:space="preserve"> </w:t>
      </w:r>
      <w:r>
        <w:rPr>
          <w:iCs/>
          <w:i/>
        </w:rPr>
        <w:t xml:space="preserve">Amtshaftung</w:t>
      </w:r>
      <w:r>
        <w:t xml:space="preserve"> </w:t>
      </w:r>
      <w:r>
        <w:t xml:space="preserve">against the school authority under § 839 BGB / Art. 34 GG with recourse against the vendor. The contract should anticipate that structure.</w:t>
      </w:r>
    </w:p>
    <w:p>
      <w:pPr>
        <w:numPr>
          <w:ilvl w:val="0"/>
          <w:numId w:val="1003"/>
        </w:numPr>
        <w:pStyle w:val="Compact"/>
      </w:pPr>
      <w:r>
        <w:rPr>
          <w:bCs/>
          <w:b/>
        </w:rPr>
        <w:t xml:space="preserve">Revised Product Liability Directive (EU) 2024/2853</w:t>
      </w:r>
      <w:r>
        <w:t xml:space="preserve"> </w:t>
      </w:r>
      <w:r>
        <w:t xml:space="preserve">— transposition by 9 December 2026;</w:t>
      </w:r>
      <w:r>
        <w:t xml:space="preserve"> </w:t>
      </w:r>
      <w:r>
        <w:rPr>
          <w:bCs/>
          <w:b/>
        </w:rPr>
        <w:t xml:space="preserve">software, including AI, is expressly a</w:t>
      </w:r>
      <w:r>
        <w:rPr>
          <w:bCs/>
          <w:b/>
        </w:rPr>
        <w:t xml:space="preserve"> </w:t>
      </w:r>
      <w:r>
        <w:rPr>
          <w:bCs/>
          <w:b/>
        </w:rPr>
        <w:t xml:space="preserve">“</w:t>
      </w:r>
      <w:r>
        <w:rPr>
          <w:bCs/>
          <w:b/>
        </w:rPr>
        <w:t xml:space="preserve">product</w:t>
      </w:r>
      <w:r>
        <w:rPr>
          <w:bCs/>
          <w:b/>
        </w:rPr>
        <w:t xml:space="preserve">”</w:t>
      </w:r>
      <w:r>
        <w:t xml:space="preserve">, so strict liability attaches to the provider as manufacturer, with evidence-disclosure duties and a technical-complexity presumption naming machine learning.</w:t>
      </w:r>
      <w:r>
        <w:t xml:space="preserve"> </w:t>
      </w:r>
      <w:r>
        <w:rPr>
          <w:bCs/>
          <w:b/>
        </w:rPr>
        <w:t xml:space="preserve">But Art. 6(1) limits compensable damage to death or personal injury (including medically recognised psychological harm), property damage, and destruction or corruption of non-professional data.</w:t>
      </w:r>
      <w:r>
        <w:t xml:space="preserve"> </w:t>
      </w:r>
      <w:r>
        <w:t xml:space="preserve">A wrong grade is pure economic and reputational loss and is none of these.</w:t>
      </w:r>
      <w:r>
        <w:t xml:space="preserve"> </w:t>
      </w:r>
      <w:r>
        <w:rPr>
          <w:bCs/>
          <w:b/>
        </w:rPr>
        <w:t xml:space="preserve">The realistic liability route for a wrong grade is national administrative and contract law, not the PLD</w:t>
      </w:r>
      <w:r>
        <w:t xml:space="preserve"> </w:t>
      </w:r>
      <w:r>
        <w:t xml:space="preserve">— a point worth stating plainly, because it is commonly overstated in both directions. Two residual exposures: medically recognised psychological harm from a catastrophic failure, and destruction of a student’s scanned scripts, which is expressly compensable.</w:t>
      </w:r>
    </w:p>
    <w:p>
      <w:pPr>
        <w:numPr>
          <w:ilvl w:val="0"/>
          <w:numId w:val="1003"/>
        </w:numPr>
        <w:pStyle w:val="Compact"/>
      </w:pPr>
      <w:r>
        <w:rPr>
          <w:bCs/>
          <w:b/>
        </w:rPr>
        <w:t xml:space="preserve">Data Act (EU) 2023/2854</w:t>
      </w:r>
      <w:r>
        <w:t xml:space="preserve">, applicable since 12 September 2025 — Chapter VI switching and exit obligations apply to a SaaS provider. A compliant exit/portability clause is inexpensive and removes a procurement objection.</w:t>
      </w:r>
    </w:p>
    <w:p>
      <w:pPr>
        <w:numPr>
          <w:ilvl w:val="0"/>
          <w:numId w:val="1003"/>
        </w:numPr>
        <w:pStyle w:val="Compact"/>
      </w:pPr>
      <w:r>
        <w:rPr>
          <w:bCs/>
          <w:b/>
        </w:rPr>
        <w:t xml:space="preserve">Accessibility.</w:t>
      </w:r>
      <w:r>
        <w:t xml:space="preserve"> </w:t>
      </w:r>
      <w:r>
        <w:t xml:space="preserve">The European Accessibility Act does</w:t>
      </w:r>
      <w:r>
        <w:t xml:space="preserve"> </w:t>
      </w:r>
      <w:r>
        <w:rPr>
          <w:bCs/>
          <w:b/>
        </w:rPr>
        <w:t xml:space="preserve">not</w:t>
      </w:r>
      <w:r>
        <w:t xml:space="preserve"> </w:t>
      </w:r>
      <w:r>
        <w:t xml:space="preserve">list education services, so it does not apply to such a system as a service. The Web Accessibility Directive reaches public-sector bodies but Art. 1(5) lets Member States exclude schools</w:t>
      </w:r>
      <w:r>
        <w:t xml:space="preserve"> </w:t>
      </w:r>
      <w:r>
        <w:t xml:space="preserve">“</w:t>
      </w:r>
      <w:r>
        <w:t xml:space="preserve">except for … essential online administrative functions</w:t>
      </w:r>
      <w:r>
        <w:t xml:space="preserve">”</w:t>
      </w:r>
      <w:r>
        <w:t xml:space="preserve"> </w:t>
      </w:r>
      <w:r>
        <w:t xml:space="preserve">(whether grade delivery is such a function is open).</w:t>
      </w:r>
      <w:r>
        <w:t xml:space="preserve"> </w:t>
      </w:r>
      <w:r>
        <w:rPr>
          <w:bCs/>
          <w:b/>
        </w:rPr>
        <w:t xml:space="preserve">The decisive hook is AI Act Art. 16(l)</w:t>
      </w:r>
      <w:r>
        <w:t xml:space="preserve">, which obliges the provider directly, from 2 December 2027, to meet the accessibility requirements of both directives. The applicable technical benchmark is</w:t>
      </w:r>
      <w:r>
        <w:t xml:space="preserve"> </w:t>
      </w:r>
      <w:r>
        <w:rPr>
          <w:bCs/>
          <w:b/>
        </w:rPr>
        <w:t xml:space="preserve">EN 301 549 / WCAG 2.1 AA</w:t>
      </w:r>
      <w:r>
        <w:t xml:space="preserve">. Note the substantive point too: a model that systematically misreads the handwriting of a student with dysgraphia is an accessibility failure, an Art. 10(2)(f)–(g) bias problem and an Art. 5(1)(a) fairness breach simultaneously.</w:t>
      </w:r>
    </w:p>
    <w:p>
      <w:pPr>
        <w:numPr>
          <w:ilvl w:val="0"/>
          <w:numId w:val="1003"/>
        </w:numPr>
        <w:pStyle w:val="Compact"/>
      </w:pPr>
      <w:r>
        <w:rPr>
          <w:bCs/>
          <w:b/>
        </w:rPr>
        <w:t xml:space="preserve">NIS2</w:t>
      </w:r>
      <w:r>
        <w:t xml:space="preserve"> </w:t>
      </w:r>
      <w:r>
        <w:t xml:space="preserve">does not list education as a sector and is unlikely to reach such a provider directly, though NIS2-regulated customers will push supply-chain security requirements down the contract.</w:t>
      </w:r>
      <w:r>
        <w:t xml:space="preserve"> </w:t>
      </w:r>
      <w:r>
        <w:rPr>
          <w:bCs/>
          <w:b/>
        </w:rPr>
        <w:t xml:space="preserve">DGA</w:t>
      </w:r>
      <w:r>
        <w:t xml:space="preserve"> </w:t>
      </w:r>
      <w:r>
        <w:t xml:space="preserve">matters only where a research corpus is built from public-school data.</w:t>
      </w:r>
      <w:r>
        <w:t xml:space="preserve"> </w:t>
      </w:r>
      <w:r>
        <w:rPr>
          <w:bCs/>
          <w:b/>
        </w:rPr>
        <w:t xml:space="preserve">eIDAS</w:t>
      </w:r>
      <w:r>
        <w:t xml:space="preserve"> </w:t>
      </w:r>
      <w:r>
        <w:t xml:space="preserve">imposes no requirement here: a qualified electronic signature on the examiner’s sign-off would nonetheless be strong evidence of meaningful, non-delegable human involvement.</w:t>
      </w:r>
    </w:p>
    <w:bookmarkEnd w:id="40"/>
    <w:bookmarkEnd w:id="41"/>
    <w:bookmarkStart w:id="54" w:name="Xed4af4c638a8a19827182852a1a4142c7d840a0"/>
    <w:p>
      <w:pPr>
        <w:pStyle w:val="Heading2"/>
      </w:pPr>
      <w:r>
        <w:t xml:space="preserve">5. Question 3 — What other rules exist below the EU level in Germany?</w:t>
      </w:r>
    </w:p>
    <w:p>
      <w:pPr>
        <w:pStyle w:val="FirstParagraph"/>
      </w:pPr>
      <w:r>
        <w:t xml:space="preserve">This layer contains the school and examination law of the Länder, the school data ordinances and the ministry guidance that sits on top of them. It is the hardest constraint on AI-supported exam grading in the German market, and it is not primarily a data-protection layer — it is</w:t>
      </w:r>
      <w:r>
        <w:t xml:space="preserve"> </w:t>
      </w:r>
      <w:r>
        <w:rPr>
          <w:bCs/>
          <w:b/>
        </w:rPr>
        <w:t xml:space="preserve">examination law</w:t>
      </w:r>
      <w:r>
        <w:t xml:space="preserve">.</w:t>
      </w:r>
    </w:p>
    <w:bookmarkStart w:id="42" w:name="grading-is-an-act-of-public-authority"/>
    <w:p>
      <w:pPr>
        <w:pStyle w:val="Heading3"/>
      </w:pPr>
      <w:r>
        <w:t xml:space="preserve">5.1 Grading is an act of public authority</w:t>
      </w:r>
    </w:p>
    <w:p>
      <w:pPr>
        <w:pStyle w:val="FirstParagraph"/>
      </w:pPr>
      <w:r>
        <w:t xml:space="preserve">The Bildungsministerkonferenz states it in one sentence:</w:t>
      </w:r>
    </w:p>
    <w:p>
      <w:pPr>
        <w:pStyle w:val="BlockText"/>
      </w:pPr>
      <w:r>
        <w:rPr>
          <w:iCs/>
          <w:i/>
        </w:rPr>
        <w:t xml:space="preserve">“</w:t>
      </w:r>
      <w:r>
        <w:rPr>
          <w:iCs/>
          <w:i/>
        </w:rPr>
        <w:t xml:space="preserve">Leistungsbewertung ist und bleibt eine pädagogische und hoheitliche Aufgabe, die als Verwaltungsakt im schulischen Kontext ausschließlich von Lehrkräften erfüllt werden kann.</w:t>
      </w:r>
      <w:r>
        <w:rPr>
          <w:iCs/>
          <w:i/>
        </w:rPr>
        <w:t xml:space="preserve">”</w:t>
      </w:r>
      <w:r>
        <w:t xml:space="preserve"> </w:t>
      </w:r>
      <w:r>
        <w:t xml:space="preserve">— Handlungsempfehlung … zum Umgang mit Künstlicher Intelligenz in schulischen Bildungsprozessen, Beschluss der Bildungsministerkonferenz vom 10.10.2024, p. 6</w:t>
      </w:r>
    </w:p>
    <w:p>
      <w:pPr>
        <w:pStyle w:val="FirstParagraph"/>
      </w:pPr>
      <w:r>
        <w:t xml:space="preserve">Note the precision:</w:t>
      </w:r>
      <w:r>
        <w:t xml:space="preserve"> </w:t>
      </w:r>
      <w:r>
        <w:rPr>
          <w:iCs/>
          <w:i/>
        </w:rPr>
        <w:t xml:space="preserve">hoheitlich</w:t>
      </w:r>
      <w:r>
        <w:t xml:space="preserve"> </w:t>
      </w:r>
      <w:r>
        <w:t xml:space="preserve">+</w:t>
      </w:r>
      <w:r>
        <w:t xml:space="preserve"> </w:t>
      </w:r>
      <w:r>
        <w:rPr>
          <w:iCs/>
          <w:i/>
        </w:rPr>
        <w:t xml:space="preserve">Verwaltungsakt</w:t>
      </w:r>
      <w:r>
        <w:t xml:space="preserve"> </w:t>
      </w:r>
      <w:r>
        <w:t xml:space="preserve">+</w:t>
      </w:r>
      <w:r>
        <w:t xml:space="preserve"> </w:t>
      </w:r>
      <w:r>
        <w:rPr>
          <w:iCs/>
          <w:i/>
        </w:rPr>
        <w:t xml:space="preserve">ausschließlich von Lehrkräften</w:t>
      </w:r>
      <w:r>
        <w:t xml:space="preserve">. That is a statement of administrative-law competence, not of data protection.</w:t>
      </w:r>
    </w:p>
    <w:p>
      <w:pPr>
        <w:pStyle w:val="BodyText"/>
      </w:pPr>
      <w:r>
        <w:rPr>
          <w:bCs/>
          <w:b/>
        </w:rPr>
        <w:t xml:space="preserve">The sentence must be quoted accurately, because the obvious over-reading is wrong.</w:t>
      </w:r>
      <w:r>
        <w:t xml:space="preserve"> </w:t>
      </w:r>
      <w:r>
        <w:t xml:space="preserve">The KMK’s description should not be taken to mean that every individual classroom mark is a separately appealable administrative act. The legal opinion filed to the NRW Landtag hearing (§5.12) distinguishes individual marks from administrative acts, while holding that</w:t>
      </w:r>
      <w:r>
        <w:t xml:space="preserve"> </w:t>
      </w:r>
      <w:r>
        <w:rPr>
          <w:bCs/>
          <w:b/>
        </w:rPr>
        <w:t xml:space="preserve">significant effects are possible in either case</w:t>
      </w:r>
      <w:r>
        <w:t xml:space="preserve"> </w:t>
      </w:r>
      <w:r>
        <w:t xml:space="preserve">— which is both more defensible and sufficient for the analysis that matters here: the Art. 22 GDPR threshold turns on significant effect, not on the</w:t>
      </w:r>
      <w:r>
        <w:t xml:space="preserve"> </w:t>
      </w:r>
      <w:r>
        <w:rPr>
          <w:iCs/>
          <w:i/>
        </w:rPr>
        <w:t xml:space="preserve">Verwaltungsakt</w:t>
      </w:r>
      <w:r>
        <w:t xml:space="preserve"> </w:t>
      </w:r>
      <w:r>
        <w:t xml:space="preserve">label.</w:t>
      </w:r>
    </w:p>
    <w:p>
      <w:pPr>
        <w:pStyle w:val="BodyText"/>
      </w:pPr>
      <w:r>
        <w:rPr>
          <w:bCs/>
          <w:b/>
        </w:rPr>
        <w:t xml:space="preserve">In NRW the statutory hook sits one level down and is worth citing by name.</w:t>
      </w:r>
      <w:r>
        <w:t xml:space="preserve"> </w:t>
      </w:r>
      <w:r>
        <w:t xml:space="preserve">§ 57(1) SchulG NRW assigns assessment to teachers acting within the applicable rules, and §§ 5(1) and 10(1) of the</w:t>
      </w:r>
      <w:r>
        <w:t xml:space="preserve"> </w:t>
      </w:r>
      <w:r>
        <w:rPr>
          <w:iCs/>
          <w:i/>
        </w:rPr>
        <w:t xml:space="preserve">Allgemeine Dienstordnung für Lehrerinnen und Lehrer</w:t>
      </w:r>
      <w:r>
        <w:t xml:space="preserve"> </w:t>
      </w:r>
      <w:r>
        <w:t xml:space="preserve">(ADO) carry the same responsibility into service law. The reading in the Kloppenburg opinion is the operative one:</w:t>
      </w:r>
      <w:r>
        <w:t xml:space="preserve"> </w:t>
      </w:r>
      <w:r>
        <w:rPr>
          <w:bCs/>
          <w:b/>
        </w:rPr>
        <w:t xml:space="preserve">complete delegation is impermissible; assistance is possible.</w:t>
      </w:r>
      <w:r>
        <w:t xml:space="preserve"> </w:t>
      </w:r>
      <w:r>
        <w:t xml:space="preserve">That single sentence marks the outer boundary of any AI-supported grading system in German school law.</w:t>
      </w:r>
      <w:r>
        <w:t xml:space="preserve"> </w:t>
      </w:r>
      <w:r>
        <w:rPr>
          <w:iCs/>
          <w:i/>
        </w:rPr>
        <w:t xml:space="preserve">(Paragraph numbers taken from that opinion; the SchulG and ADO texts could not be verified directly for this review — see §14.)</w:t>
      </w:r>
    </w:p>
    <w:p>
      <w:pPr>
        <w:pStyle w:val="BodyText"/>
      </w:pPr>
      <w:r>
        <w:t xml:space="preserve">The constitutional anchors are Art. 12(1) GG (Berufsfreiheit — engaged by any examination opening access to a profession; BVerwG 10.04.2019 – 6 C 19.18); Art. 3(1) in conjunction with Art. 12(1) GG (Chancengleichheit — comparable examinations must have comparable conditions and standards; BVerfGE 84, 34); Art. 19(4) (which is why the</w:t>
      </w:r>
      <w:r>
        <w:t xml:space="preserve"> </w:t>
      </w:r>
      <w:r>
        <w:rPr>
          <w:iCs/>
          <w:i/>
        </w:rPr>
        <w:t xml:space="preserve">Überdenkensverfahren</w:t>
      </w:r>
      <w:r>
        <w:t xml:space="preserve"> </w:t>
      </w:r>
      <w:r>
        <w:t xml:space="preserve">exists at all, compensating for restricted judicial review); Art. 7(1) (state school supervision); and Art. 2(1) with Art. 1(1) (informational self-determination).</w:t>
      </w:r>
    </w:p>
    <w:bookmarkEnd w:id="42"/>
    <w:bookmarkStart w:id="43" w:name="the-doctrine-that-decides-the-question"/>
    <w:p>
      <w:pPr>
        <w:pStyle w:val="Heading3"/>
      </w:pPr>
      <w:r>
        <w:t xml:space="preserve">5.2 The doctrine that decides the question</w:t>
      </w:r>
    </w:p>
    <w:p>
      <w:pPr>
        <w:pStyle w:val="FirstParagraph"/>
      </w:pPr>
      <w:r>
        <w:t xml:space="preserve">German examination law does not merely require that</w:t>
      </w:r>
      <w:r>
        <w:t xml:space="preserve"> </w:t>
      </w:r>
      <w:r>
        <w:rPr>
          <w:iCs/>
          <w:i/>
        </w:rPr>
        <w:t xml:space="preserve">a</w:t>
      </w:r>
      <w:r>
        <w:t xml:space="preserve"> </w:t>
      </w:r>
      <w:r>
        <w:t xml:space="preserve">human signs off. It requires that the grade be the output of</w:t>
      </w:r>
      <w:r>
        <w:t xml:space="preserve"> </w:t>
      </w:r>
      <w:r>
        <w:rPr>
          <w:bCs/>
          <w:b/>
        </w:rPr>
        <w:t xml:space="preserve">that examiner’s own, personally constructed frame of reference</w:t>
      </w:r>
      <w:r>
        <w:t xml:space="preserve">:</w:t>
      </w:r>
    </w:p>
    <w:p>
      <w:pPr>
        <w:pStyle w:val="BlockText"/>
      </w:pPr>
      <w:r>
        <w:rPr>
          <w:iCs/>
          <w:i/>
        </w:rPr>
        <w:t xml:space="preserve">“</w:t>
      </w:r>
      <w:r>
        <w:rPr>
          <w:iCs/>
          <w:i/>
        </w:rPr>
        <w:t xml:space="preserve">Der jeweilige Prüfer nimmt die Bewertung anhand von Maßstäben vor, die er in Bezug auf die konkrete Prüfungsaufgabe autonom erstellt. Diese Maßstäbe beruhen auf einem Bezugssystem, das vor allem durch seine persönlichen Erfahrungen, Einschätzungen und Vorstellungen gebildet wird. Diese Maßstäbe muss der Prüfer aus Gründen der Chancengleichheit auf die Bewertung aller Bearbeitungen derselben Prüfungsaufgabe anwenden.</w:t>
      </w:r>
      <w:r>
        <w:rPr>
          <w:iCs/>
          <w:i/>
        </w:rPr>
        <w:t xml:space="preserve">”</w:t>
      </w:r>
      <w:r>
        <w:t xml:space="preserve"> </w:t>
      </w:r>
      <w:r>
        <w:t xml:space="preserve">— BVerwG, Beschl. v. 15.10.2018 – 6 B 148.18</w:t>
      </w:r>
    </w:p>
    <w:p>
      <w:pPr>
        <w:pStyle w:val="FirstParagraph"/>
      </w:pPr>
      <w:r>
        <w:t xml:space="preserve">And on the personal character of the decision:</w:t>
      </w:r>
    </w:p>
    <w:p>
      <w:pPr>
        <w:pStyle w:val="BlockText"/>
      </w:pPr>
      <w:r>
        <w:rPr>
          <w:iCs/>
          <w:i/>
        </w:rPr>
        <w:t xml:space="preserve">“</w:t>
      </w:r>
      <w:r>
        <w:rPr>
          <w:iCs/>
          <w:i/>
        </w:rPr>
        <w:t xml:space="preserve">…muss jeder die Leistung persönlich unmittelbar und vollständig zur Kenntnis nehmen und eine selbständige, eigenverantwortliche Bewertungsentscheidung treffen.</w:t>
      </w:r>
      <w:r>
        <w:rPr>
          <w:iCs/>
          <w:i/>
        </w:rPr>
        <w:t xml:space="preserve">”</w:t>
      </w:r>
      <w:r>
        <w:t xml:space="preserve"> </w:t>
      </w:r>
      <w:r>
        <w:t xml:space="preserve">— BVerwG, Beschl. v. 19.05.2016 – 6 B 1.16</w:t>
      </w:r>
    </w:p>
    <w:p>
      <w:pPr>
        <w:pStyle w:val="FirstParagraph"/>
      </w:pPr>
      <w:r>
        <w:rPr>
          <w:bCs/>
          <w:b/>
        </w:rPr>
        <w:t xml:space="preserve">Three consequences follow for the design of any AI-supported grading system.</w:t>
      </w:r>
    </w:p>
    <w:p>
      <w:pPr>
        <w:numPr>
          <w:ilvl w:val="0"/>
          <w:numId w:val="1004"/>
        </w:numPr>
        <w:pStyle w:val="Compact"/>
      </w:pPr>
      <w:r>
        <w:rPr>
          <w:iCs/>
          <w:i/>
        </w:rPr>
        <w:t xml:space="preserve">“</w:t>
      </w:r>
      <w:r>
        <w:rPr>
          <w:iCs/>
          <w:i/>
        </w:rPr>
        <w:t xml:space="preserve">Persönlich unmittelbar und vollständig zur Kenntnis nehmen</w:t>
      </w:r>
      <w:r>
        <w:rPr>
          <w:iCs/>
          <w:i/>
        </w:rPr>
        <w:t xml:space="preserve">”</w:t>
      </w:r>
      <w:r>
        <w:t xml:space="preserve"> </w:t>
      </w:r>
      <w:r>
        <w:t xml:space="preserve">— the examiner must read the</w:t>
      </w:r>
      <w:r>
        <w:t xml:space="preserve"> </w:t>
      </w:r>
      <w:r>
        <w:rPr>
          <w:bCs/>
          <w:b/>
        </w:rPr>
        <w:t xml:space="preserve">whole script</w:t>
      </w:r>
      <w:r>
        <w:t xml:space="preserve">, not a summary. An interface that surfaces only extracted claims, or that permits a score to be accepted without the full scan being opened, is incompatible with this requirement.</w:t>
      </w:r>
      <w:r>
        <w:t xml:space="preserve"> </w:t>
      </w:r>
      <w:r>
        <w:rPr>
          <w:bCs/>
          <w:b/>
        </w:rPr>
        <w:t xml:space="preserve">The script must be the primary surface and the proposal the secondary one.</w:t>
      </w:r>
    </w:p>
    <w:p>
      <w:pPr>
        <w:numPr>
          <w:ilvl w:val="0"/>
          <w:numId w:val="1004"/>
        </w:numPr>
        <w:pStyle w:val="Compact"/>
      </w:pPr>
      <w:r>
        <w:rPr>
          <w:iCs/>
          <w:i/>
        </w:rPr>
        <w:t xml:space="preserve">“</w:t>
      </w:r>
      <w:r>
        <w:rPr>
          <w:iCs/>
          <w:i/>
        </w:rPr>
        <w:t xml:space="preserve">Autonom erstellt … persönliche Erfahrungen</w:t>
      </w:r>
      <w:r>
        <w:rPr>
          <w:iCs/>
          <w:i/>
        </w:rPr>
        <w:t xml:space="preserve">”</w:t>
      </w:r>
      <w:r>
        <w:t xml:space="preserve"> </w:t>
      </w:r>
      <w:r>
        <w:t xml:space="preserve">— a rubric generated by the system and adopted wholesale substitutes the system’s frame of reference for the examiner’s. The requirement is therefore that</w:t>
      </w:r>
      <w:r>
        <w:t xml:space="preserve"> </w:t>
      </w:r>
      <w:r>
        <w:rPr>
          <w:bCs/>
          <w:b/>
        </w:rPr>
        <w:t xml:space="preserve">the rubric be authored by the examiner and applied by the model, not supplied by it.</w:t>
      </w:r>
    </w:p>
    <w:p>
      <w:pPr>
        <w:numPr>
          <w:ilvl w:val="0"/>
          <w:numId w:val="1004"/>
        </w:numPr>
        <w:pStyle w:val="Compact"/>
      </w:pPr>
      <w:r>
        <w:rPr>
          <w:bCs/>
          <w:b/>
        </w:rPr>
        <w:t xml:space="preserve">Consistency.</w:t>
      </w:r>
      <w:r>
        <w:t xml:space="preserve"> </w:t>
      </w:r>
      <w:r>
        <w:t xml:space="preserve">The same standards must be applied to all scripts for the same task, and that duty extends to re-marking in the</w:t>
      </w:r>
      <w:r>
        <w:t xml:space="preserve"> </w:t>
      </w:r>
      <w:r>
        <w:rPr>
          <w:iCs/>
          <w:i/>
        </w:rPr>
        <w:t xml:space="preserve">Überdenkensverfahren</w:t>
      </w:r>
      <w:r>
        <w:t xml:space="preserve">.</w:t>
      </w:r>
      <w:r>
        <w:t xml:space="preserve"> </w:t>
      </w:r>
      <w:r>
        <w:rPr>
          <w:bCs/>
          <w:b/>
        </w:rPr>
        <w:t xml:space="preserve">A non-deterministic model that scores the same script differently on two runs, or drifts across a batch, creates a live Chancengleichheit defect.</w:t>
      </w:r>
      <w:r>
        <w:t xml:space="preserve"> </w:t>
      </w:r>
      <w:r>
        <w:t xml:space="preserve">This is an engineering constraint (temperature, seeding, batch-level calibration, regression testing) rather than a policy one, and it is easily the most underrated technical requirement in this area.</w:t>
      </w:r>
    </w:p>
    <w:bookmarkEnd w:id="43"/>
    <w:bookmarkStart w:id="44" w:name="X322c0167d91cc390deaeb3d7193697b045592b7"/>
    <w:p>
      <w:pPr>
        <w:pStyle w:val="Heading3"/>
      </w:pPr>
      <w:r>
        <w:t xml:space="preserve">5.3 The closest precedent: offene Zweitbewertung</w:t>
      </w:r>
    </w:p>
    <w:p>
      <w:pPr>
        <w:pStyle w:val="FirstParagraph"/>
      </w:pPr>
      <w:r>
        <w:t xml:space="preserve">German law has already decided whether an examiner may form a judgment while knowing someone else’s prior assessment. The answer is yes:</w:t>
      </w:r>
    </w:p>
    <w:p>
      <w:pPr>
        <w:pStyle w:val="BlockText"/>
      </w:pPr>
      <w:r>
        <w:rPr>
          <w:iCs/>
          <w:i/>
        </w:rPr>
        <w:t xml:space="preserve">“</w:t>
      </w:r>
      <w:r>
        <w:rPr>
          <w:iCs/>
          <w:i/>
        </w:rPr>
        <w:t xml:space="preserve">Die offene Zweitbewertung, d. h. die Bewertung der Prüfungsleistung durch den Zweitprüfer in Kenntnis der Bewertung des Erstprüfers, ist mit dem prüfungsrechtlichen Gebot der Chancengleichheit … vereinbar. Es gibt keinen Verfassungsgrundsatz der Prüfungsanonymität.</w:t>
      </w:r>
      <w:r>
        <w:rPr>
          <w:iCs/>
          <w:i/>
        </w:rPr>
        <w:t xml:space="preserve">”</w:t>
      </w:r>
      <w:r>
        <w:t xml:space="preserve"> </w:t>
      </w:r>
      <w:r>
        <w:t xml:space="preserve">— BVerwG, Beschl. v. 19.05.2016 – 6 B 1.16</w:t>
      </w:r>
    </w:p>
    <w:p>
      <w:pPr>
        <w:pStyle w:val="FirstParagraph"/>
      </w:pPr>
      <w:r>
        <w:t xml:space="preserve">German examination law therefore does</w:t>
      </w:r>
      <w:r>
        <w:t xml:space="preserve"> </w:t>
      </w:r>
      <w:r>
        <w:rPr>
          <w:bCs/>
          <w:b/>
        </w:rPr>
        <w:t xml:space="preserve">not</w:t>
      </w:r>
      <w:r>
        <w:t xml:space="preserve"> </w:t>
      </w:r>
      <w:r>
        <w:t xml:space="preserve">treat anchoring by a prior proposal as a defect in itself, provided the second assessor independently and completely engages with the work.</w:t>
      </w:r>
    </w:p>
    <w:p>
      <w:pPr>
        <w:pStyle w:val="BodyText"/>
      </w:pPr>
      <w:r>
        <w:rPr>
          <w:bCs/>
          <w:b/>
        </w:rPr>
        <w:t xml:space="preserve">The limit of the precedent must be stated honestly.</w:t>
      </w:r>
      <w:r>
        <w:t xml:space="preserve"> </w:t>
      </w:r>
      <w:r>
        <w:t xml:space="preserve">The</w:t>
      </w:r>
      <w:r>
        <w:t xml:space="preserve"> </w:t>
      </w:r>
      <w:r>
        <w:rPr>
          <w:iCs/>
          <w:i/>
        </w:rPr>
        <w:t xml:space="preserve">Erstprüfer</w:t>
      </w:r>
      <w:r>
        <w:t xml:space="preserve"> </w:t>
      </w:r>
      <w:r>
        <w:t xml:space="preserve">in that case is a human examiner bound by the same duties, personally liable, able to give reasons and to participate in the</w:t>
      </w:r>
      <w:r>
        <w:t xml:space="preserve"> </w:t>
      </w:r>
      <w:r>
        <w:rPr>
          <w:iCs/>
          <w:i/>
        </w:rPr>
        <w:t xml:space="preserve">Überdenkensverfahren</w:t>
      </w:r>
      <w:r>
        <w:t xml:space="preserve">. A language model is none of those things. The analogy supports</w:t>
      </w:r>
      <w:r>
        <w:t xml:space="preserve"> </w:t>
      </w:r>
      <w:r>
        <w:t xml:space="preserve">“</w:t>
      </w:r>
      <w:r>
        <w:t xml:space="preserve">a prior proposal does not per se poison the judgment</w:t>
      </w:r>
      <w:r>
        <w:t xml:space="preserve">”</w:t>
      </w:r>
      <w:r>
        <w:t xml:space="preserve">; it does not support</w:t>
      </w:r>
      <w:r>
        <w:t xml:space="preserve"> </w:t>
      </w:r>
      <w:r>
        <w:t xml:space="preserve">“</w:t>
      </w:r>
      <w:r>
        <w:t xml:space="preserve">the proposal may come from anywhere</w:t>
      </w:r>
      <w:r>
        <w:t xml:space="preserve">”</w:t>
      </w:r>
      <w:r>
        <w:t xml:space="preserve">. The distinction on which the assistive case rests is that the model holds no Bezugssystem, the examiner does, and the model applies the examiner’s own rubric.</w:t>
      </w:r>
    </w:p>
    <w:bookmarkEnd w:id="44"/>
    <w:bookmarkStart w:id="45" w:name="Xd3c9280c4a9d5c370aa8ecbd3acd3159c944099"/>
    <w:p>
      <w:pPr>
        <w:pStyle w:val="Heading3"/>
      </w:pPr>
      <w:r>
        <w:t xml:space="preserve">5.4 § 35a VwVfG forecloses the fully automated grade</w:t>
      </w:r>
    </w:p>
    <w:p>
      <w:pPr>
        <w:pStyle w:val="BlockText"/>
      </w:pPr>
      <w:r>
        <w:rPr>
          <w:iCs/>
          <w:i/>
        </w:rPr>
        <w:t xml:space="preserve">“</w:t>
      </w:r>
      <w:r>
        <w:rPr>
          <w:iCs/>
          <w:i/>
        </w:rPr>
        <w:t xml:space="preserve">Ein Verwaltungsakt kann vollständig durch automatische Einrichtungen erlassen werden, sofern dies durch Rechtsvorschrift zugelassen ist und</w:t>
      </w:r>
      <w:r>
        <w:rPr>
          <w:iCs/>
          <w:i/>
        </w:rPr>
        <w:t xml:space="preserve"> </w:t>
      </w:r>
      <w:r>
        <w:rPr>
          <w:bCs/>
          <w:b/>
          <w:iCs/>
          <w:i/>
        </w:rPr>
        <w:t xml:space="preserve">weder ein Ermessen noch ein Beurteilungsspielraum besteht</w:t>
      </w:r>
      <w:r>
        <w:rPr>
          <w:iCs/>
          <w:i/>
        </w:rPr>
        <w:t xml:space="preserve">.</w:t>
      </w:r>
      <w:r>
        <w:rPr>
          <w:iCs/>
          <w:i/>
        </w:rPr>
        <w:t xml:space="preserve">”</w:t>
      </w:r>
    </w:p>
    <w:p>
      <w:pPr>
        <w:pStyle w:val="FirstParagraph"/>
      </w:pPr>
      <w:r>
        <w:t xml:space="preserve">Grading is the paradigm</w:t>
      </w:r>
      <w:r>
        <w:t xml:space="preserve"> </w:t>
      </w:r>
      <w:r>
        <w:rPr>
          <w:iCs/>
          <w:i/>
        </w:rPr>
        <w:t xml:space="preserve">Beurteilungsspielraum</w:t>
      </w:r>
      <w:r>
        <w:t xml:space="preserve">. The DSK draws the conclusion expressly:</w:t>
      </w:r>
      <w:r>
        <w:t xml:space="preserve"> </w:t>
      </w:r>
      <w:r>
        <w:rPr>
          <w:iCs/>
          <w:i/>
        </w:rPr>
        <w:t xml:space="preserve">“</w:t>
      </w:r>
      <w:r>
        <w:rPr>
          <w:iCs/>
          <w:i/>
        </w:rPr>
        <w:t xml:space="preserve">Sofern die öffentliche Stelle über einen Beurteilungsspielraum verfügt oder Ermessen ausübt, scheidet der vollständig automatisierte Erlass aus.</w:t>
      </w:r>
      <w:r>
        <w:rPr>
          <w:iCs/>
          <w:i/>
        </w:rPr>
        <w:t xml:space="preserve">”</w:t>
      </w:r>
    </w:p>
    <w:p>
      <w:pPr>
        <w:pStyle w:val="BodyText"/>
      </w:pPr>
      <w:r>
        <w:t xml:space="preserve">Fully automated grading is therefore foreclosed by § 35a VwVfG, and it cannot be authorised at Land level either, because the provision admits automation only where no</w:t>
      </w:r>
      <w:r>
        <w:t xml:space="preserve"> </w:t>
      </w:r>
      <w:r>
        <w:rPr>
          <w:iCs/>
          <w:i/>
        </w:rPr>
        <w:t xml:space="preserve">Beurteilungsspielraum</w:t>
      </w:r>
      <w:r>
        <w:t xml:space="preserve"> </w:t>
      </w:r>
      <w:r>
        <w:t xml:space="preserve">exists at all. The only space that remains open for an AI-supported grading system is decision support. No automated-grade path is lawful, including an opt-in one.</w:t>
      </w:r>
    </w:p>
    <w:bookmarkEnd w:id="45"/>
    <w:bookmarkStart w:id="46" w:name="the-länder-school-data-ordinances"/>
    <w:p>
      <w:pPr>
        <w:pStyle w:val="Heading3"/>
      </w:pPr>
      <w:r>
        <w:t xml:space="preserve">5.5 The Länder school data ordinances</w:t>
      </w:r>
    </w:p>
    <w:p>
      <w:pPr>
        <w:pStyle w:val="FirstParagraph"/>
      </w:pPr>
      <w:r>
        <w:t xml:space="preserve">Schools are Land bodies, so the applicable data law is the</w:t>
      </w:r>
      <w:r>
        <w:t xml:space="preserve"> </w:t>
      </w:r>
      <w:r>
        <w:rPr>
          <w:bCs/>
          <w:b/>
        </w:rPr>
        <w:t xml:space="preserve">Landesdatenschutzgesetz</w:t>
      </w:r>
      <w:r>
        <w:t xml:space="preserve"> </w:t>
      </w:r>
      <w:r>
        <w:t xml:space="preserve">plus the Schulgesetz data clause plus its ordinance — not the BDSG. (Two provisions are commonly mis-cited in this context: § 37 BDSG concerns insurance decisions and is irrelevant here; the general public-body automated-decision provision at federal level is § 54 BDSG.)</w:t>
      </w:r>
    </w:p>
    <w:p>
      <w:pPr>
        <w:pStyle w:val="BodyText"/>
      </w:pPr>
      <w:r>
        <w:t xml:space="preserve">Verified positions: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Land</w:t>
            </w:r>
          </w:p>
        </w:tc>
        <w:tc>
          <w:tcPr/>
          <w:p>
            <w:pPr>
              <w:pStyle w:val="Compact"/>
              <w:jc w:val="left"/>
            </w:pPr>
            <w:r>
              <w:t xml:space="preserve">Schulgesetz clause</w:t>
            </w:r>
          </w:p>
        </w:tc>
        <w:tc>
          <w:tcPr/>
          <w:p>
            <w:pPr>
              <w:pStyle w:val="Compact"/>
              <w:jc w:val="left"/>
            </w:pPr>
            <w:r>
              <w:t xml:space="preserve">Ordinance / instrument</w:t>
            </w:r>
          </w:p>
        </w:tc>
        <w:tc>
          <w:tcPr/>
          <w:p>
            <w:pPr>
              <w:pStyle w:val="Compact"/>
              <w:jc w:val="left"/>
            </w:pPr>
            <w:r>
              <w:t xml:space="preserve">Verification</w:t>
            </w:r>
          </w:p>
        </w:tc>
      </w:tr>
      <w:tr>
        <w:tc>
          <w:tcPr/>
          <w:p>
            <w:pPr>
              <w:pStyle w:val="Compact"/>
              <w:jc w:val="left"/>
            </w:pPr>
            <w:r>
              <w:rPr>
                <w:bCs/>
                <w:b/>
              </w:rPr>
              <w:t xml:space="preserve">NRW</w:t>
            </w:r>
          </w:p>
        </w:tc>
        <w:tc>
          <w:tcPr/>
          <w:p>
            <w:pPr>
              <w:pStyle w:val="Compact"/>
              <w:jc w:val="left"/>
            </w:pPr>
            <w:r>
              <w:t xml:space="preserve">§§ 120, 121 SchulG NRW; Verordnungsermächtigung § 122(4);</w:t>
            </w:r>
            <w:r>
              <w:t xml:space="preserve"> </w:t>
            </w:r>
            <w:r>
              <w:rPr>
                <w:bCs/>
                <w:b/>
              </w:rPr>
              <w:t xml:space="preserve">§ 57(1) SchulG NRW</w:t>
            </w:r>
            <w:r>
              <w:t xml:space="preserve"> </w:t>
            </w:r>
            <w:r>
              <w:t xml:space="preserve">(assessment is the teacher’s) with</w:t>
            </w:r>
            <w:r>
              <w:t xml:space="preserve"> </w:t>
            </w:r>
            <w:r>
              <w:rPr>
                <w:bCs/>
                <w:b/>
              </w:rPr>
              <w:t xml:space="preserve">§§ 5(1), 10(1) ADO</w:t>
            </w:r>
            <w:r>
              <w:t xml:space="preserve">;</w:t>
            </w:r>
            <w:r>
              <w:t xml:space="preserve"> </w:t>
            </w:r>
            <w:r>
              <w:rPr>
                <w:bCs/>
                <w:b/>
              </w:rPr>
              <w:t xml:space="preserve">§§ 92–94 SchulG</w:t>
            </w:r>
            <w:r>
              <w:t xml:space="preserve"> </w:t>
            </w:r>
            <w:r>
              <w:t xml:space="preserve">(school funding, relevant to who may pay a provider)</w:t>
            </w:r>
          </w:p>
        </w:tc>
        <w:tc>
          <w:tcPr/>
          <w:p>
            <w:pPr>
              <w:pStyle w:val="Compact"/>
              <w:jc w:val="left"/>
            </w:pPr>
            <w:r>
              <w:rPr>
                <w:bCs/>
                <w:b/>
              </w:rPr>
              <w:t xml:space="preserve">VO-DV I</w:t>
            </w:r>
            <w:r>
              <w:t xml:space="preserve"> </w:t>
            </w:r>
            <w:r>
              <w:t xml:space="preserve">(pupils/parents), as amended 23.03.2022;</w:t>
            </w:r>
            <w:r>
              <w:t xml:space="preserve"> </w:t>
            </w:r>
            <w:r>
              <w:rPr>
                <w:bCs/>
                <w:b/>
              </w:rPr>
              <w:t xml:space="preserve">VO-DV II</w:t>
            </w:r>
            <w:r>
              <w:t xml:space="preserve"> </w:t>
            </w:r>
            <w:r>
              <w:t xml:space="preserve">(teachers)</w:t>
            </w:r>
          </w:p>
        </w:tc>
        <w:tc>
          <w:tcPr/>
          <w:p>
            <w:pPr>
              <w:pStyle w:val="Compact"/>
              <w:jc w:val="left"/>
            </w:pPr>
            <w:r>
              <w:t xml:space="preserve">VO-DV verified verbatim; § 57(1), ADO and §§ 92–94 taken from the Kloppenburg opinion, not read directly</w:t>
            </w:r>
          </w:p>
        </w:tc>
      </w:tr>
      <w:tr>
        <w:tc>
          <w:tcPr/>
          <w:p>
            <w:pPr>
              <w:pStyle w:val="Compact"/>
              <w:jc w:val="left"/>
            </w:pPr>
            <w:r>
              <w:rPr>
                <w:bCs/>
                <w:b/>
              </w:rPr>
              <w:t xml:space="preserve">Bayern</w:t>
            </w:r>
          </w:p>
        </w:tc>
        <w:tc>
          <w:tcPr/>
          <w:p>
            <w:pPr>
              <w:pStyle w:val="Compact"/>
              <w:jc w:val="left"/>
            </w:pPr>
            <w:r>
              <w:t xml:space="preserve">Art. 85, Art. 85a BayEUG</w:t>
            </w:r>
          </w:p>
        </w:tc>
        <w:tc>
          <w:tcPr/>
          <w:p>
            <w:pPr>
              <w:pStyle w:val="Compact"/>
              <w:jc w:val="left"/>
            </w:pPr>
            <w:r>
              <w:rPr>
                <w:bCs/>
                <w:b/>
              </w:rPr>
              <w:t xml:space="preserve">VollzBek DS – Schulen</w:t>
            </w:r>
            <w:r>
              <w:t xml:space="preserve">, BayMBl. 2022 Nr. 435 —</w:t>
            </w:r>
            <w:r>
              <w:t xml:space="preserve"> </w:t>
            </w:r>
            <w:r>
              <w:rPr>
                <w:iCs/>
                <w:i/>
              </w:rPr>
              <w:t xml:space="preserve">not</w:t>
            </w:r>
            <w:r>
              <w:t xml:space="preserve"> </w:t>
            </w:r>
            <w:r>
              <w:t xml:space="preserve">the BaySchO</w:t>
            </w:r>
          </w:p>
        </w:tc>
        <w:tc>
          <w:tcPr/>
          <w:p>
            <w:pPr>
              <w:pStyle w:val="Compact"/>
              <w:jc w:val="left"/>
            </w:pPr>
            <w:r>
              <w:t xml:space="preserve">verified</w:t>
            </w:r>
          </w:p>
        </w:tc>
      </w:tr>
      <w:tr>
        <w:tc>
          <w:tcPr/>
          <w:p>
            <w:pPr>
              <w:pStyle w:val="Compact"/>
              <w:jc w:val="left"/>
            </w:pPr>
            <w:r>
              <w:rPr>
                <w:bCs/>
                <w:b/>
              </w:rPr>
              <w:t xml:space="preserve">Baden-Württemberg</w:t>
            </w:r>
          </w:p>
        </w:tc>
        <w:tc>
          <w:tcPr/>
          <w:p>
            <w:pPr>
              <w:pStyle w:val="Compact"/>
              <w:jc w:val="left"/>
            </w:pPr>
            <w:r>
              <w:t xml:space="preserve">§ 115b SchG (as cited by the Ministry), and specifically</w:t>
            </w:r>
            <w:r>
              <w:t xml:space="preserve"> </w:t>
            </w:r>
            <w:r>
              <w:rPr>
                <w:bCs/>
                <w:b/>
              </w:rPr>
              <w:t xml:space="preserve">§ 115b(9)</w:t>
            </w:r>
          </w:p>
        </w:tc>
        <w:tc>
          <w:tcPr/>
          <w:p>
            <w:pPr>
              <w:pStyle w:val="Compact"/>
              <w:jc w:val="left"/>
            </w:pPr>
            <w:r>
              <w:rPr>
                <w:bCs/>
                <w:b/>
              </w:rPr>
              <w:t xml:space="preserve">DUVO</w:t>
            </w:r>
            <w:r>
              <w:t xml:space="preserve">, § 6</w:t>
            </w:r>
          </w:p>
        </w:tc>
        <w:tc>
          <w:tcPr/>
          <w:p>
            <w:pPr>
              <w:pStyle w:val="Compact"/>
              <w:jc w:val="left"/>
            </w:pPr>
            <w:r>
              <w:t xml:space="preserve">partially verified — Ministry citation, texts not read</w:t>
            </w:r>
          </w:p>
        </w:tc>
      </w:tr>
      <w:tr>
        <w:tc>
          <w:tcPr/>
          <w:p>
            <w:pPr>
              <w:pStyle w:val="Compact"/>
              <w:jc w:val="left"/>
            </w:pPr>
            <w:r>
              <w:rPr>
                <w:bCs/>
                <w:b/>
              </w:rPr>
              <w:t xml:space="preserve">Niedersachsen</w:t>
            </w:r>
          </w:p>
        </w:tc>
        <w:tc>
          <w:tcPr/>
          <w:p>
            <w:pPr>
              <w:pStyle w:val="Compact"/>
              <w:jc w:val="left"/>
            </w:pPr>
            <w:r>
              <w:rPr>
                <w:bCs/>
                <w:b/>
              </w:rPr>
              <w:t xml:space="preserve">§ 31 NSchG</w:t>
            </w:r>
            <w:r>
              <w:t xml:space="preserve">, incl. Abs. 5</w:t>
            </w:r>
          </w:p>
        </w:tc>
        <w:tc>
          <w:tcPr/>
          <w:p>
            <w:pPr>
              <w:pStyle w:val="Compact"/>
              <w:jc w:val="left"/>
            </w:pPr>
            <w:r>
              <w:t xml:space="preserve">no separate ordinance found</w:t>
            </w:r>
          </w:p>
        </w:tc>
        <w:tc>
          <w:tcPr/>
          <w:p>
            <w:pPr>
              <w:pStyle w:val="Compact"/>
              <w:jc w:val="left"/>
            </w:pPr>
            <w:r>
              <w:t xml:space="preserve">verified verbatim</w:t>
            </w:r>
          </w:p>
        </w:tc>
      </w:tr>
      <w:tr>
        <w:tc>
          <w:tcPr/>
          <w:p>
            <w:pPr>
              <w:pStyle w:val="Compact"/>
              <w:jc w:val="left"/>
            </w:pPr>
            <w:r>
              <w:rPr>
                <w:bCs/>
                <w:b/>
              </w:rPr>
              <w:t xml:space="preserve">Hessen</w:t>
            </w:r>
          </w:p>
        </w:tc>
        <w:tc>
          <w:tcPr/>
          <w:p>
            <w:pPr>
              <w:pStyle w:val="Compact"/>
              <w:jc w:val="left"/>
            </w:pPr>
            <w:r>
              <w:t xml:space="preserve">§§ 83, 83a, 83b HSchG</w:t>
            </w:r>
          </w:p>
        </w:tc>
        <w:tc>
          <w:tcPr/>
          <w:p>
            <w:pPr>
              <w:pStyle w:val="Compact"/>
              <w:jc w:val="left"/>
            </w:pPr>
            <w:r>
              <w:rPr>
                <w:bCs/>
                <w:b/>
              </w:rPr>
              <w:t xml:space="preserve">SchulDSVO</w:t>
            </w:r>
            <w:r>
              <w:t xml:space="preserve"> </w:t>
            </w:r>
            <w:r>
              <w:t xml:space="preserve">(full title includes</w:t>
            </w:r>
            <w:r>
              <w:t xml:space="preserve"> </w:t>
            </w:r>
            <w:r>
              <w:rPr>
                <w:iCs/>
                <w:i/>
              </w:rPr>
              <w:t xml:space="preserve">“</w:t>
            </w:r>
            <w:r>
              <w:rPr>
                <w:iCs/>
                <w:i/>
              </w:rPr>
              <w:t xml:space="preserve">und statistische Erhebungen an Schulen</w:t>
            </w:r>
            <w:r>
              <w:rPr>
                <w:iCs/>
                <w:i/>
              </w:rPr>
              <w:t xml:space="preserve">”</w:t>
            </w:r>
            <w:r>
              <w:t xml:space="preserve">)</w:t>
            </w:r>
          </w:p>
        </w:tc>
        <w:tc>
          <w:tcPr/>
          <w:p>
            <w:pPr>
              <w:pStyle w:val="Compact"/>
              <w:jc w:val="left"/>
            </w:pPr>
            <w:r>
              <w:t xml:space="preserve">name and sections confirmed indirectly</w:t>
            </w:r>
          </w:p>
        </w:tc>
      </w:tr>
      <w:tr>
        <w:tc>
          <w:tcPr/>
          <w:p>
            <w:pPr>
              <w:pStyle w:val="Compact"/>
              <w:jc w:val="left"/>
            </w:pPr>
            <w:r>
              <w:t xml:space="preserve">Berlin, RLP, Sachsen, Saarland, SH, HH, HB, BB, MV, ST, TH</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could not be verified for this review — do not cite section numbers for these ten Länder from this paper</w:t>
            </w:r>
          </w:p>
        </w:tc>
      </w:tr>
    </w:tbl>
    <w:p>
      <w:pPr>
        <w:pStyle w:val="BodyText"/>
      </w:pPr>
      <w:r>
        <w:rPr>
          <w:bCs/>
          <w:b/>
        </w:rPr>
        <w:t xml:space="preserve">What the ordinances actually require</w:t>
      </w:r>
      <w:r>
        <w:t xml:space="preserve">, on the verified NRW text:</w:t>
      </w:r>
    </w:p>
    <w:p>
      <w:pPr>
        <w:numPr>
          <w:ilvl w:val="0"/>
          <w:numId w:val="1005"/>
        </w:numPr>
        <w:pStyle w:val="Compact"/>
      </w:pPr>
      <w:r>
        <w:t xml:space="preserve">An</w:t>
      </w:r>
      <w:r>
        <w:t xml:space="preserve"> </w:t>
      </w:r>
      <w:r>
        <w:rPr>
          <w:bCs/>
          <w:b/>
        </w:rPr>
        <w:t xml:space="preserve">enumerated catalogue</w:t>
      </w:r>
      <w:r>
        <w:t xml:space="preserve"> </w:t>
      </w:r>
      <w:r>
        <w:t xml:space="preserve">of permitted data (VO-DV I § 1(2):</w:t>
      </w:r>
      <w:r>
        <w:t xml:space="preserve"> </w:t>
      </w:r>
      <w:r>
        <w:rPr>
          <w:iCs/>
          <w:i/>
        </w:rPr>
        <w:t xml:space="preserve">“</w:t>
      </w:r>
      <w:r>
        <w:rPr>
          <w:iCs/>
          <w:i/>
        </w:rPr>
        <w:t xml:space="preserve">Die zur Verarbeitung zugelassenen Daten sind in den Anlagen genannt.</w:t>
      </w:r>
      <w:r>
        <w:rPr>
          <w:iCs/>
          <w:i/>
        </w:rPr>
        <w:t xml:space="preserve">”</w:t>
      </w:r>
      <w:r>
        <w:t xml:space="preserve">).</w:t>
      </w:r>
    </w:p>
    <w:p>
      <w:pPr>
        <w:numPr>
          <w:ilvl w:val="0"/>
          <w:numId w:val="1005"/>
        </w:numPr>
        <w:pStyle w:val="Compact"/>
      </w:pPr>
      <w:r>
        <w:rPr>
          <w:bCs/>
          <w:b/>
        </w:rPr>
        <w:t xml:space="preserve">Written authorisation by the Schulleitung for processing on private devices</w:t>
      </w:r>
      <w:r>
        <w:t xml:space="preserve">, including an Art. 30 record — and, decisively,</w:t>
      </w:r>
      <w:r>
        <w:t xml:space="preserve"> </w:t>
      </w:r>
      <w:r>
        <w:rPr>
          <w:iCs/>
          <w:i/>
        </w:rPr>
        <w:t xml:space="preserve">“</w:t>
      </w:r>
      <w:r>
        <w:rPr>
          <w:iCs/>
          <w:i/>
        </w:rPr>
        <w:t xml:space="preserve">ist die Schule Verantwortlicher im Sinne des Artikels 4 Nummer 7 der Datenschutz-Grundverordnung</w:t>
      </w:r>
      <w:r>
        <w:rPr>
          <w:iCs/>
          <w:i/>
        </w:rPr>
        <w:t xml:space="preserve">”</w:t>
      </w:r>
      <w:r>
        <w:t xml:space="preserve"> </w:t>
      </w:r>
      <w:r>
        <w:t xml:space="preserve">even for that private-device processing. The authorisation may not be granted where a service device has been issued, and lapses when one is.</w:t>
      </w:r>
    </w:p>
    <w:p>
      <w:pPr>
        <w:numPr>
          <w:ilvl w:val="0"/>
          <w:numId w:val="1005"/>
        </w:numPr>
        <w:pStyle w:val="Compact"/>
      </w:pPr>
      <w:r>
        <w:rPr>
          <w:bCs/>
          <w:b/>
        </w:rPr>
        <w:t xml:space="preserve">Auftragsverarbeitung</w:t>
      </w:r>
      <w:r>
        <w:t xml:space="preserve"> </w:t>
      </w:r>
      <w:r>
        <w:t xml:space="preserve">permitted only under Art. 28 and only on the instructions of the school or school supervisory authority.</w:t>
      </w:r>
    </w:p>
    <w:p>
      <w:pPr>
        <w:pStyle w:val="FirstParagraph"/>
      </w:pPr>
      <w:r>
        <w:rPr>
          <w:bCs/>
          <w:b/>
        </w:rPr>
        <w:t xml:space="preserve">One detail warrants a specific enquiry.</w:t>
      </w:r>
      <w:r>
        <w:t xml:space="preserve"> </w:t>
      </w:r>
      <w:r>
        <w:t xml:space="preserve">Anlage 3 Nr. 10 VO-DV I permits a teacher to hold on a private device</w:t>
      </w:r>
      <w:r>
        <w:t xml:space="preserve"> </w:t>
      </w:r>
      <w:r>
        <w:rPr>
          <w:iCs/>
          <w:i/>
        </w:rPr>
        <w:t xml:space="preserve">“</w:t>
      </w:r>
      <w:r>
        <w:rPr>
          <w:iCs/>
          <w:i/>
        </w:rPr>
        <w:t xml:space="preserve">Leistungsbewertungen … einschließlich digital von diesen erstellter Leistungsnachweise</w:t>
      </w:r>
      <w:r>
        <w:rPr>
          <w:iCs/>
          <w:i/>
        </w:rPr>
        <w:t xml:space="preserve">”</w:t>
      </w:r>
      <w:r>
        <w:t xml:space="preserve">. A</w:t>
      </w:r>
      <w:r>
        <w:t xml:space="preserve"> </w:t>
      </w:r>
      <w:r>
        <w:rPr>
          <w:bCs/>
          <w:b/>
        </w:rPr>
        <w:t xml:space="preserve">scanned handwritten script is not a</w:t>
      </w:r>
      <w:r>
        <w:rPr>
          <w:bCs/>
          <w:b/>
        </w:rPr>
        <w:t xml:space="preserve"> </w:t>
      </w:r>
      <w:r>
        <w:rPr>
          <w:iCs/>
          <w:i/>
          <w:bCs/>
          <w:b/>
        </w:rPr>
        <w:t xml:space="preserve">digitally produced</w:t>
      </w:r>
      <w:r>
        <w:rPr>
          <w:bCs/>
          <w:b/>
        </w:rPr>
        <w:t xml:space="preserve"> </w:t>
      </w:r>
      <w:r>
        <w:rPr>
          <w:bCs/>
          <w:b/>
        </w:rPr>
        <w:t xml:space="preserve">Leistungsnachweis</w:t>
      </w:r>
      <w:r>
        <w:t xml:space="preserve"> </w:t>
      </w:r>
      <w:r>
        <w:t xml:space="preserve">— it is an image of a paper artefact. There is a real argument that the enumerated catalogue does not cover the core input of an AI-supported grading system on a private device at all. The point should be put in writing to MSB NRW / LDI NRW before any NRW deployment, and it tells in favour of school-device or on-premise processing over teacher BYOD.</w:t>
      </w:r>
    </w:p>
    <w:bookmarkEnd w:id="46"/>
    <w:bookmarkStart w:id="47" w:name="X8bf575f80b655d89bff53917b391556d7d472f2"/>
    <w:p>
      <w:pPr>
        <w:pStyle w:val="Heading3"/>
      </w:pPr>
      <w:r>
        <w:t xml:space="preserve">5.6 Supervisory authorities and the most adverse document in the file</w:t>
      </w:r>
    </w:p>
    <w:p>
      <w:pPr>
        <w:pStyle w:val="FirstParagraph"/>
      </w:pPr>
      <w:r>
        <w:rPr>
          <w:bCs/>
          <w:b/>
        </w:rPr>
        <w:t xml:space="preserve">What is published and verified:</w:t>
      </w:r>
    </w:p>
    <w:p>
      <w:pPr>
        <w:numPr>
          <w:ilvl w:val="0"/>
          <w:numId w:val="1006"/>
        </w:numPr>
        <w:pStyle w:val="Compact"/>
      </w:pPr>
      <w:r>
        <w:rPr>
          <w:bCs/>
          <w:b/>
        </w:rPr>
        <w:t xml:space="preserve">DSK</w:t>
      </w:r>
      <w:r>
        <w:t xml:space="preserve">,</w:t>
      </w:r>
      <w:r>
        <w:t xml:space="preserve"> </w:t>
      </w:r>
      <w:r>
        <w:rPr>
          <w:iCs/>
          <w:i/>
        </w:rPr>
        <w:t xml:space="preserve">Orientierungshilfe Künstliche Intelligenz und Datenschutz</w:t>
      </w:r>
      <w:r>
        <w:t xml:space="preserve">, V 1.0, 06.05.2024 — no V 2.0 exists. The operative sentence:</w:t>
      </w:r>
      <w:r>
        <w:t xml:space="preserve"> </w:t>
      </w:r>
      <w:r>
        <w:rPr>
          <w:iCs/>
          <w:i/>
        </w:rPr>
        <w:t xml:space="preserve">“</w:t>
      </w:r>
      <w:r>
        <w:rPr>
          <w:iCs/>
          <w:i/>
        </w:rPr>
        <w:t xml:space="preserve">muss das Verfahren so gestaltet werden, dass dem entscheidenden Menschen ein tatsächlicher Entscheidungsspielraum zukommt und nicht maßgeblich aufgrund des KI-Vorschlags entschieden wird. … Eine lediglich formelle Beteiligung eines Menschen im Entscheidungsprozess ist nicht ausreichend.</w:t>
      </w:r>
      <w:r>
        <w:rPr>
          <w:iCs/>
          <w:i/>
        </w:rPr>
        <w:t xml:space="preserve">”</w:t>
      </w:r>
    </w:p>
    <w:p>
      <w:pPr>
        <w:numPr>
          <w:ilvl w:val="0"/>
          <w:numId w:val="1006"/>
        </w:numPr>
        <w:pStyle w:val="Compact"/>
      </w:pPr>
      <w:r>
        <w:rPr>
          <w:bCs/>
          <w:b/>
        </w:rPr>
        <w:t xml:space="preserve">DSK</w:t>
      </w:r>
      <w:r>
        <w:t xml:space="preserve">,</w:t>
      </w:r>
      <w:r>
        <w:t xml:space="preserve"> </w:t>
      </w:r>
      <w:r>
        <w:rPr>
          <w:iCs/>
          <w:i/>
        </w:rPr>
        <w:t xml:space="preserve">Technische und organisatorische Maßnahmen bei KI-Systemen</w:t>
      </w:r>
      <w:r>
        <w:t xml:space="preserve"> </w:t>
      </w:r>
      <w:r>
        <w:t xml:space="preserve">(June 2025) and</w:t>
      </w:r>
      <w:r>
        <w:t xml:space="preserve"> </w:t>
      </w:r>
      <w:r>
        <w:rPr>
          <w:iCs/>
          <w:i/>
        </w:rPr>
        <w:t xml:space="preserve">Datenschutzrechtliche Besonderheiten generativer KI-Systeme mit RAG-Methode</w:t>
      </w:r>
      <w:r>
        <w:t xml:space="preserve"> </w:t>
      </w:r>
      <w:r>
        <w:t xml:space="preserve">(October 2025).</w:t>
      </w:r>
    </w:p>
    <w:p>
      <w:pPr>
        <w:numPr>
          <w:ilvl w:val="0"/>
          <w:numId w:val="1006"/>
        </w:numPr>
        <w:pStyle w:val="Compact"/>
      </w:pPr>
      <w:r>
        <w:rPr>
          <w:bCs/>
          <w:b/>
        </w:rPr>
        <w:t xml:space="preserve">DSK</w:t>
      </w:r>
      <w:r>
        <w:t xml:space="preserve">,</w:t>
      </w:r>
      <w:r>
        <w:t xml:space="preserve"> </w:t>
      </w:r>
      <w:r>
        <w:rPr>
          <w:iCs/>
          <w:i/>
        </w:rPr>
        <w:t xml:space="preserve">Orientierungshilfe Online-Lernplattformen im Schulunterricht</w:t>
      </w:r>
      <w:r>
        <w:t xml:space="preserve">, 26.04.2018 — the most on-point document for the teacher-authorisation question (§7).</w:t>
      </w:r>
    </w:p>
    <w:p>
      <w:pPr>
        <w:numPr>
          <w:ilvl w:val="0"/>
          <w:numId w:val="1006"/>
        </w:numPr>
        <w:pStyle w:val="Compact"/>
      </w:pPr>
      <w:r>
        <w:rPr>
          <w:bCs/>
          <w:b/>
        </w:rPr>
        <w:t xml:space="preserve">LfDI Baden-Württemberg</w:t>
      </w:r>
      <w:r>
        <w:t xml:space="preserve">,</w:t>
      </w:r>
      <w:r>
        <w:t xml:space="preserve"> </w:t>
      </w:r>
      <w:r>
        <w:rPr>
          <w:iCs/>
          <w:i/>
        </w:rPr>
        <w:t xml:space="preserve">Diskussionspapier Rechtsgrundlagen im Datenschutz beim Einsatz von KI</w:t>
      </w:r>
      <w:r>
        <w:t xml:space="preserve">,</w:t>
      </w:r>
      <w:r>
        <w:t xml:space="preserve"> </w:t>
      </w:r>
      <w:r>
        <w:rPr>
          <w:bCs/>
          <w:b/>
        </w:rPr>
        <w:t xml:space="preserve">V 2.0, 17.10.2024</w:t>
      </w:r>
      <w:r>
        <w:t xml:space="preserve"> </w:t>
      </w:r>
      <w:r>
        <w:t xml:space="preserve">— the announcement notes V2.0 adds</w:t>
      </w:r>
      <w:r>
        <w:t xml:space="preserve"> </w:t>
      </w:r>
      <w:r>
        <w:rPr>
          <w:iCs/>
          <w:i/>
        </w:rPr>
        <w:t xml:space="preserve">Rechtsgrundlagen für Schulen</w:t>
      </w:r>
      <w:r>
        <w:t xml:space="preserve">. Two things about it are known second-hand from the Kloppenburg opinion, which cites it: it reads</w:t>
      </w:r>
      <w:r>
        <w:t xml:space="preserve"> </w:t>
      </w:r>
      <w:r>
        <w:rPr>
          <w:bCs/>
          <w:b/>
        </w:rPr>
        <w:t xml:space="preserve">§ 115b(9) SchG BW as excluding grade-equivalent assessment</w:t>
      </w:r>
      <w:r>
        <w:t xml:space="preserve"> </w:t>
      </w:r>
      <w:r>
        <w:t xml:space="preserve">in the adaptive-learning use it discusses, and it</w:t>
      </w:r>
      <w:r>
        <w:t xml:space="preserve"> </w:t>
      </w:r>
      <w:r>
        <w:rPr>
          <w:bCs/>
          <w:b/>
        </w:rPr>
        <w:t xml:space="preserve">questions whether consent can be voluntary</w:t>
      </w:r>
      <w:r>
        <w:t xml:space="preserve"> </w:t>
      </w:r>
      <w:r>
        <w:t xml:space="preserve">for automated grading in schools. Both are adverse to AI-supported grading in BW and both are state-specific rather than general. Note also that the paper’s own AI Act dates are now outdated. The document could not be obtained in full for this review; it is the highest-priority outstanding item after the Bavarian Handlungsleitfaden.</w:t>
      </w:r>
    </w:p>
    <w:p>
      <w:pPr>
        <w:numPr>
          <w:ilvl w:val="0"/>
          <w:numId w:val="1006"/>
        </w:numPr>
        <w:pStyle w:val="Compact"/>
      </w:pPr>
      <w:r>
        <w:rPr>
          <w:bCs/>
          <w:b/>
        </w:rPr>
        <w:t xml:space="preserve">HmbBfDI</w:t>
      </w:r>
      <w:r>
        <w:t xml:space="preserve">,</w:t>
      </w:r>
      <w:r>
        <w:t xml:space="preserve"> </w:t>
      </w:r>
      <w:r>
        <w:rPr>
          <w:iCs/>
          <w:i/>
        </w:rPr>
        <w:t xml:space="preserve">Diskussionspapier: Large Language Models und personenbezogene Daten</w:t>
      </w:r>
      <w:r>
        <w:t xml:space="preserve">, 15.07.2024 (whether updated: not confirmed).</w:t>
      </w:r>
    </w:p>
    <w:p>
      <w:pPr>
        <w:numPr>
          <w:ilvl w:val="0"/>
          <w:numId w:val="1006"/>
        </w:numPr>
        <w:pStyle w:val="Compact"/>
      </w:pPr>
      <w:r>
        <w:rPr>
          <w:bCs/>
          <w:b/>
        </w:rPr>
        <w:t xml:space="preserve">BfDI</w:t>
      </w:r>
      <w:r>
        <w:t xml:space="preserve">,</w:t>
      </w:r>
      <w:r>
        <w:t xml:space="preserve"> </w:t>
      </w:r>
      <w:r>
        <w:rPr>
          <w:iCs/>
          <w:i/>
        </w:rPr>
        <w:t xml:space="preserve">Handreichung KI</w:t>
      </w:r>
      <w:r>
        <w:t xml:space="preserve">, 22.12.2025 (surfaced, not read).</w:t>
      </w:r>
    </w:p>
    <w:p>
      <w:pPr>
        <w:pStyle w:val="FirstParagraph"/>
      </w:pPr>
      <w:r>
        <w:rPr>
          <w:bCs/>
          <w:b/>
        </w:rPr>
        <w:t xml:space="preserve">No German supervisory authority has published a position specifically on AI-generated grades.</w:t>
      </w:r>
      <w:r>
        <w:t xml:space="preserve"> </w:t>
      </w:r>
      <w:r>
        <w:t xml:space="preserve">That is a negative finding from a truncated search, not a confirmed absence.</w:t>
      </w:r>
    </w:p>
    <w:p>
      <w:pPr>
        <w:pStyle w:val="BodyText"/>
      </w:pPr>
      <w:r>
        <w:rPr>
          <w:bCs/>
          <w:b/>
        </w:rPr>
        <w:t xml:space="preserve">The most adverse credible document is not from a regulator.</w:t>
      </w:r>
      <w:r>
        <w:t xml:space="preserve"> </w:t>
      </w:r>
      <w:r>
        <w:t xml:space="preserve">The</w:t>
      </w:r>
      <w:r>
        <w:t xml:space="preserve"> </w:t>
      </w:r>
      <w:r>
        <w:rPr>
          <w:bCs/>
          <w:b/>
        </w:rPr>
        <w:t xml:space="preserve">DKJS memorandum</w:t>
      </w:r>
      <w:r>
        <w:t xml:space="preserve"> </w:t>
      </w:r>
      <w:r>
        <w:rPr>
          <w:iCs/>
          <w:i/>
        </w:rPr>
        <w:t xml:space="preserve">Zum Einsatz von generativer KI in der schulischen Leistungsbewertung</w:t>
      </w:r>
      <w:r>
        <w:t xml:space="preserve"> </w:t>
      </w:r>
      <w:r>
        <w:t xml:space="preserve">(Spirit Legal, May 2025) reportedly concludes that AI-based grading of student work is generally unlawful under current German and EU law; that performance data remain personal even when pseudonymised during processing, because the teacher re-identifies at the moment of awarding the grade; that there is no valid Art. 6 basis because the general educational mandate is not objectively indispensable; that Art. 22 is engaged; and that performance data may reveal health information such as reading and spelling difficulties.</w:t>
      </w:r>
      <w:r>
        <w:t xml:space="preserve"> </w:t>
      </w:r>
      <w:r>
        <w:rPr>
          <w:bCs/>
          <w:b/>
        </w:rPr>
        <w:t xml:space="preserve">Verification caveat: the DKJS server blocked retrieval, so the memorandum could not be verified for this review; these points are from a third-party summary. The original should be obtained and read before it is cited anywhere.</w:t>
      </w:r>
    </w:p>
    <w:p>
      <w:pPr>
        <w:pStyle w:val="BodyText"/>
      </w:pPr>
      <w:r>
        <w:rPr>
          <w:bCs/>
          <w:b/>
        </w:rPr>
        <w:t xml:space="preserve">Assessment.</w:t>
      </w:r>
      <w:r>
        <w:t xml:space="preserve"> </w:t>
      </w:r>
      <w:r>
        <w:t xml:space="preserve">It is a foundation-funded law-firm opinion, not a regulator’s position, and it appears to address AI grading in the strong sense — which the KMK also rejects and which nobody disputes. The gap between</w:t>
      </w:r>
      <w:r>
        <w:t xml:space="preserve"> </w:t>
      </w:r>
      <w:r>
        <w:rPr>
          <w:iCs/>
          <w:i/>
        </w:rPr>
        <w:t xml:space="preserve">“</w:t>
      </w:r>
      <w:r>
        <w:rPr>
          <w:iCs/>
          <w:i/>
        </w:rPr>
        <w:t xml:space="preserve">AI decides the grade</w:t>
      </w:r>
      <w:r>
        <w:rPr>
          <w:iCs/>
          <w:i/>
        </w:rPr>
        <w:t xml:space="preserve">”</w:t>
      </w:r>
      <w:r>
        <w:t xml:space="preserve"> </w:t>
      </w:r>
      <w:r>
        <w:t xml:space="preserve">and</w:t>
      </w:r>
      <w:r>
        <w:t xml:space="preserve"> </w:t>
      </w:r>
      <w:r>
        <w:rPr>
          <w:iCs/>
          <w:i/>
        </w:rPr>
        <w:t xml:space="preserve">“</w:t>
      </w:r>
      <w:r>
        <w:rPr>
          <w:iCs/>
          <w:i/>
        </w:rPr>
        <w:t xml:space="preserve">AI proposes, the teacher decides on a rubric they authored, having read the whole script, with an audit trail</w:t>
      </w:r>
      <w:r>
        <w:rPr>
          <w:iCs/>
          <w:i/>
        </w:rPr>
        <w:t xml:space="preserve">”</w:t>
      </w:r>
      <w:r>
        <w:t xml:space="preserve"> </w:t>
      </w:r>
      <w:r>
        <w:t xml:space="preserve">— the KMK’s own</w:t>
      </w:r>
      <w:r>
        <w:t xml:space="preserve"> </w:t>
      </w:r>
      <w:r>
        <w:rPr>
          <w:iCs/>
          <w:i/>
        </w:rPr>
        <w:t xml:space="preserve">Korrekturassistenz</w:t>
      </w:r>
      <w:r>
        <w:t xml:space="preserve"> </w:t>
      </w:r>
      <w:r>
        <w:t xml:space="preserve">— is not obviously closed by the memorandum’s reasoning as reported. Whether it is closed cannot be established without the original text.</w:t>
      </w:r>
    </w:p>
    <w:bookmarkEnd w:id="47"/>
    <w:bookmarkStart w:id="48" w:name="X1365c5a5499862a5a8211677e62fe63907c5fe3"/>
    <w:p>
      <w:pPr>
        <w:pStyle w:val="Heading3"/>
      </w:pPr>
      <w:r>
        <w:t xml:space="preserve">5.7 What the Länder guidance documents say — the hardest finding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Land</w:t>
            </w:r>
          </w:p>
        </w:tc>
        <w:tc>
          <w:tcPr/>
          <w:p>
            <w:pPr>
              <w:pStyle w:val="Compact"/>
              <w:jc w:val="left"/>
            </w:pPr>
            <w:r>
              <w:t xml:space="preserve">Verbatim</w:t>
            </w:r>
          </w:p>
        </w:tc>
        <w:tc>
          <w:tcPr/>
          <w:p>
            <w:pPr>
              <w:pStyle w:val="Compact"/>
              <w:jc w:val="left"/>
            </w:pPr>
            <w:r>
              <w:t xml:space="preserve">Effect</w:t>
            </w:r>
          </w:p>
        </w:tc>
      </w:tr>
      <w:tr>
        <w:tc>
          <w:tcPr/>
          <w:p>
            <w:pPr>
              <w:pStyle w:val="Compact"/>
              <w:jc w:val="left"/>
            </w:pPr>
            <w:r>
              <w:rPr>
                <w:bCs/>
                <w:b/>
              </w:rPr>
              <w:t xml:space="preserve">Baden-Württemberg</w:t>
            </w:r>
          </w:p>
        </w:tc>
        <w:tc>
          <w:tcPr/>
          <w:p>
            <w:pPr>
              <w:pStyle w:val="Compact"/>
              <w:jc w:val="left"/>
            </w:pPr>
            <w:r>
              <w:rPr>
                <w:iCs/>
                <w:i/>
              </w:rPr>
              <w:t xml:space="preserve">“</w:t>
            </w:r>
            <w:r>
              <w:rPr>
                <w:iCs/>
                <w:i/>
              </w:rPr>
              <w:t xml:space="preserve">Auch dürfen</w:t>
            </w:r>
            <w:r>
              <w:rPr>
                <w:iCs/>
                <w:i/>
              </w:rPr>
              <w:t xml:space="preserve"> </w:t>
            </w:r>
            <w:r>
              <w:rPr>
                <w:bCs/>
                <w:b/>
                <w:iCs/>
                <w:i/>
              </w:rPr>
              <w:t xml:space="preserve">KI-Anwendungen keine Noten vergeben</w:t>
            </w:r>
            <w:r>
              <w:rPr>
                <w:iCs/>
                <w:i/>
              </w:rPr>
              <w:t xml:space="preserve"> </w:t>
            </w:r>
            <w:r>
              <w:rPr>
                <w:iCs/>
                <w:i/>
              </w:rPr>
              <w:t xml:space="preserve">oder andere wesentlichen schulischen Entscheidungen treffen.</w:t>
            </w:r>
            <w:r>
              <w:rPr>
                <w:iCs/>
                <w:i/>
              </w:rPr>
              <w:t xml:space="preserve">”</w:t>
            </w:r>
            <w:r>
              <w:t xml:space="preserve"> </w:t>
            </w:r>
            <w:r>
              <w:t xml:space="preserve">/</w:t>
            </w:r>
            <w:r>
              <w:t xml:space="preserve"> </w:t>
            </w:r>
            <w:r>
              <w:rPr>
                <w:iCs/>
                <w:i/>
              </w:rPr>
              <w:t xml:space="preserve">“</w:t>
            </w:r>
            <w:r>
              <w:rPr>
                <w:iCs/>
                <w:i/>
              </w:rPr>
              <w:t xml:space="preserve">Die abschließende Bewertung … bleibt also weiterhin den Lehrkräften vorbehalten.</w:t>
            </w:r>
            <w:r>
              <w:rPr>
                <w:iCs/>
                <w:i/>
              </w:rPr>
              <w:t xml:space="preserve">”</w:t>
            </w:r>
          </w:p>
        </w:tc>
        <w:tc>
          <w:tcPr/>
          <w:p>
            <w:pPr>
              <w:pStyle w:val="Compact"/>
              <w:jc w:val="left"/>
            </w:pPr>
            <w:r>
              <w:t xml:space="preserve">Consistent with an assistive architecture in which the system proposes and the teacher awards the mark</w:t>
            </w:r>
          </w:p>
        </w:tc>
      </w:tr>
      <w:tr>
        <w:tc>
          <w:tcPr/>
          <w:p>
            <w:pPr>
              <w:pStyle w:val="Compact"/>
              <w:jc w:val="left"/>
            </w:pPr>
            <w:r>
              <w:rPr>
                <w:bCs/>
                <w:b/>
              </w:rPr>
              <w:t xml:space="preserve">Hessen</w:t>
            </w:r>
          </w:p>
        </w:tc>
        <w:tc>
          <w:tcPr/>
          <w:p>
            <w:pPr>
              <w:pStyle w:val="Compact"/>
              <w:jc w:val="left"/>
            </w:pPr>
            <w:r>
              <w:rPr>
                <w:iCs/>
                <w:i/>
              </w:rPr>
              <w:t xml:space="preserve">“</w:t>
            </w:r>
            <w:r>
              <w:rPr>
                <w:iCs/>
                <w:i/>
              </w:rPr>
              <w:t xml:space="preserve">…dass im Rahmen einer Nutzung</w:t>
            </w:r>
            <w:r>
              <w:rPr>
                <w:iCs/>
                <w:i/>
              </w:rPr>
              <w:t xml:space="preserve"> </w:t>
            </w:r>
            <w:r>
              <w:rPr>
                <w:bCs/>
                <w:b/>
                <w:iCs/>
                <w:i/>
              </w:rPr>
              <w:t xml:space="preserve">keine Eingabe personenbezogener Daten von Schülerinnen und Schülern</w:t>
            </w:r>
            <w:r>
              <w:rPr>
                <w:iCs/>
                <w:i/>
              </w:rPr>
              <w:t xml:space="preserve"> </w:t>
            </w:r>
            <w:r>
              <w:rPr>
                <w:iCs/>
                <w:i/>
              </w:rPr>
              <w:t xml:space="preserve">erfolgt</w:t>
            </w:r>
            <w:r>
              <w:rPr>
                <w:iCs/>
                <w:i/>
              </w:rPr>
              <w:t xml:space="preserve">”</w:t>
            </w:r>
            <w:r>
              <w:t xml:space="preserve"> </w:t>
            </w:r>
            <w:r>
              <w:t xml:space="preserve">(Handreichung, July 2023)</w:t>
            </w:r>
          </w:p>
        </w:tc>
        <w:tc>
          <w:tcPr/>
          <w:p>
            <w:pPr>
              <w:pStyle w:val="Compact"/>
              <w:jc w:val="left"/>
            </w:pPr>
            <w:r>
              <w:rPr>
                <w:bCs/>
                <w:b/>
              </w:rPr>
              <w:t xml:space="preserve">Catches the core grading workflow outright</w:t>
            </w:r>
            <w:r>
              <w:t xml:space="preserve">, regardless of who decides</w:t>
            </w:r>
          </w:p>
        </w:tc>
      </w:tr>
      <w:tr>
        <w:tc>
          <w:tcPr/>
          <w:p>
            <w:pPr>
              <w:pStyle w:val="Compact"/>
              <w:jc w:val="left"/>
            </w:pPr>
            <w:r>
              <w:rPr>
                <w:bCs/>
                <w:b/>
              </w:rPr>
              <w:t xml:space="preserve">NRW (2023 Handlungsleitfaden)</w:t>
            </w:r>
          </w:p>
        </w:tc>
        <w:tc>
          <w:tcPr/>
          <w:p>
            <w:pPr>
              <w:pStyle w:val="Compact"/>
              <w:jc w:val="left"/>
            </w:pPr>
            <w:r>
              <w:rPr>
                <w:iCs/>
                <w:i/>
              </w:rPr>
              <w:t xml:space="preserve">“</w:t>
            </w:r>
            <w:r>
              <w:rPr>
                <w:iCs/>
                <w:i/>
              </w:rPr>
              <w:t xml:space="preserve">…dass</w:t>
            </w:r>
            <w:r>
              <w:rPr>
                <w:iCs/>
                <w:i/>
              </w:rPr>
              <w:t xml:space="preserve"> </w:t>
            </w:r>
            <w:r>
              <w:rPr>
                <w:bCs/>
                <w:b/>
                <w:iCs/>
                <w:i/>
              </w:rPr>
              <w:t xml:space="preserve">keine personenbezogenen Daten der Schülerinnen und Schüler übertragen werden</w:t>
            </w:r>
            <w:r>
              <w:rPr>
                <w:iCs/>
                <w:i/>
              </w:rPr>
              <w:t xml:space="preserve">”</w:t>
            </w:r>
            <w:r>
              <w:t xml:space="preserve"> </w:t>
            </w:r>
            <w:r>
              <w:t xml:space="preserve">/</w:t>
            </w:r>
            <w:r>
              <w:t xml:space="preserve"> </w:t>
            </w:r>
            <w:r>
              <w:rPr>
                <w:iCs/>
                <w:i/>
              </w:rPr>
              <w:t xml:space="preserve">“</w:t>
            </w:r>
            <w:r>
              <w:rPr>
                <w:iCs/>
                <w:i/>
              </w:rPr>
              <w:t xml:space="preserve">Die Verantwortung für die Einhaltung des schulischen Datenschutzes trägt die Leiterin oder der Leiter der jeweiligen Schule.</w:t>
            </w:r>
            <w:r>
              <w:rPr>
                <w:iCs/>
                <w:i/>
              </w:rPr>
              <w:t xml:space="preserve">”</w:t>
            </w:r>
            <w:r>
              <w:t xml:space="preserve"> </w:t>
            </w:r>
            <w:r>
              <w:t xml:space="preserve">(02/2023)</w:t>
            </w:r>
          </w:p>
        </w:tc>
        <w:tc>
          <w:tcPr/>
          <w:p>
            <w:pPr>
              <w:pStyle w:val="Compact"/>
              <w:jc w:val="left"/>
            </w:pPr>
            <w:r>
              <w:rPr>
                <w:bCs/>
                <w:b/>
              </w:rPr>
              <w:t xml:space="preserve">Same</w:t>
            </w:r>
          </w:p>
        </w:tc>
      </w:tr>
      <w:tr>
        <w:tc>
          <w:tcPr/>
          <w:p>
            <w:pPr>
              <w:pStyle w:val="Compact"/>
              <w:jc w:val="left"/>
            </w:pPr>
            <w:r>
              <w:rPr>
                <w:bCs/>
                <w:b/>
              </w:rPr>
              <w:t xml:space="preserve">NRW (current ministry position on correction specifically)</w:t>
            </w:r>
          </w:p>
        </w:tc>
        <w:tc>
          <w:tcPr/>
          <w:p>
            <w:pPr>
              <w:pStyle w:val="Compact"/>
              <w:jc w:val="left"/>
            </w:pPr>
            <w:r>
              <w:t xml:space="preserve">The ministry</w:t>
            </w:r>
            <w:r>
              <w:t xml:space="preserve"> </w:t>
            </w:r>
            <w:r>
              <w:rPr>
                <w:bCs/>
                <w:b/>
              </w:rPr>
              <w:t xml:space="preserve">expressly permits supportive use for correction</w:t>
            </w:r>
            <w:r>
              <w:t xml:space="preserve">, requires the teacher to form their own assessment, describes</w:t>
            </w:r>
            <w:r>
              <w:t xml:space="preserve"> </w:t>
            </w:r>
            <w:r>
              <w:rPr>
                <w:bCs/>
                <w:b/>
              </w:rPr>
              <w:t xml:space="preserve">automated</w:t>
            </w:r>
            <w:r>
              <w:t xml:space="preserve"> </w:t>
            </w:r>
            <w:r>
              <w:t xml:space="preserve">assessment as high-risk and subject to strict conditions, and maintains that</w:t>
            </w:r>
            <w:r>
              <w:t xml:space="preserve"> </w:t>
            </w:r>
            <w:r>
              <w:rPr>
                <w:bCs/>
                <w:b/>
              </w:rPr>
              <w:t xml:space="preserve">pupil personal data must not be transmitted</w:t>
            </w:r>
            <w:r>
              <w:t xml:space="preserve">. The accompanying FAQ adds that pupil numbers are not anonymisation and that anonymisation itself needs a lawful basis.</w:t>
            </w:r>
          </w:p>
        </w:tc>
        <w:tc>
          <w:tcPr/>
          <w:p>
            <w:pPr>
              <w:pStyle w:val="Compact"/>
              <w:jc w:val="left"/>
            </w:pPr>
            <w:r>
              <w:rPr>
                <w:bCs/>
                <w:b/>
              </w:rPr>
              <w:t xml:space="preserve">This is the most significant element of the current NRW position.</w:t>
            </w:r>
            <w:r>
              <w:t xml:space="preserve"> </w:t>
            </w:r>
            <w:r>
              <w:t xml:space="preserve">Assistive correction is not prohibited in NRW — it is expressly contemplated. The binding constraint is the data transfer, and the ministry has said so in terms. It is guidance, not approval of any named tool.</w:t>
            </w:r>
          </w:p>
        </w:tc>
      </w:tr>
      <w:tr>
        <w:tc>
          <w:tcPr/>
          <w:p>
            <w:pPr>
              <w:pStyle w:val="Compact"/>
              <w:jc w:val="left"/>
            </w:pPr>
            <w:r>
              <w:rPr>
                <w:bCs/>
                <w:b/>
              </w:rPr>
              <w:t xml:space="preserve">Bayern</w:t>
            </w:r>
          </w:p>
        </w:tc>
        <w:tc>
          <w:tcPr/>
          <w:p>
            <w:pPr>
              <w:pStyle w:val="Compact"/>
              <w:jc w:val="left"/>
            </w:pPr>
            <w:r>
              <w:t xml:space="preserve">Current instrument:</w:t>
            </w:r>
            <w:r>
              <w:t xml:space="preserve"> </w:t>
            </w:r>
            <w:r>
              <w:rPr>
                <w:iCs/>
                <w:i/>
              </w:rPr>
              <w:t xml:space="preserve">Handlungsleitfaden</w:t>
            </w:r>
            <w:r>
              <w:rPr>
                <w:iCs/>
                <w:i/>
              </w:rPr>
              <w:t xml:space="preserve"> </w:t>
            </w:r>
            <w:r>
              <w:rPr>
                <w:iCs/>
                <w:i/>
              </w:rPr>
              <w:t xml:space="preserve">“</w:t>
            </w:r>
            <w:r>
              <w:rPr>
                <w:iCs/>
                <w:i/>
              </w:rPr>
              <w:t xml:space="preserve">Künstliche Intelligenz in der pädagogischen Praxis</w:t>
            </w:r>
            <w:r>
              <w:rPr>
                <w:iCs/>
                <w:i/>
              </w:rPr>
              <w:t xml:space="preserve">”</w:t>
            </w:r>
            <w:r>
              <w:t xml:space="preserve">, Fassung 19.05.2026. Bavaria supplies sanctioned tooling free of charge (ByCS learning platform AI functions, AIS.chat). Published examination material addresses</w:t>
            </w:r>
            <w:r>
              <w:t xml:space="preserve"> </w:t>
            </w:r>
            <w:r>
              <w:rPr>
                <w:bCs/>
                <w:b/>
              </w:rPr>
              <w:t xml:space="preserve">student</w:t>
            </w:r>
            <w:r>
              <w:t xml:space="preserve"> </w:t>
            </w:r>
            <w:r>
              <w:t xml:space="preserve">cheating, not teacher-side correction.</w:t>
            </w:r>
          </w:p>
        </w:tc>
        <w:tc>
          <w:tcPr/>
          <w:p>
            <w:pPr>
              <w:pStyle w:val="Compact"/>
              <w:jc w:val="left"/>
            </w:pPr>
            <w:r>
              <w:rPr>
                <w:bCs/>
                <w:b/>
              </w:rPr>
              <w:t xml:space="preserve">Contents could not be obtained for this review — highest-priority outstanding document</w:t>
            </w:r>
          </w:p>
        </w:tc>
      </w:tr>
    </w:tbl>
    <w:p>
      <w:pPr>
        <w:pStyle w:val="BodyText"/>
      </w:pPr>
      <w:r>
        <w:rPr>
          <w:bCs/>
          <w:b/>
        </w:rPr>
        <w:t xml:space="preserve">Bottom line, and it is more nuanced than a simple prohibition.</w:t>
      </w:r>
      <w:r>
        <w:t xml:space="preserve"> </w:t>
      </w:r>
      <w:r>
        <w:t xml:space="preserve">The constraint in Hessen and NRW is not a rule against AI-assisted grading; it is a rule against</w:t>
      </w:r>
      <w:r>
        <w:t xml:space="preserve"> </w:t>
      </w:r>
      <w:r>
        <w:rPr>
          <w:bCs/>
          <w:b/>
        </w:rPr>
        <w:t xml:space="preserve">entering pupil personal data into AI applications</w:t>
      </w:r>
      <w:r>
        <w:t xml:space="preserve">, which is broader in one direction and narrower in the other. Broader, because it catches such systems regardless of the human-decision architecture. Narrower, because NRW has since said in terms that supportive correction use is permitted and that the teacher must form their own assessment — so the assistive use is contemplated, and the open question is the data path, not the legitimacy of assistance. Note also that the Hessen and the 2023 NRW documents predate the KMK’s own October 2024 endorsement of</w:t>
      </w:r>
      <w:r>
        <w:t xml:space="preserve"> </w:t>
      </w:r>
      <w:r>
        <w:rPr>
          <w:iCs/>
          <w:i/>
        </w:rPr>
        <w:t xml:space="preserve">Korrekturassistenz</w:t>
      </w:r>
      <w:r>
        <w:t xml:space="preserve">, which is the ground on which Hessen could be asked to revisit its wording.</w:t>
      </w:r>
    </w:p>
    <w:p>
      <w:pPr>
        <w:pStyle w:val="BodyText"/>
      </w:pPr>
      <w:r>
        <w:rPr>
          <w:bCs/>
          <w:b/>
        </w:rPr>
        <w:t xml:space="preserve">The consequence for processing architecture.</w:t>
      </w:r>
      <w:r>
        <w:t xml:space="preserve"> </w:t>
      </w:r>
      <w:r>
        <w:t xml:space="preserve">If pupil personal data may not be transmitted and anonymisation must happen before the data leaves the school’s control (§3.10), then the architectures that satisfy the current NRW and Hessen wording are: processing inside the school’s own boundary; or a pipeline in which identifiers are stripped at the school before transmission and the re-identification key never leaves it; or a Land-level solution of the kind the KMK is building. A straightforward cloud SaaS that receives scanned scripts as they are does not satisfy the current wording in either state. That is a consequence of the guidance as written, not an interpretation open to argument.</w:t>
      </w:r>
    </w:p>
    <w:p>
      <w:pPr>
        <w:pStyle w:val="BodyText"/>
      </w:pPr>
      <w:r>
        <w:rPr>
          <w:bCs/>
          <w:b/>
        </w:rPr>
        <w:t xml:space="preserve">A warning on secondary sources.</w:t>
      </w:r>
      <w:r>
        <w:t xml:space="preserve"> </w:t>
      </w:r>
      <w:r>
        <w:t xml:space="preserve">Widely circulated per-Land comparison tables (paukki.de, lehrerki.de) do not reliably match the primary documents. Several entries checked did not match.</w:t>
      </w:r>
      <w:r>
        <w:t xml:space="preserve"> </w:t>
      </w:r>
      <w:r>
        <w:rPr>
          <w:bCs/>
          <w:b/>
        </w:rPr>
        <w:t xml:space="preserve">Do not cite them.</w:t>
      </w:r>
    </w:p>
    <w:bookmarkEnd w:id="48"/>
    <w:bookmarkStart w:id="49" w:name="X35e508e4bc14a070fd2ff5ad9765aad5797e98a"/>
    <w:p>
      <w:pPr>
        <w:pStyle w:val="Heading3"/>
      </w:pPr>
      <w:r>
        <w:t xml:space="preserve">5.8 Personalvertretung — the overlooked blocker</w:t>
      </w:r>
    </w:p>
    <w:p>
      <w:pPr>
        <w:pStyle w:val="FirstParagraph"/>
      </w:pPr>
      <w:r>
        <w:t xml:space="preserve">The co-determination provision is</w:t>
      </w:r>
      <w:r>
        <w:t xml:space="preserve"> </w:t>
      </w:r>
      <w:r>
        <w:rPr>
          <w:bCs/>
          <w:b/>
        </w:rPr>
        <w:t xml:space="preserve">§ 80(1) Nr. 21 BPersVG</w:t>
      </w:r>
      <w:r>
        <w:t xml:space="preserve"> </w:t>
      </w:r>
      <w:r>
        <w:t xml:space="preserve">(not § 75, which was renumbered in the 2021 recodification): the Personalrat co-determines</w:t>
      </w:r>
      <w:r>
        <w:t xml:space="preserve"> </w:t>
      </w:r>
      <w:r>
        <w:rPr>
          <w:iCs/>
          <w:i/>
        </w:rPr>
        <w:t xml:space="preserve">“</w:t>
      </w:r>
      <w:r>
        <w:rPr>
          <w:iCs/>
          <w:i/>
        </w:rPr>
        <w:t xml:space="preserve">die Einführung und Anwendung technischer Einrichtungen, die dazu bestimmt sind, das Verhalten oder die Leistung der Beschäftigten zu überwachen</w:t>
      </w:r>
      <w:r>
        <w:rPr>
          <w:iCs/>
          <w:i/>
        </w:rPr>
        <w:t xml:space="preserve">”</w:t>
      </w:r>
      <w:r>
        <w:t xml:space="preserve">. The Länder personnel-representation statutes parallel it (</w:t>
      </w:r>
      <w:r>
        <w:rPr>
          <w:bCs/>
          <w:b/>
        </w:rPr>
        <w:t xml:space="preserve">individual Länder provisions could not be verified for this review</w:t>
      </w:r>
      <w:r>
        <w:t xml:space="preserve">).</w:t>
      </w:r>
    </w:p>
    <w:p>
      <w:pPr>
        <w:pStyle w:val="BodyText"/>
      </w:pPr>
      <w:r>
        <w:rPr>
          <w:bCs/>
          <w:b/>
        </w:rPr>
        <w:t xml:space="preserve">This bites harder than in most edtech</w:t>
      </w:r>
      <w:r>
        <w:t xml:space="preserve">, because a grading-assistance system necessarily produces per-teacher correction throughput, turnaround times and — most significantly —</w:t>
      </w:r>
      <w:r>
        <w:t xml:space="preserve"> </w:t>
      </w:r>
      <w:r>
        <w:rPr>
          <w:bCs/>
          <w:b/>
        </w:rPr>
        <w:t xml:space="preserve">divergence rates between the teacher’s grade and the model’s proposal</w:t>
      </w:r>
      <w:r>
        <w:t xml:space="preserve">. That last metric is a direct quantified measure of teacher performance. Under the prevailing interpretation it is enough that the system is objectively</w:t>
      </w:r>
      <w:r>
        <w:t xml:space="preserve"> </w:t>
      </w:r>
      <w:r>
        <w:rPr>
          <w:iCs/>
          <w:i/>
        </w:rPr>
        <w:t xml:space="preserve">suitable</w:t>
      </w:r>
      <w:r>
        <w:t xml:space="preserve"> </w:t>
      </w:r>
      <w:r>
        <w:t xml:space="preserve">for monitoring; intent is not required. A grading-assistance system is therefore very likely subject to co-determination in every Land.</w:t>
      </w:r>
    </w:p>
    <w:p>
      <w:pPr>
        <w:pStyle w:val="BodyText"/>
      </w:pPr>
      <w:r>
        <w:rPr>
          <w:bCs/>
          <w:b/>
        </w:rPr>
        <w:t xml:space="preserve">What a deployment would have to provide for co-determination to be satisfied:</w:t>
      </w:r>
      <w:r>
        <w:t xml:space="preserve"> </w:t>
      </w:r>
      <w:r>
        <w:t xml:space="preserve">no per-teacher aggregation in any admin-visible view by default; divergence statistics computed only in aggregate, k-anonymised, and capable of being switched off at deployment; and a</w:t>
      </w:r>
      <w:r>
        <w:t xml:space="preserve"> </w:t>
      </w:r>
      <w:r>
        <w:rPr>
          <w:bCs/>
          <w:b/>
        </w:rPr>
        <w:t xml:space="preserve">Dienstvereinbarung</w:t>
      </w:r>
      <w:r>
        <w:t xml:space="preserve"> </w:t>
      </w:r>
      <w:r>
        <w:t xml:space="preserve">governing introduction and use, which is the instrument through which co-determination is exercised. Note the tension with §3.5: divergence evidence is needed for the Art. 22 argument</w:t>
      </w:r>
      <w:r>
        <w:t xml:space="preserve"> </w:t>
      </w:r>
      <w:r>
        <w:rPr>
          <w:iCs/>
          <w:i/>
        </w:rPr>
        <w:t xml:space="preserve">and</w:t>
      </w:r>
      <w:r>
        <w:t xml:space="preserve"> </w:t>
      </w:r>
      <w:r>
        <w:t xml:space="preserve">must not be exposed per teacher. The resolution is aggregate-only reporting with per-script audit records available to the school only on a defined, logged basis.</w:t>
      </w:r>
    </w:p>
    <w:bookmarkEnd w:id="49"/>
    <w:bookmarkStart w:id="50" w:name="X64e08ca19f062d23dbb7963c832f319a5ca0029"/>
    <w:p>
      <w:pPr>
        <w:pStyle w:val="Heading3"/>
      </w:pPr>
      <w:r>
        <w:t xml:space="preserve">5.9 Universities — a separate and cleaner regime</w:t>
      </w:r>
    </w:p>
    <w:p>
      <w:pPr>
        <w:pStyle w:val="FirstParagraph"/>
      </w:pPr>
      <w:r>
        <w:t xml:space="preserve">The governing rule derives from the</w:t>
      </w:r>
      <w:r>
        <w:t xml:space="preserve"> </w:t>
      </w:r>
      <w:r>
        <w:rPr>
          <w:iCs/>
          <w:i/>
        </w:rPr>
        <w:t xml:space="preserve">Gesetzesvorbehalt</w:t>
      </w:r>
      <w:r>
        <w:t xml:space="preserve"> </w:t>
      </w:r>
      <w:r>
        <w:t xml:space="preserve">in Art. 12(1) sentence 2 GG:</w:t>
      </w:r>
      <w:r>
        <w:t xml:space="preserve"> </w:t>
      </w:r>
      <w:r>
        <w:rPr>
          <w:iCs/>
          <w:i/>
        </w:rPr>
        <w:t xml:space="preserve">“</w:t>
      </w:r>
      <w:r>
        <w:rPr>
          <w:iCs/>
          <w:i/>
        </w:rPr>
        <w:t xml:space="preserve">Regelungen über das Verfahren der Bewertung der Prüfungsleistungen, die Bestehensvoraussetzungen und die Notenvergabe</w:t>
      </w:r>
      <w:r>
        <w:rPr>
          <w:iCs/>
          <w:i/>
        </w:rPr>
        <w:t xml:space="preserve">”</w:t>
      </w:r>
      <w:r>
        <w:t xml:space="preserve"> </w:t>
      </w:r>
      <w:r>
        <w:t xml:space="preserve">must be laid down in a legal instrument — for state examinations a Rechtsverordnung,</w:t>
      </w:r>
      <w:r>
        <w:t xml:space="preserve"> </w:t>
      </w:r>
      <w:r>
        <w:rPr>
          <w:bCs/>
          <w:b/>
        </w:rPr>
        <w:t xml:space="preserve">for university examinations a Satzung of the university</w:t>
      </w:r>
      <w:r>
        <w:t xml:space="preserve"> </w:t>
      </w:r>
      <w:r>
        <w:t xml:space="preserve">(BVerwG 10.04.2019 – 6 C 19.18).</w:t>
      </w:r>
    </w:p>
    <w:p>
      <w:pPr>
        <w:pStyle w:val="BodyText"/>
      </w:pPr>
      <w:r>
        <w:rPr>
          <w:bCs/>
          <w:b/>
        </w:rPr>
        <w:t xml:space="preserve">Does a Prüfungsordnung need amending? It depends on the function the system performs.</w:t>
      </w:r>
      <w:r>
        <w:t xml:space="preserve"> </w:t>
      </w:r>
      <w:r>
        <w:t xml:space="preserve">BVerwG held that the</w:t>
      </w:r>
      <w:r>
        <w:t xml:space="preserve"> </w:t>
      </w:r>
      <w:r>
        <w:rPr>
          <w:bCs/>
          <w:b/>
        </w:rPr>
        <w:t xml:space="preserve">number of examiners</w:t>
      </w:r>
      <w:r>
        <w:t xml:space="preserve"> </w:t>
      </w:r>
      <w:r>
        <w:t xml:space="preserve">and the</w:t>
      </w:r>
      <w:r>
        <w:t xml:space="preserve"> </w:t>
      </w:r>
      <w:r>
        <w:rPr>
          <w:bCs/>
          <w:b/>
        </w:rPr>
        <w:t xml:space="preserve">method of resolving divergences</w:t>
      </w:r>
      <w:r>
        <w:t xml:space="preserve"> </w:t>
      </w:r>
      <w:r>
        <w:t xml:space="preserve">must be laid down in advance, because the result depends on the exercise of a judicially reviewable-only-in-part</w:t>
      </w:r>
      <w:r>
        <w:t xml:space="preserve"> </w:t>
      </w:r>
      <w:r>
        <w:rPr>
          <w:iCs/>
          <w:i/>
        </w:rPr>
        <w:t xml:space="preserve">Beurteilungsspielraum</w:t>
      </w:r>
      <w:r>
        <w:t xml:space="preserve">.</w:t>
      </w:r>
      <w:r>
        <w:t xml:space="preserve"> </w:t>
      </w:r>
      <w:r>
        <w:rPr>
          <w:bCs/>
          <w:b/>
        </w:rPr>
        <w:t xml:space="preserve">If an AI-supported grading system is characterised as functionally a further assessor, it falls inside that rule and a Satzung amendment is required.</w:t>
      </w:r>
      <w:r>
        <w:t xml:space="preserve"> </w:t>
      </w:r>
      <w:r>
        <w:t xml:space="preserve">It follows that a system described as a</w:t>
      </w:r>
      <w:r>
        <w:t xml:space="preserve"> </w:t>
      </w:r>
      <w:r>
        <w:t xml:space="preserve">“</w:t>
      </w:r>
      <w:r>
        <w:t xml:space="preserve">second corrector</w:t>
      </w:r>
      <w:r>
        <w:t xml:space="preserve">”</w:t>
      </w:r>
      <w:r>
        <w:t xml:space="preserve">, a system whose output is presented as a</w:t>
      </w:r>
      <w:r>
        <w:t xml:space="preserve"> </w:t>
      </w:r>
      <w:r>
        <w:rPr>
          <w:iCs/>
          <w:i/>
        </w:rPr>
        <w:t xml:space="preserve">Zweitkorrektur</w:t>
      </w:r>
      <w:r>
        <w:t xml:space="preserve">, or a system to which a divergence-resolution rule in a Prüfungsordnung is applied, falls within the rule. Where the system operates as an internal working aid of a single examiner — like a</w:t>
      </w:r>
      <w:r>
        <w:t xml:space="preserve"> </w:t>
      </w:r>
      <w:r>
        <w:rPr>
          <w:iCs/>
          <w:i/>
        </w:rPr>
        <w:t xml:space="preserve">Lösungsskizze</w:t>
      </w:r>
      <w:r>
        <w:t xml:space="preserve">, a calculator, or a pre-sort by a student assistant — there is a defensible argument that the Satzung need not change.</w:t>
      </w:r>
    </w:p>
    <w:p>
      <w:pPr>
        <w:pStyle w:val="BodyText"/>
      </w:pPr>
      <w:r>
        <w:rPr>
          <w:bCs/>
          <w:b/>
        </w:rPr>
        <w:t xml:space="preserve">Universities are autonomous</w:t>
      </w:r>
      <w:r>
        <w:t xml:space="preserve">, so there is no ministry gatekeeper and no Länder-guidance layer: each Prüfungsordnung is its own Satzung, adopted by the institution, and the university is itself the controller able to conclude an Art. 28 agreement. The corollary is that there is no Land-level switch and each institution decides for itself, with its own governance bodies in the loop.</w:t>
      </w:r>
      <w:r>
        <w:t xml:space="preserve"> </w:t>
      </w:r>
      <w:r>
        <w:rPr>
          <w:iCs/>
          <w:i/>
        </w:rPr>
        <w:t xml:space="preserve">(HRK positions — the KI-LOTSE project and the November 2024 paper on AI, digital sovereignty and cybersecurity — could not be retrieved for this review; no HRK position should be asserted without reading them.)</w:t>
      </w:r>
    </w:p>
    <w:bookmarkEnd w:id="50"/>
    <w:bookmarkStart w:id="51" w:name="the-federal-layer-that-does-bind"/>
    <w:p>
      <w:pPr>
        <w:pStyle w:val="Heading3"/>
      </w:pPr>
      <w:r>
        <w:t xml:space="preserve">5.10 The federal layer that does bind</w:t>
      </w:r>
    </w:p>
    <w:p>
      <w:pPr>
        <w:pStyle w:val="FirstParagraph"/>
      </w:pPr>
      <w:r>
        <w:t xml:space="preserve">Schools are exclusively a Länder matter (Art. 30, 70 GG), so the Bund cannot authorise school use of an AI-supported grading system at all. What the Bund does control binds the</w:t>
      </w:r>
      <w:r>
        <w:t xml:space="preserve"> </w:t>
      </w:r>
      <w:r>
        <w:rPr>
          <w:bCs/>
          <w:b/>
        </w:rPr>
        <w:t xml:space="preserve">provider</w:t>
      </w:r>
      <w:r>
        <w:t xml:space="preserve">:</w:t>
      </w:r>
    </w:p>
    <w:p>
      <w:pPr>
        <w:numPr>
          <w:ilvl w:val="0"/>
          <w:numId w:val="1007"/>
        </w:numPr>
        <w:pStyle w:val="Compact"/>
      </w:pPr>
      <w:r>
        <w:rPr>
          <w:bCs/>
          <w:b/>
        </w:rPr>
        <w:t xml:space="preserve">KI-MIG — Gesetz zur Marktüberwachung und Innovationsförderung von künstlicher Intelligenz</w:t>
      </w:r>
      <w:r>
        <w:t xml:space="preserve">, issued 22.07.2026, BGBl. 2026 I Nr. 223, in force 29.07.2026. This is Germany’s AI Act implementing statute.</w:t>
      </w:r>
    </w:p>
    <w:p>
      <w:pPr>
        <w:numPr>
          <w:ilvl w:val="1"/>
          <w:numId w:val="1008"/>
        </w:numPr>
        <w:pStyle w:val="Compact"/>
      </w:pPr>
      <w:r>
        <w:rPr>
          <w:bCs/>
          <w:b/>
        </w:rPr>
        <w:t xml:space="preserve">§ 2(1): the Bundesnetzagentur is the market surveillance authority</w:t>
      </w:r>
      <w:r>
        <w:t xml:space="preserve"> </w:t>
      </w:r>
      <w:r>
        <w:t xml:space="preserve">for Regulation (EU) 2024/1689 unless otherwise provided.</w:t>
      </w:r>
    </w:p>
    <w:p>
      <w:pPr>
        <w:numPr>
          <w:ilvl w:val="1"/>
          <w:numId w:val="1008"/>
        </w:numPr>
        <w:pStyle w:val="Compact"/>
      </w:pPr>
      <w:r>
        <w:rPr>
          <w:bCs/>
          <w:b/>
        </w:rPr>
        <w:t xml:space="preserve">§ 2(6): where public bodies of the Länder place on the market, put into service or</w:t>
      </w:r>
      <w:r>
        <w:rPr>
          <w:bCs/>
          <w:b/>
        </w:rPr>
        <w:t xml:space="preserve"> </w:t>
      </w:r>
      <w:r>
        <w:rPr>
          <w:iCs/>
          <w:i/>
          <w:bCs/>
          <w:b/>
        </w:rPr>
        <w:t xml:space="preserve">use</w:t>
      </w:r>
      <w:r>
        <w:rPr>
          <w:bCs/>
          <w:b/>
        </w:rPr>
        <w:t xml:space="preserve"> </w:t>
      </w:r>
      <w:r>
        <w:rPr>
          <w:bCs/>
          <w:b/>
        </w:rPr>
        <w:t xml:space="preserve">AI systems, market surveillance falls to the authorities competent under Land law.</w:t>
      </w:r>
      <w:r>
        <w:t xml:space="preserve"> </w:t>
      </w:r>
      <w:r>
        <w:t xml:space="preserve">A provider therefore faces the BNetzA, while deploying schools face the authority competent under the law of their own Land — sixteen separate regimes.</w:t>
      </w:r>
    </w:p>
    <w:p>
      <w:pPr>
        <w:numPr>
          <w:ilvl w:val="1"/>
          <w:numId w:val="1008"/>
        </w:numPr>
        <w:pStyle w:val="Compact"/>
      </w:pPr>
      <w:r>
        <w:rPr>
          <w:bCs/>
          <w:b/>
        </w:rPr>
        <w:t xml:space="preserve">§ 13: the BNetzA must establish at least one KI-Reallabor</w:t>
      </w:r>
      <w:r>
        <w:t xml:space="preserve"> </w:t>
      </w:r>
      <w:r>
        <w:t xml:space="preserve">(regulatory sandbox) under Arts. 57/58 AI Act, with the competent data protection authority involved for the Art. 59 assessment. This is a concrete, named and currently open route to regulatory engagement.</w:t>
      </w:r>
    </w:p>
    <w:p>
      <w:pPr>
        <w:numPr>
          <w:ilvl w:val="1"/>
          <w:numId w:val="1008"/>
        </w:numPr>
        <w:pStyle w:val="Compact"/>
      </w:pPr>
      <w:r>
        <w:rPr>
          <w:bCs/>
          <w:b/>
        </w:rPr>
        <w:t xml:space="preserve">§ 14</w:t>
      </w:r>
      <w:r>
        <w:t xml:space="preserve"> </w:t>
      </w:r>
      <w:r>
        <w:t xml:space="preserve">makes failure to perform the Art. 27 FRIA an offence subject to a fine — so the FRIA is an enforceable obligation of the deploying body rather than a formality.</w:t>
      </w:r>
    </w:p>
    <w:p>
      <w:pPr>
        <w:numPr>
          <w:ilvl w:val="0"/>
          <w:numId w:val="1007"/>
        </w:numPr>
        <w:pStyle w:val="Compact"/>
      </w:pPr>
      <w:r>
        <w:t xml:space="preserve">The Bundestag research service confirms the classification:</w:t>
      </w:r>
      <w:r>
        <w:t xml:space="preserve"> </w:t>
      </w:r>
      <w:r>
        <w:rPr>
          <w:iCs/>
          <w:i/>
        </w:rPr>
        <w:t xml:space="preserve">“</w:t>
      </w:r>
      <w:r>
        <w:rPr>
          <w:iCs/>
          <w:i/>
        </w:rPr>
        <w:t xml:space="preserve">der gesamte Anwendungsbereich Bildung als</w:t>
      </w:r>
      <w:r>
        <w:rPr>
          <w:iCs/>
          <w:i/>
        </w:rPr>
        <w:t xml:space="preserve"> </w:t>
      </w:r>
      <w:r>
        <w:rPr>
          <w:iCs/>
          <w:i/>
        </w:rPr>
        <w:t xml:space="preserve">‘</w:t>
      </w:r>
      <w:r>
        <w:rPr>
          <w:iCs/>
          <w:i/>
        </w:rPr>
        <w:t xml:space="preserve">hochrisikoreich</w:t>
      </w:r>
      <w:r>
        <w:rPr>
          <w:iCs/>
          <w:i/>
        </w:rPr>
        <w:t xml:space="preserve">’</w:t>
      </w:r>
      <w:r>
        <w:rPr>
          <w:iCs/>
          <w:i/>
        </w:rPr>
        <w:t xml:space="preserve"> </w:t>
      </w:r>
      <w:r>
        <w:rPr>
          <w:iCs/>
          <w:i/>
        </w:rPr>
        <w:t xml:space="preserve">eingestuft wurde … betrifft die Regulierung auch automatisierte Bewertungen von Lernergebnissen, etwa durch Lernplattformen oder KI-gestützte Korrektursysteme</w:t>
      </w:r>
      <w:r>
        <w:rPr>
          <w:iCs/>
          <w:i/>
        </w:rPr>
        <w:t xml:space="preserve">”</w:t>
      </w:r>
      <w:r>
        <w:t xml:space="preserve"> </w:t>
      </w:r>
      <w:r>
        <w:t xml:space="preserve">(WD 8 – 3000 – 004/25, 28.02.2025).</w:t>
      </w:r>
    </w:p>
    <w:bookmarkEnd w:id="51"/>
    <w:bookmarkStart w:id="52" w:name="kmk-what-it-is-and-what-it-can-do"/>
    <w:p>
      <w:pPr>
        <w:pStyle w:val="Heading3"/>
      </w:pPr>
      <w:r>
        <w:t xml:space="preserve">5.11 KMK — what it is and what it can do</w:t>
      </w:r>
    </w:p>
    <w:p>
      <w:pPr>
        <w:pStyle w:val="FirstParagraph"/>
      </w:pPr>
      <w:r>
        <w:t xml:space="preserve">The</w:t>
      </w:r>
      <w:r>
        <w:t xml:space="preserve"> </w:t>
      </w:r>
      <w:r>
        <w:rPr>
          <w:bCs/>
          <w:b/>
        </w:rPr>
        <w:t xml:space="preserve">Kultusministerkonferenz</w:t>
      </w:r>
      <w:r>
        <w:t xml:space="preserve"> </w:t>
      </w:r>
      <w:r>
        <w:t xml:space="preserve">remains the umbrella name; since</w:t>
      </w:r>
      <w:r>
        <w:t xml:space="preserve"> </w:t>
      </w:r>
      <w:r>
        <w:rPr>
          <w:bCs/>
          <w:b/>
        </w:rPr>
        <w:t xml:space="preserve">1 July 2024</w:t>
      </w:r>
      <w:r>
        <w:t xml:space="preserve"> </w:t>
      </w:r>
      <w:r>
        <w:t xml:space="preserve">three autonomous conferences sit under it —</w:t>
      </w:r>
      <w:r>
        <w:t xml:space="preserve"> </w:t>
      </w:r>
      <w:r>
        <w:rPr>
          <w:bCs/>
          <w:b/>
        </w:rPr>
        <w:t xml:space="preserve">Bildungsministerkonferenz</w:t>
      </w:r>
      <w:r>
        <w:t xml:space="preserve">, Wissenschaftsministerkonferenz, Kulturministerkonferenz. The October 2024 AI recommendation is correctly cited as a</w:t>
      </w:r>
      <w:r>
        <w:t xml:space="preserve"> </w:t>
      </w:r>
      <w:r>
        <w:rPr>
          <w:iCs/>
          <w:i/>
        </w:rPr>
        <w:t xml:space="preserve">Beschluss der Bildungsministerkonferenz vom 10.10.2024</w:t>
      </w:r>
      <w:r>
        <w:t xml:space="preserve">, published by the Sekretariat der Kultusministerkonferenz.</w:t>
      </w:r>
    </w:p>
    <w:p>
      <w:pPr>
        <w:pStyle w:val="BodyText"/>
      </w:pPr>
      <w:r>
        <w:rPr>
          <w:bCs/>
          <w:b/>
        </w:rPr>
        <w:t xml:space="preserve">The full operative passage</w:t>
      </w:r>
      <w:r>
        <w:t xml:space="preserve"> </w:t>
      </w:r>
      <w:r>
        <w:t xml:space="preserve">(p. 6), beyond the sentence quoted in §5.1:</w:t>
      </w:r>
    </w:p>
    <w:p>
      <w:pPr>
        <w:pStyle w:val="BlockText"/>
      </w:pPr>
      <w:r>
        <w:rPr>
          <w:iCs/>
          <w:i/>
        </w:rPr>
        <w:t xml:space="preserve">“</w:t>
      </w:r>
      <w:r>
        <w:rPr>
          <w:iCs/>
          <w:i/>
        </w:rPr>
        <w:t xml:space="preserve">KI-Anwendungen können den Lehrkräften aber durchaus Unterstützungspotenziale im Korrektur- und Bewertungsprozess bieten (</w:t>
      </w:r>
      <w:r>
        <w:rPr>
          <w:bCs/>
          <w:b/>
          <w:iCs/>
          <w:i/>
        </w:rPr>
        <w:t xml:space="preserve">Vorkorrektur, Korrekturassistenz</w:t>
      </w:r>
      <w:r>
        <w:rPr>
          <w:iCs/>
          <w:i/>
        </w:rPr>
        <w:t xml:space="preserve"> </w:t>
      </w:r>
      <w:r>
        <w:rPr>
          <w:iCs/>
          <w:i/>
        </w:rPr>
        <w:t xml:space="preserve">und anschließende adaptive Lernunterstützung) … Herausforderungen im Einsatz von KI-Anwendungen als Korrekturassistenz liegen u. a. in</w:t>
      </w:r>
      <w:r>
        <w:rPr>
          <w:iCs/>
          <w:i/>
        </w:rPr>
        <w:t xml:space="preserve"> </w:t>
      </w:r>
      <w:r>
        <w:rPr>
          <w:bCs/>
          <w:b/>
          <w:iCs/>
          <w:i/>
        </w:rPr>
        <w:t xml:space="preserve">Datenschutz und Datensicherheit, fehlender Transparenz und Nachvollziehbarkeit der Entscheidungsfindung sowie der Gefahr von Diskriminierung durch Bias</w:t>
      </w:r>
      <w:r>
        <w:rPr>
          <w:iCs/>
          <w:i/>
        </w:rPr>
        <w:t xml:space="preserve">. Um die Potenziale … rechtlich und ethisch einwandfrei zu realisieren,</w:t>
      </w:r>
      <w:r>
        <w:rPr>
          <w:iCs/>
          <w:i/>
        </w:rPr>
        <w:t xml:space="preserve"> </w:t>
      </w:r>
      <w:r>
        <w:rPr>
          <w:bCs/>
          <w:b/>
          <w:iCs/>
          <w:i/>
        </w:rPr>
        <w:t xml:space="preserve">bedarf es länderseits entsprechender Regelungen über einen Einsatz als Entscheidungsunterstützungssystem. Die abschließende Leistungsbewertung bleibt den Prüfenden vorbehalten.</w:t>
      </w:r>
      <w:r>
        <w:rPr>
          <w:iCs/>
          <w:i/>
        </w:rPr>
        <w:t xml:space="preserve">”</w:t>
      </w:r>
    </w:p>
    <w:p>
      <w:pPr>
        <w:pStyle w:val="FirstParagraph"/>
      </w:pPr>
      <w:r>
        <w:t xml:space="preserve">Three things happen at once in that passage: the automated-grade path is closed and the two reasons named; the assistive path is opened</w:t>
      </w:r>
      <w:r>
        <w:t xml:space="preserve"> </w:t>
      </w:r>
      <w:r>
        <w:rPr>
          <w:bCs/>
          <w:b/>
        </w:rPr>
        <w:t xml:space="preserve">by name</w:t>
      </w:r>
      <w:r>
        <w:t xml:space="preserve">; and the conditions attached to it are set out — data protection and data security, transparency and traceability of the decision, and freedom from bias.</w:t>
      </w:r>
    </w:p>
    <w:p>
      <w:pPr>
        <w:pStyle w:val="BodyText"/>
      </w:pPr>
      <w:r>
        <w:t xml:space="preserve">The resolution also records what the Länder intend to build themselves: a</w:t>
      </w:r>
      <w:r>
        <w:t xml:space="preserve"> </w:t>
      </w:r>
      <w:r>
        <w:rPr>
          <w:iCs/>
          <w:i/>
        </w:rPr>
        <w:t xml:space="preserve">“</w:t>
      </w:r>
      <w:r>
        <w:rPr>
          <w:iCs/>
          <w:i/>
        </w:rPr>
        <w:t xml:space="preserve">ländergemeinsame Schnittstellenlösung zum datenschutzkonformen und kostenfreien Zugang zu LLM im schulischen Bereich</w:t>
      </w:r>
      <w:r>
        <w:rPr>
          <w:iCs/>
          <w:i/>
        </w:rPr>
        <w:t xml:space="preserve">”</w:t>
      </w:r>
      <w:r>
        <w:t xml:space="preserve"> </w:t>
      </w:r>
      <w:r>
        <w:t xml:space="preserve">so that schools are</w:t>
      </w:r>
      <w:r>
        <w:t xml:space="preserve"> </w:t>
      </w:r>
      <w:r>
        <w:rPr>
          <w:iCs/>
          <w:i/>
        </w:rPr>
        <w:t xml:space="preserve">“</w:t>
      </w:r>
      <w:r>
        <w:rPr>
          <w:iCs/>
          <w:i/>
        </w:rPr>
        <w:t xml:space="preserve">von größeren Prüfaufwänden befreit</w:t>
      </w:r>
      <w:r>
        <w:rPr>
          <w:iCs/>
          <w:i/>
        </w:rPr>
        <w:t xml:space="preserve">”</w:t>
      </w:r>
      <w:r>
        <w:t xml:space="preserve">, and a</w:t>
      </w:r>
      <w:r>
        <w:t xml:space="preserve"> </w:t>
      </w:r>
      <w:r>
        <w:rPr>
          <w:iCs/>
          <w:i/>
        </w:rPr>
        <w:t xml:space="preserve">“</w:t>
      </w:r>
      <w:r>
        <w:rPr>
          <w:iCs/>
          <w:i/>
        </w:rPr>
        <w:t xml:space="preserve">hoheitlich betreibbares, datenschutzkonformes, für pädagogische Zwecke trainiertes … LLM (z. B. beim FWU)</w:t>
      </w:r>
      <w:r>
        <w:rPr>
          <w:iCs/>
          <w:i/>
        </w:rPr>
        <w:t xml:space="preserve">”</w:t>
      </w:r>
      <w:r>
        <w:t xml:space="preserve">. The resolution thus contemplates the state itself supplying the model layer for schools. And on examination formats:</w:t>
      </w:r>
      <w:r>
        <w:t xml:space="preserve"> </w:t>
      </w:r>
      <w:r>
        <w:rPr>
          <w:iCs/>
          <w:i/>
        </w:rPr>
        <w:t xml:space="preserve">“</w:t>
      </w:r>
      <w:r>
        <w:rPr>
          <w:iCs/>
          <w:i/>
        </w:rPr>
        <w:t xml:space="preserve">Nach erfolgreicher Erprobung sind die Länderverordnungen zu Leistungsnachweisen und … Abschlussprüfungen entsprechend anzupassen.</w:t>
      </w:r>
      <w:r>
        <w:rPr>
          <w:iCs/>
          <w:i/>
        </w:rPr>
        <w:t xml:space="preserve">”</w:t>
      </w:r>
      <w:r>
        <w:t xml:space="preserve"> </w:t>
      </w:r>
      <w:r>
        <w:t xml:space="preserve">The KMK already contemplates ordinance amendment.</w:t>
      </w:r>
    </w:p>
    <w:p>
      <w:pPr>
        <w:pStyle w:val="BodyText"/>
      </w:pPr>
      <w:r>
        <w:rPr>
          <w:bCs/>
          <w:b/>
        </w:rPr>
        <w:t xml:space="preserve">Legal force: none.</w:t>
      </w:r>
      <w:r>
        <w:t xml:space="preserve"> </w:t>
      </w:r>
      <w:r>
        <w:t xml:space="preserve">The KMK says of itself that it</w:t>
      </w:r>
      <w:r>
        <w:t xml:space="preserve"> </w:t>
      </w:r>
      <w:r>
        <w:rPr>
          <w:iCs/>
          <w:i/>
        </w:rPr>
        <w:t xml:space="preserve">“</w:t>
      </w:r>
      <w:r>
        <w:rPr>
          <w:iCs/>
          <w:i/>
        </w:rPr>
        <w:t xml:space="preserve">fasst … keine Beschlüsse als Verfassungsorgan mit der daraus folgenden Rechtswirkung</w:t>
      </w:r>
      <w:r>
        <w:rPr>
          <w:iCs/>
          <w:i/>
        </w:rPr>
        <w:t xml:space="preserve">”</w:t>
      </w:r>
      <w:r>
        <w:t xml:space="preserve">; its decisions operate as political commitment and a guide to action. A KMK recommendation creates cover, not authorisation. That is the direct answer to half of Question 6.</w:t>
      </w:r>
    </w:p>
    <w:bookmarkEnd w:id="52"/>
    <w:bookmarkStart w:id="53" w:name="X60d035fc2cc03b04bc31d8956bc896ad9fe78d8"/>
    <w:p>
      <w:pPr>
        <w:pStyle w:val="Heading3"/>
      </w:pPr>
      <w:r>
        <w:t xml:space="preserve">5.12 The NRW parliamentary process — the most concrete opening in Germany</w:t>
      </w:r>
    </w:p>
    <w:p>
      <w:pPr>
        <w:pStyle w:val="FirstParagraph"/>
      </w:pPr>
      <w:r>
        <w:t xml:space="preserve">The Länder rules the KMK called for are, in North Rhine-Westphalia, now the subject of a live legislative process.</w:t>
      </w:r>
      <w:r>
        <w:t xml:space="preserve"> </w:t>
      </w:r>
      <w:r>
        <w:rPr>
          <w:bCs/>
          <w:b/>
        </w:rPr>
        <w:t xml:space="preserve">It postdates every other document in this section.</w:t>
      </w:r>
    </w:p>
    <w:p>
      <w:pPr>
        <w:pStyle w:val="BodyText"/>
      </w:pPr>
      <w:r>
        <w:rPr>
          <w:bCs/>
          <w:b/>
        </w:rPr>
        <w:t xml:space="preserve">The motion.</w:t>
      </w:r>
      <w:r>
        <w:t xml:space="preserve"> </w:t>
      </w:r>
      <w:r>
        <w:t xml:space="preserve">An FDP motion,</w:t>
      </w:r>
      <w:r>
        <w:t xml:space="preserve"> </w:t>
      </w:r>
      <w:r>
        <w:rPr>
          <w:iCs/>
          <w:i/>
        </w:rPr>
        <w:t xml:space="preserve">Drucksache 18/18104</w:t>
      </w:r>
      <w:r>
        <w:t xml:space="preserve">, proposes making AI-assisted correction standard in order to reduce teacher workload and improve feedback. Its content is close to the architecture this paper describes as legally required:</w:t>
      </w:r>
      <w:r>
        <w:t xml:space="preserve"> </w:t>
      </w:r>
      <w:r>
        <w:rPr>
          <w:bCs/>
          <w:b/>
        </w:rPr>
        <w:t xml:space="preserve">human final responsibility, transparent criteria, understandable feedback, sample checks, and additional human review on request</w:t>
      </w:r>
      <w:r>
        <w:t xml:space="preserve">, together with quality and security standards, data minimisation, clear allocation of responsibilities, training, pilots, and connection to longer-term learning systems.</w:t>
      </w:r>
    </w:p>
    <w:p>
      <w:pPr>
        <w:pStyle w:val="BodyText"/>
      </w:pPr>
      <w:r>
        <w:rPr>
          <w:bCs/>
          <w:b/>
        </w:rPr>
        <w:t xml:space="preserve">Its status, stated precisely.</w:t>
      </w:r>
      <w:r>
        <w:t xml:space="preserve"> </w:t>
      </w:r>
      <w:r>
        <w:t xml:space="preserve">A</w:t>
      </w:r>
      <w:r>
        <w:t xml:space="preserve"> </w:t>
      </w:r>
      <w:r>
        <w:rPr>
          <w:iCs/>
          <w:i/>
        </w:rPr>
        <w:t xml:space="preserve">Drucksache</w:t>
      </w:r>
      <w:r>
        <w:t xml:space="preserve"> </w:t>
      </w:r>
      <w:r>
        <w:t xml:space="preserve">is a parliamentary motion.</w:t>
      </w:r>
      <w:r>
        <w:t xml:space="preserve"> </w:t>
      </w:r>
      <w:r>
        <w:rPr>
          <w:bCs/>
          <w:b/>
        </w:rPr>
        <w:t xml:space="preserve">It changes no school law and approves no supplier.</w:t>
      </w:r>
      <w:r>
        <w:t xml:space="preserve"> </w:t>
      </w:r>
      <w:r>
        <w:t xml:space="preserve">Its claim that more consistent assessment would reduce disputes is an anticipated benefit, not an established legal proposition. It should not be described as approval.</w:t>
      </w:r>
    </w:p>
    <w:p>
      <w:pPr>
        <w:pStyle w:val="BodyText"/>
      </w:pPr>
      <w:r>
        <w:rPr>
          <w:bCs/>
          <w:b/>
        </w:rPr>
        <w:t xml:space="preserve">What the hearing produced.</w:t>
      </w:r>
      <w:r>
        <w:t xml:space="preserve"> </w:t>
      </w:r>
      <w:r>
        <w:t xml:space="preserve">Nine expert submissions were filed. They are submissions to a hearing — not judgments and not binding administrative approvals — but together they are the closest thing available to a published statement of what the German school sector will demand of an AI-supported grading 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Submission</w:t>
            </w:r>
          </w:p>
        </w:tc>
        <w:tc>
          <w:tcPr/>
          <w:p>
            <w:pPr>
              <w:pStyle w:val="Compact"/>
              <w:jc w:val="left"/>
            </w:pPr>
            <w:r>
              <w:t xml:space="preserve">What it contributes</w:t>
            </w:r>
          </w:p>
        </w:tc>
      </w:tr>
      <w:tr>
        <w:tc>
          <w:tcPr/>
          <w:p>
            <w:pPr>
              <w:pStyle w:val="Compact"/>
              <w:jc w:val="left"/>
            </w:pPr>
            <w:r>
              <w:rPr>
                <w:bCs/>
                <w:b/>
              </w:rPr>
              <w:t xml:space="preserve">Alicia Kloppenburg, Ruhr-Universität Bochum — 18/3853</w:t>
            </w:r>
            <w:r>
              <w:t xml:space="preserve"> </w:t>
            </w:r>
            <w:r>
              <w:t xml:space="preserve">(13 pages, 6 June 2026)</w:t>
            </w:r>
          </w:p>
        </w:tc>
        <w:tc>
          <w:tcPr/>
          <w:p>
            <w:pPr>
              <w:pStyle w:val="Compact"/>
              <w:jc w:val="left"/>
            </w:pPr>
            <w:r>
              <w:t xml:space="preserve">The clearest legal analysis in the set. Cites § 57(1) SchulG NRW and §§ 5(1), 10(1) ADO for the teacher’s assessment responsibility; holds</w:t>
            </w:r>
            <w:r>
              <w:t xml:space="preserve"> </w:t>
            </w:r>
            <w:r>
              <w:rPr>
                <w:bCs/>
                <w:b/>
              </w:rPr>
              <w:t xml:space="preserve">complete delegation impermissible and assistance possible</w:t>
            </w:r>
            <w:r>
              <w:t xml:space="preserve">; examines AI Act Art. 6 / Annex III and the limited exceptions; identifies the risk of a</w:t>
            </w:r>
            <w:r>
              <w:t xml:space="preserve"> </w:t>
            </w:r>
            <w:r>
              <w:rPr>
                <w:bCs/>
                <w:b/>
              </w:rPr>
              <w:t xml:space="preserve">school assuming provider obligations when it repurposes a general-purpose system</w:t>
            </w:r>
            <w:r>
              <w:t xml:space="preserve">; holds that under GDPR Art. 22 substantive independent judgment is what matters and</w:t>
            </w:r>
            <w:r>
              <w:t xml:space="preserve"> </w:t>
            </w:r>
            <w:r>
              <w:rPr>
                <w:bCs/>
                <w:b/>
              </w:rPr>
              <w:t xml:space="preserve">a cursory check or formal approval is insufficient</w:t>
            </w:r>
            <w:r>
              <w:t xml:space="preserve">; recommends teachers</w:t>
            </w:r>
            <w:r>
              <w:t xml:space="preserve"> </w:t>
            </w:r>
            <w:r>
              <w:rPr>
                <w:bCs/>
                <w:b/>
              </w:rPr>
              <w:t xml:space="preserve">form their assessment before consulting the AI</w:t>
            </w:r>
            <w:r>
              <w:t xml:space="preserve"> </w:t>
            </w:r>
            <w:r>
              <w:t xml:space="preserve">to reduce anchoring; distinguishes individual marks from administrative acts while treating significant effects as possible either way; and discusses consent difficulties, accountability, retention and school–provider funding under §§ 92–94 SchulG.</w:t>
            </w:r>
          </w:p>
        </w:tc>
      </w:tr>
      <w:tr>
        <w:tc>
          <w:tcPr/>
          <w:p>
            <w:pPr>
              <w:pStyle w:val="Compact"/>
              <w:jc w:val="left"/>
            </w:pPr>
            <w:r>
              <w:rPr>
                <w:bCs/>
                <w:b/>
              </w:rPr>
              <w:t xml:space="preserve">Philologenverband NRW — 18/3786</w:t>
            </w:r>
          </w:p>
        </w:tc>
        <w:tc>
          <w:tcPr/>
          <w:p>
            <w:pPr>
              <w:pStyle w:val="Compact"/>
              <w:jc w:val="left"/>
            </w:pPr>
            <w:r>
              <w:t xml:space="preserve">Accepts assistance under appropriate conditions and rejects compulsory standardisation. Requires</w:t>
            </w:r>
            <w:r>
              <w:t xml:space="preserve"> </w:t>
            </w:r>
            <w:r>
              <w:rPr>
                <w:bCs/>
                <w:b/>
              </w:rPr>
              <w:t xml:space="preserve">explainable and reviewable</w:t>
            </w:r>
            <w:r>
              <w:t xml:space="preserve"> </w:t>
            </w:r>
            <w:r>
              <w:t xml:space="preserve">assessment. Cites the NRW ministry guidance as allowing only support and prohibiting transmission of pupil personal data. Warns that formal human final responsibility can be</w:t>
            </w:r>
            <w:r>
              <w:t xml:space="preserve"> </w:t>
            </w:r>
            <w:r>
              <w:rPr>
                <w:bCs/>
                <w:b/>
              </w:rPr>
              <w:t xml:space="preserve">undermined by practical dependence</w:t>
            </w:r>
            <w:r>
              <w:t xml:space="preserve"> </w:t>
            </w:r>
            <w:r>
              <w:t xml:space="preserve">— the concern recorded at finding 12, stated from the teaching profession’s side.</w:t>
            </w:r>
          </w:p>
        </w:tc>
      </w:tr>
      <w:tr>
        <w:tc>
          <w:tcPr/>
          <w:p>
            <w:pPr>
              <w:pStyle w:val="Compact"/>
              <w:jc w:val="left"/>
            </w:pPr>
            <w:r>
              <w:rPr>
                <w:bCs/>
                <w:b/>
              </w:rPr>
              <w:t xml:space="preserve">lehrer nrw — 18/3828</w:t>
            </w:r>
          </w:p>
        </w:tc>
        <w:tc>
          <w:tcPr/>
          <w:p>
            <w:pPr>
              <w:pStyle w:val="Compact"/>
              <w:jc w:val="left"/>
            </w:pPr>
            <w:r>
              <w:t xml:space="preserve">Requests</w:t>
            </w:r>
            <w:r>
              <w:t xml:space="preserve"> </w:t>
            </w:r>
            <w:r>
              <w:rPr>
                <w:bCs/>
                <w:b/>
              </w:rPr>
              <w:t xml:space="preserve">voluntary</w:t>
            </w:r>
            <w:r>
              <w:t xml:space="preserve"> </w:t>
            </w:r>
            <w:r>
              <w:t xml:space="preserve">use, clear liability and objection procedures, transparent quality standards, and state-controlled privacy safeguards. Flags longitudinal performance profiles and the gap between teacher responsibility and actual control. Its objection to commercial processing is an advocacy position, not a statutory ban on commercial suppliers.</w:t>
            </w:r>
          </w:p>
        </w:tc>
      </w:tr>
      <w:tr>
        <w:tc>
          <w:tcPr/>
          <w:p>
            <w:pPr>
              <w:pStyle w:val="Compact"/>
              <w:jc w:val="left"/>
            </w:pPr>
            <w:r>
              <w:rPr>
                <w:bCs/>
                <w:b/>
              </w:rPr>
              <w:t xml:space="preserve">vlbs NRW — 18/3870</w:t>
            </w:r>
          </w:p>
        </w:tc>
        <w:tc>
          <w:tcPr/>
          <w:p>
            <w:pPr>
              <w:pStyle w:val="Compact"/>
              <w:jc w:val="left"/>
            </w:pPr>
            <w:r>
              <w:t xml:space="preserve">The most directly system-shaping submission: documentation of</w:t>
            </w:r>
            <w:r>
              <w:t xml:space="preserve"> </w:t>
            </w:r>
            <w:r>
              <w:rPr>
                <w:bCs/>
                <w:b/>
              </w:rPr>
              <w:t xml:space="preserve">criteria, weights, which suggestions were adopted or changed, and the human reasons</w:t>
            </w:r>
            <w:r>
              <w:t xml:space="preserve">; objections, court review and</w:t>
            </w:r>
            <w:r>
              <w:t xml:space="preserve"> </w:t>
            </w:r>
            <w:r>
              <w:rPr>
                <w:bCs/>
                <w:b/>
              </w:rPr>
              <w:t xml:space="preserve">archiving</w:t>
            </w:r>
            <w:r>
              <w:t xml:space="preserve">. Warns about qualification and vocational consequences. Two of its claims need qualification — that teachers alone bear liability (see §7.1) and that pupil IDs provide anonymisation (see §3.10).</w:t>
            </w:r>
          </w:p>
        </w:tc>
      </w:tr>
      <w:tr>
        <w:tc>
          <w:tcPr/>
          <w:p>
            <w:pPr>
              <w:pStyle w:val="Compact"/>
              <w:jc w:val="left"/>
            </w:pPr>
            <w:r>
              <w:rPr>
                <w:bCs/>
                <w:b/>
              </w:rPr>
              <w:t xml:space="preserve">VBE NRW — 18/3861</w:t>
            </w:r>
          </w:p>
        </w:tc>
        <w:tc>
          <w:tcPr/>
          <w:p>
            <w:pPr>
              <w:pStyle w:val="Compact"/>
              <w:jc w:val="left"/>
            </w:pPr>
            <w:r>
              <w:t xml:space="preserve">Independent teacher review, safeguards against bias,</w:t>
            </w:r>
            <w:r>
              <w:t xml:space="preserve"> </w:t>
            </w:r>
            <w:r>
              <w:rPr>
                <w:bCs/>
                <w:b/>
              </w:rPr>
              <w:t xml:space="preserve">approved and legally secured infrastructure</w:t>
            </w:r>
            <w:r>
              <w:t xml:space="preserve">, and no transfer of unresolved system-compliance responsibility to individual schools. Warns about permanent educational profiles.</w:t>
            </w:r>
          </w:p>
        </w:tc>
      </w:tr>
      <w:tr>
        <w:tc>
          <w:tcPr/>
          <w:p>
            <w:pPr>
              <w:pStyle w:val="Compact"/>
              <w:jc w:val="left"/>
            </w:pPr>
            <w:r>
              <w:rPr>
                <w:bCs/>
                <w:b/>
              </w:rPr>
              <w:t xml:space="preserve">GEW NRW — 18/3872</w:t>
            </w:r>
          </w:p>
        </w:tc>
        <w:tc>
          <w:tcPr/>
          <w:p>
            <w:pPr>
              <w:pStyle w:val="Compact"/>
              <w:jc w:val="left"/>
            </w:pPr>
            <w:r>
              <w:t xml:space="preserve">Questions whether</w:t>
            </w:r>
            <w:r>
              <w:t xml:space="preserve"> </w:t>
            </w:r>
            <w:r>
              <w:rPr>
                <w:bCs/>
                <w:b/>
              </w:rPr>
              <w:t xml:space="preserve">sample checks</w:t>
            </w:r>
            <w:r>
              <w:t xml:space="preserve"> </w:t>
            </w:r>
            <w:r>
              <w:t xml:space="preserve">adequately preserve human responsibility — directly relevant, since sample-checking is the obvious efficiency shortcut and this indicates it will be contested. Also raises processing, storage and third-party access; subject-specific examination rules; and</w:t>
            </w:r>
            <w:r>
              <w:t xml:space="preserve"> </w:t>
            </w:r>
            <w:r>
              <w:rPr>
                <w:bCs/>
                <w:b/>
              </w:rPr>
              <w:t xml:space="preserve">possible copyright issues where textbook content is supplied to models</w:t>
            </w:r>
            <w:r>
              <w:t xml:space="preserve"> </w:t>
            </w:r>
            <w:r>
              <w:t xml:space="preserve">— an exposure not otherwise covered in this paper. Rejects mandatory routine use.</w:t>
            </w:r>
          </w:p>
        </w:tc>
      </w:tr>
      <w:tr>
        <w:tc>
          <w:tcPr/>
          <w:p>
            <w:pPr>
              <w:pStyle w:val="Compact"/>
              <w:jc w:val="left"/>
            </w:pPr>
            <w:r>
              <w:rPr>
                <w:bCs/>
                <w:b/>
              </w:rPr>
              <w:t xml:space="preserve">edaira GmbH — 18/3823</w:t>
            </w:r>
          </w:p>
        </w:tc>
        <w:tc>
          <w:tcPr/>
          <w:p>
            <w:pPr>
              <w:pStyle w:val="Compact"/>
              <w:jc w:val="left"/>
            </w:pPr>
            <w:r>
              <w:t xml:space="preserve">A supplier submission. Advocates a ministry rule clarifying permitted assessment types, central privacy documentation and model instructions; describes review gates, teacher declarations and AI disclosure on exports. It claims that German/EU hosting and the absence of pupil personal data ensure compliance.</w:t>
            </w:r>
            <w:r>
              <w:t xml:space="preserve"> </w:t>
            </w:r>
            <w:r>
              <w:rPr>
                <w:bCs/>
                <w:b/>
              </w:rPr>
              <w:t xml:space="preserve">Those are supplier assertions, not independent certification:</w:t>
            </w:r>
            <w:r>
              <w:t xml:space="preserve"> </w:t>
            </w:r>
            <w:r>
              <w:t xml:space="preserve">hosting, click-throughs and declarations do not by themselves establish lawful processing or meaningful review.</w:t>
            </w:r>
          </w:p>
        </w:tc>
      </w:tr>
      <w:tr>
        <w:tc>
          <w:tcPr/>
          <w:p>
            <w:pPr>
              <w:pStyle w:val="Compact"/>
              <w:jc w:val="left"/>
            </w:pPr>
            <w:r>
              <w:rPr>
                <w:bCs/>
                <w:b/>
              </w:rPr>
              <w:t xml:space="preserve">Claudia Schrader — 18/3857</w:t>
            </w:r>
          </w:p>
        </w:tc>
        <w:tc>
          <w:tcPr/>
          <w:p>
            <w:pPr>
              <w:pStyle w:val="Compact"/>
              <w:jc w:val="left"/>
            </w:pPr>
            <w:r>
              <w:t xml:space="preserve">Expressly does not conduct a legal examination. Identifies unresolved questions on data categories, storage, access, anonymisation/pseudonymisation and documentation. Distinguishes</w:t>
            </w:r>
            <w:r>
              <w:t xml:space="preserve"> </w:t>
            </w:r>
            <w:r>
              <w:rPr>
                <w:bCs/>
                <w:b/>
              </w:rPr>
              <w:t xml:space="preserve">formative support from consequential summative assessment</w:t>
            </w:r>
            <w:r>
              <w:t xml:space="preserve"> </w:t>
            </w:r>
            <w:r>
              <w:t xml:space="preserve">— the same line this paper draws at §3.5.</w:t>
            </w:r>
          </w:p>
        </w:tc>
      </w:tr>
      <w:tr>
        <w:tc>
          <w:tcPr/>
          <w:p>
            <w:pPr>
              <w:pStyle w:val="Compact"/>
              <w:jc w:val="left"/>
            </w:pPr>
            <w:r>
              <w:rPr>
                <w:bCs/>
                <w:b/>
              </w:rPr>
              <w:t xml:space="preserve">Hendrik Haverkamp / Benedikt Wisniewski — 18/3777</w:t>
            </w:r>
          </w:p>
        </w:tc>
        <w:tc>
          <w:tcPr/>
          <w:p>
            <w:pPr>
              <w:pStyle w:val="Compact"/>
              <w:jc w:val="left"/>
            </w:pPr>
            <w:r>
              <w:t xml:space="preserve">An assessment of the research on reliability, validity and fairness rather than a legal clearance. Relevant to</w:t>
            </w:r>
            <w:r>
              <w:t xml:space="preserve"> </w:t>
            </w:r>
            <w:r>
              <w:rPr>
                <w:bCs/>
                <w:b/>
              </w:rPr>
              <w:t xml:space="preserve">evidencing assessment quality</w:t>
            </w:r>
            <w:r>
              <w:t xml:space="preserve">, which is the evidence base required at §12.2.</w:t>
            </w:r>
          </w:p>
        </w:tc>
      </w:tr>
    </w:tbl>
    <w:p>
      <w:pPr>
        <w:pStyle w:val="BodyText"/>
      </w:pPr>
      <w:r>
        <w:rPr>
          <w:bCs/>
          <w:b/>
        </w:rPr>
        <w:t xml:space="preserve">How to read the set as a whole.</w:t>
      </w:r>
      <w:r>
        <w:t xml:space="preserve"> </w:t>
      </w:r>
      <w:r>
        <w:t xml:space="preserve">Nobody in it argues that AI-assisted correction is unlawful in principle. Every contributor converges on the same four demands: the teacher must genuinely decide; the reasoning must be explainable and reviewable; the data path must be controlled and preferably state-controlled; and use must not be made compulsory. That is the same</w:t>
      </w:r>
      <w:r>
        <w:t xml:space="preserve"> </w:t>
      </w:r>
      <w:r>
        <w:rPr>
          <w:iCs/>
          <w:i/>
        </w:rPr>
        <w:t xml:space="preserve">Entscheidungsunterstützungssystem</w:t>
      </w:r>
      <w:r>
        <w:t xml:space="preserve"> </w:t>
      </w:r>
      <w:r>
        <w:t xml:space="preserve">rule the KMK called for, now demanded by the sector that would have to work with it.</w:t>
      </w:r>
    </w:p>
    <w:p>
      <w:pPr>
        <w:pStyle w:val="BodyText"/>
      </w:pPr>
      <w:r>
        <w:t xml:space="preserve">The outcome of the motion, and any ministry rule that follows it, would be the operative development for the Land.</w:t>
      </w:r>
      <w:r>
        <w:t xml:space="preserve"> </w:t>
      </w:r>
      <w:r>
        <w:rPr>
          <w:iCs/>
          <w:i/>
        </w:rPr>
        <w:t xml:space="preserve">(The submissions were read in summary for this review, not in full; the Kloppenburg opinion should be read in the original before reliance is placed on its paragraph citations — see §14.)</w:t>
      </w:r>
    </w:p>
    <w:bookmarkEnd w:id="53"/>
    <w:bookmarkEnd w:id="54"/>
    <w:bookmarkStart w:id="55" w:name="X1c77f10a2e801fc5fcf9be2754c1e7827a2c381"/>
    <w:p>
      <w:pPr>
        <w:pStyle w:val="Heading2"/>
      </w:pPr>
      <w:r>
        <w:t xml:space="preserve">6. Question 4 — Why is AI processing legally different from ordinary data processing?</w:t>
      </w:r>
    </w:p>
    <w:p>
      <w:pPr>
        <w:pStyle w:val="FirstParagraph"/>
      </w:pPr>
      <w:r>
        <w:t xml:space="preserve">The standard objection is that spreadsheets have been calculating grades for thirty years, so nothing is really new. Seven answers.</w:t>
      </w:r>
    </w:p>
    <w:p>
      <w:pPr>
        <w:pStyle w:val="BodyText"/>
      </w:pPr>
      <w:r>
        <w:rPr>
          <w:bCs/>
          <w:b/>
        </w:rPr>
        <w:t xml:space="preserve">(i) Article 22 GDPR has a threshold that ordinary calculation never crosses.</w:t>
      </w:r>
      <w:r>
        <w:t xml:space="preserve"> </w:t>
      </w:r>
      <w:r>
        <w:t xml:space="preserve">A spreadsheet summing marks a teacher entered is not a decision based solely on automated processing: the human generated every input and arithmetic is not evaluation. A model that reads a free-text answer and</w:t>
      </w:r>
      <w:r>
        <w:t xml:space="preserve"> </w:t>
      </w:r>
      <w:r>
        <w:rPr>
          <w:iCs/>
          <w:i/>
        </w:rPr>
        <w:t xml:space="preserve">judges</w:t>
      </w:r>
      <w:r>
        <w:t xml:space="preserve"> </w:t>
      </w:r>
      <w:r>
        <w:t xml:space="preserve">it produces the evaluative content itself. The regime is</w:t>
      </w:r>
      <w:r>
        <w:t xml:space="preserve"> </w:t>
      </w:r>
      <w:r>
        <w:rPr>
          <w:bCs/>
          <w:b/>
        </w:rPr>
        <w:t xml:space="preserve">discontinuous, not graduated</w:t>
      </w:r>
      <w:r>
        <w:t xml:space="preserve"> </w:t>
      </w:r>
      <w:r>
        <w:t xml:space="preserve">— which is why</w:t>
      </w:r>
      <w:r>
        <w:t xml:space="preserve"> </w:t>
      </w:r>
      <w:r>
        <w:t xml:space="preserve">“</w:t>
      </w:r>
      <w:r>
        <w:t xml:space="preserve">it is just a better calculator</w:t>
      </w:r>
      <w:r>
        <w:t xml:space="preserve">”</w:t>
      </w:r>
      <w:r>
        <w:t xml:space="preserve"> </w:t>
      </w:r>
      <w:r>
        <w:t xml:space="preserve">is wrong as a matter of law whatever its merits as engineering. And</w:t>
      </w:r>
      <w:r>
        <w:t xml:space="preserve"> </w:t>
      </w:r>
      <w:r>
        <w:rPr>
          <w:iCs/>
          <w:i/>
        </w:rPr>
        <w:t xml:space="preserve">SCHUFA</w:t>
      </w:r>
      <w:r>
        <w:t xml:space="preserve"> </w:t>
      </w:r>
      <w:r>
        <w:t xml:space="preserve">means the threshold cannot be recrossed by inserting a nominal human: the test is behavioural, so the</w:t>
      </w:r>
      <w:r>
        <w:t xml:space="preserve"> </w:t>
      </w:r>
      <w:r>
        <w:rPr>
          <w:iCs/>
          <w:i/>
        </w:rPr>
        <w:t xml:space="preserve">effectiveness</w:t>
      </w:r>
      <w:r>
        <w:t xml:space="preserve"> </w:t>
      </w:r>
      <w:r>
        <w:t xml:space="preserve">of the tool determines the</w:t>
      </w:r>
      <w:r>
        <w:t xml:space="preserve"> </w:t>
      </w:r>
      <w:r>
        <w:rPr>
          <w:iCs/>
          <w:i/>
        </w:rPr>
        <w:t xml:space="preserve">applicability</w:t>
      </w:r>
      <w:r>
        <w:t xml:space="preserve"> </w:t>
      </w:r>
      <w:r>
        <w:t xml:space="preserve">of the regime.</w:t>
      </w:r>
    </w:p>
    <w:p>
      <w:pPr>
        <w:pStyle w:val="BodyText"/>
      </w:pPr>
      <w:r>
        <w:rPr>
          <w:bCs/>
          <w:b/>
        </w:rPr>
        <w:t xml:space="preserve">(ii) The DPIA moves from discretionary to effectively mandatory.</w:t>
      </w:r>
      <w:r>
        <w:t xml:space="preserve"> </w:t>
      </w:r>
      <w:r>
        <w:t xml:space="preserve">For a spreadsheet an Art. 35 screening normally concludes</w:t>
      </w:r>
      <w:r>
        <w:t xml:space="preserve"> </w:t>
      </w:r>
      <w:r>
        <w:t xml:space="preserve">“</w:t>
      </w:r>
      <w:r>
        <w:t xml:space="preserve">no high risk</w:t>
      </w:r>
      <w:r>
        <w:t xml:space="preserve">”</w:t>
      </w:r>
      <w:r>
        <w:t xml:space="preserve">. For AI, three triggers fire at once (§3.6). The pivot is that</w:t>
      </w:r>
      <w:r>
        <w:t xml:space="preserve"> </w:t>
      </w:r>
      <w:r>
        <w:rPr>
          <w:bCs/>
          <w:b/>
        </w:rPr>
        <w:t xml:space="preserve">novelty itself is a risk factor</w:t>
      </w:r>
      <w:r>
        <w:t xml:space="preserve"> </w:t>
      </w:r>
      <w:r>
        <w:t xml:space="preserve">in EU data protection law — Art. 35(1) says</w:t>
      </w:r>
      <w:r>
        <w:t xml:space="preserve"> </w:t>
      </w:r>
      <w:r>
        <w:t xml:space="preserve">“</w:t>
      </w:r>
      <w:r>
        <w:t xml:space="preserve">in particular using new technologies</w:t>
      </w:r>
      <w:r>
        <w:t xml:space="preserve">”</w:t>
      </w:r>
      <w:r>
        <w:t xml:space="preserve">, and WP248 criterion 8 is</w:t>
      </w:r>
      <w:r>
        <w:t xml:space="preserve"> </w:t>
      </w:r>
      <w:r>
        <w:t xml:space="preserve">“</w:t>
      </w:r>
      <w:r>
        <w:t xml:space="preserve">innovative use</w:t>
      </w:r>
      <w:r>
        <w:t xml:space="preserve">”</w:t>
      </w:r>
      <w:r>
        <w:t xml:space="preserve">. No other tool category is penalised for being new.</w:t>
      </w:r>
    </w:p>
    <w:p>
      <w:pPr>
        <w:pStyle w:val="BodyText"/>
      </w:pPr>
      <w:r>
        <w:rPr>
          <w:bCs/>
          <w:b/>
        </w:rPr>
        <w:t xml:space="preserve">(iii) An entire second statute attaches, with product-safety architecture.</w:t>
      </w:r>
      <w:r>
        <w:t xml:space="preserve"> </w:t>
      </w:r>
      <w:r>
        <w:t xml:space="preserve">This is the largest discontinuity and the one that most surprises software teams. A spreadsheet is governed by contract, the GDPR and general tort law. An AI grading system is additionally governed by a New Legislative Framework regime: conformity assessment before placing on the market; a formal</w:t>
      </w:r>
      <w:r>
        <w:t xml:space="preserve"> </w:t>
      </w:r>
      <w:r>
        <w:rPr>
          <w:bCs/>
          <w:b/>
        </w:rPr>
        <w:t xml:space="preserve">EU declaration of conformity</w:t>
      </w:r>
      <w:r>
        <w:t xml:space="preserve"> </w:t>
      </w:r>
      <w:r>
        <w:t xml:space="preserve">signed by the provider;</w:t>
      </w:r>
      <w:r>
        <w:t xml:space="preserve"> </w:t>
      </w:r>
      <w:r>
        <w:rPr>
          <w:bCs/>
          <w:b/>
        </w:rPr>
        <w:t xml:space="preserve">CE marking</w:t>
      </w:r>
      <w:r>
        <w:t xml:space="preserve"> </w:t>
      </w:r>
      <w:r>
        <w:t xml:space="preserve">— the same mark as on a toaster or a lift; registration in a</w:t>
      </w:r>
      <w:r>
        <w:t xml:space="preserve"> </w:t>
      </w:r>
      <w:r>
        <w:rPr>
          <w:bCs/>
          <w:b/>
        </w:rPr>
        <w:t xml:space="preserve">public EU database</w:t>
      </w:r>
      <w:r>
        <w:t xml:space="preserve">; a</w:t>
      </w:r>
      <w:r>
        <w:t xml:space="preserve"> </w:t>
      </w:r>
      <w:r>
        <w:rPr>
          <w:bCs/>
          <w:b/>
        </w:rPr>
        <w:t xml:space="preserve">quality management system</w:t>
      </w:r>
      <w:r>
        <w:t xml:space="preserve">; post-market monitoring and serious-incident reporting on 15/10/2-day clocks; and market surveillance authorities with powers to demand documentation, test, and withdraw the product from the market. This is an organisational change, not a legal-review change: someone must own the QMS, someone must sign the declaration, and somebody’s calendar must carry the 15-day incident clock.</w:t>
      </w:r>
    </w:p>
    <w:p>
      <w:pPr>
        <w:pStyle w:val="BodyText"/>
      </w:pPr>
      <w:r>
        <w:rPr>
          <w:bCs/>
          <w:b/>
        </w:rPr>
        <w:t xml:space="preserve">(iv) Training data and secondary use collide with purpose limitation.</w:t>
      </w:r>
      <w:r>
        <w:t xml:space="preserve"> </w:t>
      </w:r>
      <w:r>
        <w:t xml:space="preserve">A spreadsheet does not learn. A model does, and the temptation to improve it on customer scripts is structural. Purpose limitation, the narrowed Art. 6(4) compatibility route for public-task controllers, and EDPB Opinion 28/2024 together mean</w:t>
      </w:r>
      <w:r>
        <w:t xml:space="preserve"> </w:t>
      </w:r>
      <w:r>
        <w:rPr>
          <w:bCs/>
          <w:b/>
        </w:rPr>
        <w:t xml:space="preserve">the most natural product-improvement loop is the most legally dangerous course open to a provider</w:t>
      </w:r>
      <w:r>
        <w:t xml:space="preserve">. AI Act Art. 10 then adds an affirmative</w:t>
      </w:r>
      <w:r>
        <w:t xml:space="preserve"> </w:t>
      </w:r>
      <w:r>
        <w:rPr>
          <w:iCs/>
          <w:i/>
        </w:rPr>
        <w:t xml:space="preserve">obligation</w:t>
      </w:r>
      <w:r>
        <w:t xml:space="preserve"> </w:t>
      </w:r>
      <w:r>
        <w:t xml:space="preserve">about the provenance, representativeness and bias characteristics of that data — with no analogue for conventional software.</w:t>
      </w:r>
    </w:p>
    <w:p>
      <w:pPr>
        <w:pStyle w:val="BodyText"/>
      </w:pPr>
      <w:r>
        <w:rPr>
          <w:bCs/>
          <w:b/>
        </w:rPr>
        <w:t xml:space="preserve">(v) Explainability meets the reasoned-decision requirement of administrative and examination law.</w:t>
      </w:r>
      <w:r>
        <w:t xml:space="preserve"> </w:t>
      </w:r>
      <w:r>
        <w:t xml:space="preserve">Two demands converge. Under the GDPR,</w:t>
      </w:r>
      <w:r>
        <w:t xml:space="preserve"> </w:t>
      </w:r>
      <w:r>
        <w:rPr>
          <w:iCs/>
          <w:i/>
        </w:rPr>
        <w:t xml:space="preserve">Dun &amp; Bradstreet</w:t>
      </w:r>
      <w:r>
        <w:t xml:space="preserve"> </w:t>
      </w:r>
      <w:r>
        <w:t xml:space="preserve">requires the</w:t>
      </w:r>
      <w:r>
        <w:t xml:space="preserve"> </w:t>
      </w:r>
      <w:r>
        <w:t xml:space="preserve">“</w:t>
      </w:r>
      <w:r>
        <w:t xml:space="preserve">procedure and principles actually applied</w:t>
      </w:r>
      <w:r>
        <w:t xml:space="preserve">”</w:t>
      </w:r>
      <w:r>
        <w:t xml:space="preserve">. Under German examination law, the examiner must give reasons capable of judicial review and must</w:t>
      </w:r>
      <w:r>
        <w:t xml:space="preserve"> </w:t>
      </w:r>
      <w:r>
        <w:rPr>
          <w:iCs/>
          <w:i/>
        </w:rPr>
        <w:t xml:space="preserve">re-exercise</w:t>
      </w:r>
      <w:r>
        <w:t xml:space="preserve"> </w:t>
      </w:r>
      <w:r>
        <w:t xml:space="preserve">judgment on objection in the</w:t>
      </w:r>
      <w:r>
        <w:t xml:space="preserve"> </w:t>
      </w:r>
      <w:r>
        <w:rPr>
          <w:iCs/>
          <w:i/>
        </w:rPr>
        <w:t xml:space="preserve">Überdenkensverfahren</w:t>
      </w:r>
      <w:r>
        <w:t xml:space="preserve"> </w:t>
      </w:r>
      <w:r>
        <w:t xml:space="preserve">— months later. A model that outputs</w:t>
      </w:r>
      <w:r>
        <w:t xml:space="preserve"> </w:t>
      </w:r>
      <w:r>
        <w:t xml:space="preserve">“</w:t>
      </w:r>
      <w:r>
        <w:t xml:space="preserve">7/10</w:t>
      </w:r>
      <w:r>
        <w:t xml:space="preserve">”</w:t>
      </w:r>
      <w:r>
        <w:t xml:space="preserve"> </w:t>
      </w:r>
      <w:r>
        <w:t xml:space="preserve">with no rationale is therefore not merely unhelpful;</w:t>
      </w:r>
      <w:r>
        <w:t xml:space="preserve"> </w:t>
      </w:r>
      <w:r>
        <w:rPr>
          <w:bCs/>
          <w:b/>
        </w:rPr>
        <w:t xml:space="preserve">it prevents the deploying authority from performing its own legal duty</w:t>
      </w:r>
      <w:r>
        <w:t xml:space="preserve">. Per-criterion rationale generation is a legal requirement of such a system, not a feature. Practically this means a durable, exportable per-script audit record: original scan, rubric version, model version, proposal, teacher’s edits, final grade and reasons — which is also what AI Act Art. 12 logging will want.</w:t>
      </w:r>
    </w:p>
    <w:p>
      <w:pPr>
        <w:pStyle w:val="BodyText"/>
      </w:pPr>
      <w:r>
        <w:rPr>
          <w:bCs/>
          <w:b/>
        </w:rPr>
        <w:t xml:space="preserve">(vi) Accuracy and bias become measured, declared and maintained properties.</w:t>
      </w:r>
      <w:r>
        <w:t xml:space="preserve"> </w:t>
      </w:r>
      <w:r>
        <w:t xml:space="preserve">A spreadsheet’s arithmetic is correct or it is a bug. A model’s accuracy is a statistical property subject to AI Act Art. 15 (declared metrics in the instructions for use), Art. 10(2)(f)–(g) (examination for and mitigation of bias), Art. 10(3) (representative, error-free, complete data sets), Art. 10(4) (per-deployment-context validation), and GDPR Art. 5(1)(a) and (d).</w:t>
      </w:r>
      <w:r>
        <w:t xml:space="preserve"> </w:t>
      </w:r>
      <w:r>
        <w:rPr>
          <w:bCs/>
          <w:b/>
        </w:rPr>
        <w:t xml:space="preserve">Nobody has ever had to prove a spreadsheet is unbiased across dialects.</w:t>
      </w:r>
      <w:r>
        <w:t xml:space="preserve"> </w:t>
      </w:r>
      <w:r>
        <w:t xml:space="preserve">A provider must be able to demonstrate that the model is not systematically harsher on non-native syntax, dyslexic orthography or untidy handwriting — and must be able to demonstrate it again after every model update.</w:t>
      </w:r>
    </w:p>
    <w:p>
      <w:pPr>
        <w:pStyle w:val="BodyText"/>
      </w:pPr>
      <w:r>
        <w:rPr>
          <w:bCs/>
          <w:b/>
        </w:rPr>
        <w:t xml:space="preserve">(vii) Automation bias becomes a legal, not merely a UX, problem.</w:t>
      </w:r>
      <w:r>
        <w:t xml:space="preserve"> </w:t>
      </w:r>
      <w:r>
        <w:t xml:space="preserve">This is the synthesis. The same human factor — a teacher’s tendency to accept the machine’s answer — appears in three instruments binding three different parties: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Instrument</w:t>
            </w:r>
          </w:p>
        </w:tc>
        <w:tc>
          <w:tcPr/>
          <w:p>
            <w:pPr>
              <w:pStyle w:val="Compact"/>
              <w:jc w:val="left"/>
            </w:pPr>
            <w:r>
              <w:t xml:space="preserve">Binds</w:t>
            </w:r>
          </w:p>
        </w:tc>
        <w:tc>
          <w:tcPr/>
          <w:p>
            <w:pPr>
              <w:pStyle w:val="Compact"/>
              <w:jc w:val="left"/>
            </w:pPr>
            <w:r>
              <w:t xml:space="preserve">Demands</w:t>
            </w:r>
          </w:p>
        </w:tc>
      </w:tr>
      <w:tr>
        <w:tc>
          <w:tcPr/>
          <w:p>
            <w:pPr>
              <w:pStyle w:val="Compact"/>
              <w:jc w:val="left"/>
            </w:pPr>
            <w:r>
              <w:t xml:space="preserve">GDPR Art. 22 + WP251rev.01 (</w:t>
            </w:r>
            <w:r>
              <w:rPr>
                <w:iCs/>
                <w:i/>
              </w:rPr>
              <w:t xml:space="preserve">“</w:t>
            </w:r>
            <w:r>
              <w:rPr>
                <w:iCs/>
                <w:i/>
              </w:rPr>
              <w:t xml:space="preserve">meaningful, rather than just a token gesture</w:t>
            </w:r>
            <w:r>
              <w:rPr>
                <w:iCs/>
                <w:i/>
              </w:rPr>
              <w:t xml:space="preserve">”</w:t>
            </w:r>
            <w:r>
              <w:t xml:space="preserve">)</w:t>
            </w:r>
          </w:p>
        </w:tc>
        <w:tc>
          <w:tcPr/>
          <w:p>
            <w:pPr>
              <w:pStyle w:val="Compact"/>
              <w:jc w:val="left"/>
            </w:pPr>
            <w:r>
              <w:t xml:space="preserve">the controller (the school)</w:t>
            </w:r>
          </w:p>
        </w:tc>
        <w:tc>
          <w:tcPr/>
          <w:p>
            <w:pPr>
              <w:pStyle w:val="Compact"/>
              <w:jc w:val="left"/>
            </w:pPr>
            <w:r>
              <w:t xml:space="preserve">that review be real</w:t>
            </w:r>
          </w:p>
        </w:tc>
      </w:tr>
      <w:tr>
        <w:tc>
          <w:tcPr/>
          <w:p>
            <w:pPr>
              <w:pStyle w:val="Compact"/>
              <w:jc w:val="left"/>
            </w:pPr>
            <w:r>
              <w:t xml:space="preserve">CJEU C-634/21</w:t>
            </w:r>
            <w:r>
              <w:t xml:space="preserve"> </w:t>
            </w:r>
            <w:r>
              <w:rPr>
                <w:iCs/>
                <w:i/>
              </w:rPr>
              <w:t xml:space="preserve">SCHUFA</w:t>
            </w:r>
            <w:r>
              <w:t xml:space="preserve"> </w:t>
            </w:r>
            <w:r>
              <w:t xml:space="preserve">(</w:t>
            </w:r>
            <w:r>
              <w:t xml:space="preserve">“</w:t>
            </w:r>
            <w:r>
              <w:t xml:space="preserve">draws strongly on</w:t>
            </w:r>
            <w:r>
              <w:t xml:space="preserve">”</w:t>
            </w:r>
            <w:r>
              <w:t xml:space="preserve">)</w:t>
            </w:r>
          </w:p>
        </w:tc>
        <w:tc>
          <w:tcPr/>
          <w:p>
            <w:pPr>
              <w:pStyle w:val="Compact"/>
              <w:jc w:val="left"/>
            </w:pPr>
            <w:r>
              <w:t xml:space="preserve">both</w:t>
            </w:r>
          </w:p>
        </w:tc>
        <w:tc>
          <w:tcPr/>
          <w:p>
            <w:pPr>
              <w:pStyle w:val="Compact"/>
              <w:jc w:val="left"/>
            </w:pPr>
            <w:r>
              <w:t xml:space="preserve">that reliance not be de facto determinative</w:t>
            </w:r>
          </w:p>
        </w:tc>
      </w:tr>
      <w:tr>
        <w:tc>
          <w:tcPr/>
          <w:p>
            <w:pPr>
              <w:pStyle w:val="Compact"/>
              <w:jc w:val="left"/>
            </w:pPr>
            <w:r>
              <w:t xml:space="preserve">AI Act Art. 14(4)(b) + Art. 26(2)</w:t>
            </w:r>
          </w:p>
        </w:tc>
        <w:tc>
          <w:tcPr/>
          <w:p>
            <w:pPr>
              <w:pStyle w:val="Compact"/>
              <w:jc w:val="left"/>
            </w:pPr>
            <w:r>
              <w:t xml:space="preserve">the provider (design) and the deployer (staffing)</w:t>
            </w:r>
          </w:p>
        </w:tc>
        <w:tc>
          <w:tcPr/>
          <w:p>
            <w:pPr>
              <w:pStyle w:val="Compact"/>
              <w:jc w:val="left"/>
            </w:pPr>
            <w:r>
              <w:t xml:space="preserve">that the system be</w:t>
            </w:r>
            <w:r>
              <w:t xml:space="preserve"> </w:t>
            </w:r>
            <w:r>
              <w:rPr>
                <w:iCs/>
                <w:i/>
              </w:rPr>
              <w:t xml:space="preserve">designed</w:t>
            </w:r>
            <w:r>
              <w:t xml:space="preserve"> </w:t>
            </w:r>
            <w:r>
              <w:t xml:space="preserve">to counter it and the humans be competent and empowered</w:t>
            </w:r>
          </w:p>
        </w:tc>
      </w:tr>
    </w:tbl>
    <w:p>
      <w:pPr>
        <w:pStyle w:val="BodyText"/>
      </w:pPr>
      <w:r>
        <w:t xml:space="preserve">So an interface decision — where the number appears, how many clicks acceptance takes — is simultaneously the determinant of whether the school is inside Art. 22, an Art. 14 design requirement on the provider, an Art. 26(2) staffing requirement on the school, and the evidence base under Art. 12 that either supports or destroys the argument if it is ever tested.</w:t>
      </w:r>
      <w:r>
        <w:t xml:space="preserve"> </w:t>
      </w:r>
      <w:r>
        <w:rPr>
          <w:bCs/>
          <w:b/>
        </w:rPr>
        <w:t xml:space="preserve">In a spreadsheet the interface is a usability question. Here the interface</w:t>
      </w:r>
      <w:r>
        <w:rPr>
          <w:bCs/>
          <w:b/>
        </w:rPr>
        <w:t xml:space="preserve"> </w:t>
      </w:r>
      <w:r>
        <w:rPr>
          <w:iCs/>
          <w:i/>
          <w:bCs/>
          <w:b/>
        </w:rPr>
        <w:t xml:space="preserve">is</w:t>
      </w:r>
      <w:r>
        <w:rPr>
          <w:bCs/>
          <w:b/>
        </w:rPr>
        <w:t xml:space="preserve"> </w:t>
      </w:r>
      <w:r>
        <w:rPr>
          <w:bCs/>
          <w:b/>
        </w:rPr>
        <w:t xml:space="preserve">the compliance posture.</w:t>
      </w:r>
    </w:p>
    <w:bookmarkEnd w:id="55"/>
    <w:bookmarkStart w:id="61" w:name="X46d3f5f50202e2c09063b55cc562db40215e2c9"/>
    <w:p>
      <w:pPr>
        <w:pStyle w:val="Heading2"/>
      </w:pPr>
      <w:r>
        <w:t xml:space="preserve">7. Question 5 — Can a teacher use the service, or must the school authorise it?</w:t>
      </w:r>
    </w:p>
    <w:p>
      <w:pPr>
        <w:pStyle w:val="FirstParagraph"/>
      </w:pPr>
      <w:r>
        <w:rPr>
          <w:bCs/>
          <w:b/>
        </w:rPr>
        <w:t xml:space="preserve">Short answer: no teacher can lawfully sign up alone, in any of the three countries. The exposure falls primarily on the teacher personally and on the institution, not on the provider.</w:t>
      </w:r>
    </w:p>
    <w:bookmarkStart w:id="56" w:name="germany"/>
    <w:p>
      <w:pPr>
        <w:pStyle w:val="Heading3"/>
      </w:pPr>
      <w:r>
        <w:t xml:space="preserve">7.1 Germany</w:t>
      </w:r>
    </w:p>
    <w:p>
      <w:pPr>
        <w:pStyle w:val="FirstParagraph"/>
      </w:pPr>
      <w:r>
        <w:rPr>
          <w:bCs/>
          <w:b/>
        </w:rPr>
        <w:t xml:space="preserve">Who is the controller.</w:t>
      </w:r>
      <w:r>
        <w:t xml:space="preserve"> </w:t>
      </w:r>
      <w:r>
        <w:t xml:space="preserve">The school. NRW says so expressly, even for processing on a teacher’s private device:</w:t>
      </w:r>
      <w:r>
        <w:t xml:space="preserve"> </w:t>
      </w:r>
      <w:r>
        <w:rPr>
          <w:iCs/>
          <w:i/>
        </w:rPr>
        <w:t xml:space="preserve">“</w:t>
      </w:r>
      <w:r>
        <w:rPr>
          <w:iCs/>
          <w:i/>
        </w:rPr>
        <w:t xml:space="preserve">ist die Schule Verantwortlicher im Sinne des Artikels 4 Nummer 7 der DSGVO</w:t>
      </w:r>
      <w:r>
        <w:rPr>
          <w:iCs/>
          <w:i/>
        </w:rPr>
        <w:t xml:space="preserve">”</w:t>
      </w:r>
      <w:r>
        <w:t xml:space="preserve"> </w:t>
      </w:r>
      <w:r>
        <w:t xml:space="preserve">(§ 2(2) VO-DV I), and the Schulleitung bears the overall data-protection responsibility. Bavaria:</w:t>
      </w:r>
      <w:r>
        <w:t xml:space="preserve"> </w:t>
      </w:r>
      <w:r>
        <w:rPr>
          <w:iCs/>
          <w:i/>
        </w:rPr>
        <w:t xml:space="preserve">“</w:t>
      </w:r>
      <w:r>
        <w:rPr>
          <w:iCs/>
          <w:i/>
        </w:rPr>
        <w:t xml:space="preserve">jede bayerische öffentliche Schule als datenschutzrechtlich verantwortliche Stelle</w:t>
      </w:r>
      <w:r>
        <w:rPr>
          <w:iCs/>
          <w:i/>
        </w:rPr>
        <w:t xml:space="preserve">”</w:t>
      </w:r>
      <w:r>
        <w:t xml:space="preserve">. Niedersachsen conditions platform use on</w:t>
      </w:r>
      <w:r>
        <w:t xml:space="preserve"> </w:t>
      </w:r>
      <w:r>
        <w:rPr>
          <w:iCs/>
          <w:i/>
        </w:rPr>
        <w:t xml:space="preserve">“</w:t>
      </w:r>
      <w:r>
        <w:rPr>
          <w:iCs/>
          <w:i/>
        </w:rPr>
        <w:t xml:space="preserve">die Schulleitung dem Einsatz zugestimmt hat</w:t>
      </w:r>
      <w:r>
        <w:rPr>
          <w:iCs/>
          <w:i/>
        </w:rPr>
        <w:t xml:space="preserve">”</w:t>
      </w:r>
      <w:r>
        <w:t xml:space="preserve"> </w:t>
      </w:r>
      <w:r>
        <w:t xml:space="preserve">(§ 31(5) NSchG). The DSK’s general formulation is</w:t>
      </w:r>
      <w:r>
        <w:t xml:space="preserve"> </w:t>
      </w:r>
      <w:r>
        <w:rPr>
          <w:iCs/>
          <w:i/>
        </w:rPr>
        <w:t xml:space="preserve">“</w:t>
      </w:r>
      <w:r>
        <w:rPr>
          <w:iCs/>
          <w:i/>
        </w:rPr>
        <w:t xml:space="preserve">Maßgeblich ist, welche Stelle über den grundsätzlichen Einsatz … und die näheren Umstände der Umsetzung verantwortlich entscheidet.</w:t>
      </w:r>
      <w:r>
        <w:rPr>
          <w:iCs/>
          <w:i/>
        </w:rPr>
        <w:t xml:space="preserve">”</w:t>
      </w:r>
    </w:p>
    <w:p>
      <w:pPr>
        <w:pStyle w:val="BodyText"/>
      </w:pPr>
      <w:r>
        <w:t xml:space="preserve">Note the</w:t>
      </w:r>
      <w:r>
        <w:t xml:space="preserve"> </w:t>
      </w:r>
      <w:r>
        <w:rPr>
          <w:bCs/>
          <w:b/>
        </w:rPr>
        <w:t xml:space="preserve">Schulträger split</w:t>
      </w:r>
      <w:r>
        <w:t xml:space="preserve">: the Schulträger (municipality) supplies the</w:t>
      </w:r>
      <w:r>
        <w:t xml:space="preserve"> </w:t>
      </w:r>
      <w:r>
        <w:rPr>
          <w:iCs/>
          <w:i/>
        </w:rPr>
        <w:t xml:space="preserve">äußere Schulangelegenheiten</w:t>
      </w:r>
      <w:r>
        <w:t xml:space="preserve"> </w:t>
      </w:r>
      <w:r>
        <w:t xml:space="preserve">— buildings, hardware, network — while teaching and assessment sit with the school and the Land.</w:t>
      </w:r>
      <w:r>
        <w:t xml:space="preserve"> </w:t>
      </w:r>
      <w:r>
        <w:rPr>
          <w:bCs/>
          <w:b/>
        </w:rPr>
        <w:t xml:space="preserve">Marking is squarely an inner matter; the Schulträger is not the contracting counterparty even though it may own the devices.</w:t>
      </w:r>
      <w:r>
        <w:t xml:space="preserve"> </w:t>
      </w:r>
      <w:r>
        <w:t xml:space="preserve">Confusing the two is a common and costly error.</w:t>
      </w:r>
    </w:p>
    <w:p>
      <w:pPr>
        <w:pStyle w:val="BodyText"/>
      </w:pPr>
      <w:r>
        <w:rPr>
          <w:bCs/>
          <w:b/>
        </w:rPr>
        <w:t xml:space="preserve">The teacher is inside the controller, not a controller.</w:t>
      </w:r>
      <w:r>
        <w:t xml:space="preserve"> </w:t>
      </w:r>
      <w:r>
        <w:t xml:space="preserve">A teacher is a</w:t>
      </w:r>
      <w:r>
        <w:t xml:space="preserve"> </w:t>
      </w:r>
      <w:r>
        <w:rPr>
          <w:iCs/>
          <w:i/>
        </w:rPr>
        <w:t xml:space="preserve">Beschäftigter</w:t>
      </w:r>
      <w:r>
        <w:t xml:space="preserve"> </w:t>
      </w:r>
      <w:r>
        <w:t xml:space="preserve">under Art. 29 GDPR, acting on instructions. Three consequences:</w:t>
      </w:r>
    </w:p>
    <w:p>
      <w:pPr>
        <w:numPr>
          <w:ilvl w:val="0"/>
          <w:numId w:val="1009"/>
        </w:numPr>
        <w:pStyle w:val="Compact"/>
      </w:pPr>
      <w:r>
        <w:rPr>
          <w:bCs/>
          <w:b/>
        </w:rPr>
        <w:t xml:space="preserve">A teacher cannot conclude an Art. 28 agreement.</w:t>
      </w:r>
      <w:r>
        <w:t xml:space="preserve"> </w:t>
      </w:r>
      <w:r>
        <w:t xml:space="preserve">A processing agreement binds the controller; a teacher without</w:t>
      </w:r>
      <w:r>
        <w:t xml:space="preserve"> </w:t>
      </w:r>
      <w:r>
        <w:rPr>
          <w:iCs/>
          <w:i/>
        </w:rPr>
        <w:t xml:space="preserve">Vertretungsmacht</w:t>
      </w:r>
      <w:r>
        <w:t xml:space="preserve"> </w:t>
      </w:r>
      <w:r>
        <w:t xml:space="preserve">cannot bind the school or the Land. A click-wrap</w:t>
      </w:r>
      <w:r>
        <w:t xml:space="preserve"> </w:t>
      </w:r>
      <w:r>
        <w:t xml:space="preserve">“</w:t>
      </w:r>
      <w:r>
        <w:t xml:space="preserve">AVV</w:t>
      </w:r>
      <w:r>
        <w:t xml:space="preserve">”</w:t>
      </w:r>
      <w:r>
        <w:t xml:space="preserve"> </w:t>
      </w:r>
      <w:r>
        <w:t xml:space="preserve">accepted by a teacher is void as against the controller — which leaves the transfer of pupil data to the provider with</w:t>
      </w:r>
      <w:r>
        <w:t xml:space="preserve"> </w:t>
      </w:r>
      <w:r>
        <w:rPr>
          <w:bCs/>
          <w:b/>
        </w:rPr>
        <w:t xml:space="preserve">no Art. 28 basis at all</w:t>
      </w:r>
      <w:r>
        <w:t xml:space="preserve">, i.e. an unlawful disclosure to a third party rather than processing on behalf.</w:t>
      </w:r>
    </w:p>
    <w:p>
      <w:pPr>
        <w:numPr>
          <w:ilvl w:val="0"/>
          <w:numId w:val="1009"/>
        </w:numPr>
        <w:pStyle w:val="Compact"/>
      </w:pPr>
      <w:r>
        <w:rPr>
          <w:bCs/>
          <w:b/>
        </w:rPr>
        <w:t xml:space="preserve">Verbot mit Erlaubnisvorbehalt.</w:t>
      </w:r>
      <w:r>
        <w:t xml:space="preserve"> </w:t>
      </w:r>
      <w:r>
        <w:t xml:space="preserve">The ordinances enumerate permitted data and permitted processing. Anything outside is prohibited unless separately justified, and a teacher cannot self-authorise.</w:t>
      </w:r>
    </w:p>
    <w:p>
      <w:pPr>
        <w:numPr>
          <w:ilvl w:val="0"/>
          <w:numId w:val="1009"/>
        </w:numPr>
        <w:pStyle w:val="Compact"/>
      </w:pPr>
      <w:r>
        <w:rPr>
          <w:bCs/>
          <w:b/>
        </w:rPr>
        <w:t xml:space="preserve">Private-device processing requires written authorisation</w:t>
      </w:r>
      <w:r>
        <w:t xml:space="preserve"> </w:t>
      </w:r>
      <w:r>
        <w:t xml:space="preserve">by the Schulleitung, with an Art. 30 record and adequate access protection (NRW); in Bavaria processing for school purposes is in principle permitted only on school devices.</w:t>
      </w:r>
    </w:p>
    <w:p>
      <w:pPr>
        <w:pStyle w:val="FirstParagraph"/>
      </w:pPr>
      <w:r>
        <w:t xml:space="preserve">The DSK’s 2018</w:t>
      </w:r>
      <w:r>
        <w:t xml:space="preserve"> </w:t>
      </w:r>
      <w:r>
        <w:rPr>
          <w:iCs/>
          <w:i/>
        </w:rPr>
        <w:t xml:space="preserve">Orientierungshilfe Online-Lernplattformen</w:t>
      </w:r>
      <w:r>
        <w:t xml:space="preserve"> </w:t>
      </w:r>
      <w:r>
        <w:t xml:space="preserve">is the most directly on-point supervisory text:</w:t>
      </w:r>
    </w:p>
    <w:p>
      <w:pPr>
        <w:pStyle w:val="BlockText"/>
      </w:pPr>
      <w:r>
        <w:rPr>
          <w:iCs/>
          <w:i/>
        </w:rPr>
        <w:t xml:space="preserve">“</w:t>
      </w:r>
      <w:r>
        <w:rPr>
          <w:iCs/>
          <w:i/>
        </w:rPr>
        <w:t xml:space="preserve">Lehrende dürfen im Rahmen der Freiheit der Gestaltung des Unterrichts nur insoweit Online-Lernplattformen im Unterricht einsetzen, als die Schule oder die Schulaufsicht über den Einsatz der jeweiligen Online-Lernplattform entschieden hat.</w:t>
      </w:r>
      <w:r>
        <w:rPr>
          <w:iCs/>
          <w:i/>
        </w:rPr>
        <w:t xml:space="preserve">”</w:t>
      </w:r>
    </w:p>
    <w:p>
      <w:pPr>
        <w:pStyle w:val="FirstParagraph"/>
      </w:pPr>
      <w:r>
        <w:rPr>
          <w:bCs/>
          <w:b/>
        </w:rPr>
        <w:t xml:space="preserve">Personal exposure — real, but state it accurately.</w:t>
      </w:r>
      <w:r>
        <w:t xml:space="preserve"> </w:t>
      </w:r>
      <w:r>
        <w:t xml:space="preserve">Grades and pupil assessments fall under the official-secrecy duty (§ 37 BeamtStG for Beamte, equivalent contractual duties otherwise). Disclosure to an unauthorised third party is a breach of duty and, at the criminal margin, engages</w:t>
      </w:r>
      <w:r>
        <w:t xml:space="preserve"> </w:t>
      </w:r>
      <w:r>
        <w:rPr>
          <w:bCs/>
          <w:b/>
        </w:rPr>
        <w:t xml:space="preserve">§ 203(2) StGB</w:t>
      </w:r>
      <w:r>
        <w:t xml:space="preserve">. In NRW, § 10 VO-DV I additionally contains an</w:t>
      </w:r>
      <w:r>
        <w:t xml:space="preserve"> </w:t>
      </w:r>
      <w:r>
        <w:rPr>
          <w:iCs/>
          <w:i/>
        </w:rPr>
        <w:t xml:space="preserve">Ordnungswidrigkeiten</w:t>
      </w:r>
      <w:r>
        <w:t xml:space="preserve"> </w:t>
      </w:r>
      <w:r>
        <w:t xml:space="preserve">provision.</w:t>
      </w:r>
    </w:p>
    <w:p>
      <w:pPr>
        <w:pStyle w:val="BodyText"/>
      </w:pPr>
      <w:r>
        <w:rPr>
          <w:bCs/>
          <w:b/>
        </w:rPr>
        <w:t xml:space="preserve">What that does not mean.</w:t>
      </w:r>
      <w:r>
        <w:t xml:space="preserve"> </w:t>
      </w:r>
      <w:r>
        <w:t xml:space="preserve">It does not follow that a teacher personally carries the financial consequences of a wrong mark.</w:t>
      </w:r>
      <w:r>
        <w:t xml:space="preserve"> </w:t>
      </w:r>
      <w:r>
        <w:rPr>
          <w:bCs/>
          <w:b/>
        </w:rPr>
        <w:t xml:space="preserve">Art. 34 GG</w:t>
      </w:r>
      <w:r>
        <w:t xml:space="preserve"> </w:t>
      </w:r>
      <w:r>
        <w:t xml:space="preserve">places liability for breaches of official duty on the state or public body, with recourse against the official only for</w:t>
      </w:r>
      <w:r>
        <w:t xml:space="preserve"> </w:t>
      </w:r>
      <w:r>
        <w:rPr>
          <w:bCs/>
          <w:b/>
        </w:rPr>
        <w:t xml:space="preserve">intent or gross negligence</w:t>
      </w:r>
      <w:r>
        <w:t xml:space="preserve">. This correction matters in both directions: it is why the claim in one of the NRW submissions that teachers alone bear liability is overstated (§5.12), and it is why the realistic civil exposure for a systematic grading failure runs</w:t>
      </w:r>
      <w:r>
        <w:t xml:space="preserve"> </w:t>
      </w:r>
      <w:r>
        <w:rPr>
          <w:iCs/>
          <w:i/>
        </w:rPr>
        <w:t xml:space="preserve">state → recourse → vendor</w:t>
      </w:r>
      <w:r>
        <w:t xml:space="preserve">, which is the structure the contract between the institution and the provider has to anticipate (§4.7). The teacher’s genuine personal risk is disciplinary and, at the margin, criminal — not damages.</w:t>
      </w:r>
    </w:p>
    <w:p>
      <w:pPr>
        <w:pStyle w:val="BodyText"/>
      </w:pPr>
      <w:r>
        <w:rPr>
          <w:bCs/>
          <w:b/>
        </w:rPr>
        <w:t xml:space="preserve">Verdict.</w:t>
      </w:r>
      <w:r>
        <w:t xml:space="preserve"> </w:t>
      </w:r>
      <w:r>
        <w:t xml:space="preserve">Use of such a service by an individual teacher on real pupil scripts, without institutional authorisation, is unlawful. There is no Art. 28 basis, the processing falls outside what the Land ordinance permits, and the consequences land on the teacher personally and on the school rather than on the provider.</w:t>
      </w:r>
    </w:p>
    <w:bookmarkEnd w:id="56"/>
    <w:bookmarkStart w:id="57" w:name="X3b1e42829ab14f458c41d28445a9cf0ffc4fdca"/>
    <w:p>
      <w:pPr>
        <w:pStyle w:val="Heading3"/>
      </w:pPr>
      <w:r>
        <w:t xml:space="preserve">7.2 Does anonymisation rescue it? Almost certainly not</w:t>
      </w:r>
    </w:p>
    <w:p>
      <w:pPr>
        <w:pStyle w:val="FirstParagraph"/>
      </w:pPr>
      <w:r>
        <w:t xml:space="preserve">The theory is sound — fully anonymised scripts, no identifiers, teacher acting as a private person — but the execution fails on handwriting.</w:t>
      </w:r>
    </w:p>
    <w:p>
      <w:pPr>
        <w:numPr>
          <w:ilvl w:val="0"/>
          <w:numId w:val="1010"/>
        </w:numPr>
        <w:pStyle w:val="Compact"/>
      </w:pPr>
      <w:r>
        <w:rPr>
          <w:bCs/>
          <w:b/>
        </w:rPr>
        <w:t xml:space="preserve">Handwriting is a persistent, individual, re-identifying trait.</w:t>
      </w:r>
      <w:r>
        <w:t xml:space="preserve"> </w:t>
      </w:r>
      <w:r>
        <w:t xml:space="preserve">Stripping the name does not anonymise the image. Within a class of 25–30 the hand alone identifies, and the recipient of the output is the teacher, who knows every hand in the room.</w:t>
      </w:r>
    </w:p>
    <w:p>
      <w:pPr>
        <w:numPr>
          <w:ilvl w:val="0"/>
          <w:numId w:val="1010"/>
        </w:numPr>
        <w:pStyle w:val="Compact"/>
      </w:pPr>
      <w:r>
        <w:rPr>
          <w:bCs/>
          <w:b/>
        </w:rPr>
        <w:t xml:space="preserve">Recital 26 asks whether identification is reasonably likely for anyone, including the recipient.</w:t>
      </w:r>
      <w:r>
        <w:t xml:space="preserve"> </w:t>
      </w:r>
      <w:r>
        <w:t xml:space="preserve">Here identification is not merely likely; it is the purpose. The DKJS memorandum reportedly makes the same point: the teacher re-identifies at the moment of awarding the grade.</w:t>
      </w:r>
    </w:p>
    <w:p>
      <w:pPr>
        <w:numPr>
          <w:ilvl w:val="0"/>
          <w:numId w:val="1010"/>
        </w:numPr>
        <w:pStyle w:val="Compact"/>
      </w:pPr>
      <w:r>
        <w:rPr>
          <w:bCs/>
          <w:b/>
        </w:rPr>
        <w:t xml:space="preserve">Content re-identifies.</w:t>
      </w:r>
      <w:r>
        <w:t xml:space="preserve"> </w:t>
      </w:r>
      <w:r>
        <w:t xml:space="preserve">Essays contain personal detail; mathematics working contains idiosyncratic errors.</w:t>
      </w:r>
    </w:p>
    <w:p>
      <w:pPr>
        <w:numPr>
          <w:ilvl w:val="0"/>
          <w:numId w:val="1010"/>
        </w:numPr>
        <w:pStyle w:val="Compact"/>
      </w:pPr>
      <w:r>
        <w:rPr>
          <w:bCs/>
          <w:b/>
        </w:rPr>
        <w:t xml:space="preserve">Art. 9 overlay.</w:t>
      </w:r>
      <w:r>
        <w:t xml:space="preserve"> </w:t>
      </w:r>
      <w:r>
        <w:t xml:space="preserve">Handwriting and error patterns can disclose dyslexia, dyscalculia or motor impairment — health data, intended or not.</w:t>
      </w:r>
    </w:p>
    <w:p>
      <w:pPr>
        <w:pStyle w:val="FirstParagraph"/>
      </w:pPr>
      <w:r>
        <w:rPr>
          <w:bCs/>
          <w:b/>
        </w:rPr>
        <w:t xml:space="preserve">The narrow version that does hold up:</w:t>
      </w:r>
      <w:r>
        <w:t xml:space="preserve"> </w:t>
      </w:r>
      <w:r>
        <w:t xml:space="preserve">typed input with all identifiers removed and no per-pupil linkage; and, for the teacher acting privately, rubric drafting, model-answer generation, item design and calibration on synthetic scripts.</w:t>
      </w:r>
      <w:r>
        <w:t xml:space="preserve"> </w:t>
      </w:r>
      <w:r>
        <w:rPr>
          <w:bCs/>
          <w:b/>
        </w:rPr>
        <w:t xml:space="preserve">No real pupil work.</w:t>
      </w:r>
      <w:r>
        <w:t xml:space="preserve"> </w:t>
      </w:r>
      <w:r>
        <w:t xml:space="preserve">That use is lawful without institutional authorisation.</w:t>
      </w:r>
    </w:p>
    <w:bookmarkEnd w:id="57"/>
    <w:bookmarkStart w:id="58" w:name="united-kingdom"/>
    <w:p>
      <w:pPr>
        <w:pStyle w:val="Heading3"/>
      </w:pPr>
      <w:r>
        <w:t xml:space="preserve">7.3 United Kingdom</w:t>
      </w:r>
    </w:p>
    <w:p>
      <w:pPr>
        <w:pStyle w:val="FirstParagraph"/>
      </w:pPr>
      <w:r>
        <w:t xml:space="preserve">Same destination, slightly different route. The controller is the</w:t>
      </w:r>
      <w:r>
        <w:t xml:space="preserve"> </w:t>
      </w:r>
      <w:r>
        <w:rPr>
          <w:bCs/>
          <w:b/>
        </w:rPr>
        <w:t xml:space="preserve">governing body</w:t>
      </w:r>
      <w:r>
        <w:t xml:space="preserve"> </w:t>
      </w:r>
      <w:r>
        <w:t xml:space="preserve">(maintained school), the</w:t>
      </w:r>
      <w:r>
        <w:t xml:space="preserve"> </w:t>
      </w:r>
      <w:r>
        <w:rPr>
          <w:bCs/>
          <w:b/>
        </w:rPr>
        <w:t xml:space="preserve">academy trust</w:t>
      </w:r>
      <w:r>
        <w:t xml:space="preserve"> </w:t>
      </w:r>
      <w:r>
        <w:t xml:space="preserve">(academies — the trust signs, not the school), the institution (independent, FE, HE), and in</w:t>
      </w:r>
      <w:r>
        <w:t xml:space="preserve"> </w:t>
      </w:r>
      <w:r>
        <w:rPr>
          <w:bCs/>
          <w:b/>
        </w:rPr>
        <w:t xml:space="preserve">Scotland the local authority</w:t>
      </w:r>
      <w:r>
        <w:t xml:space="preserve">. DfE:</w:t>
      </w:r>
      <w:r>
        <w:t xml:space="preserve"> </w:t>
      </w:r>
      <w:r>
        <w:rPr>
          <w:iCs/>
          <w:i/>
        </w:rPr>
        <w:t xml:space="preserve">“</w:t>
      </w:r>
      <w:r>
        <w:rPr>
          <w:iCs/>
          <w:i/>
        </w:rPr>
        <w:t xml:space="preserve">the school or the multi-academy trust is the data controller</w:t>
      </w:r>
      <w:r>
        <w:rPr>
          <w:iCs/>
          <w:i/>
        </w:rPr>
        <w:t xml:space="preserve">”</w:t>
      </w:r>
      <w:r>
        <w:t xml:space="preserve">;</w:t>
      </w:r>
      <w:r>
        <w:t xml:space="preserve"> </w:t>
      </w:r>
      <w:r>
        <w:rPr>
          <w:iCs/>
          <w:i/>
        </w:rPr>
        <w:t xml:space="preserve">“</w:t>
      </w:r>
      <w:r>
        <w:rPr>
          <w:iCs/>
          <w:i/>
        </w:rPr>
        <w:t xml:space="preserve">the responsibility and accountability for compliance sits with governors and trustees.</w:t>
      </w:r>
      <w:r>
        <w:rPr>
          <w:iCs/>
          <w:i/>
        </w:rPr>
        <w:t xml:space="preserve">”</w:t>
      </w:r>
    </w:p>
    <w:p>
      <w:pPr>
        <w:pStyle w:val="BodyText"/>
      </w:pPr>
      <w:r>
        <w:t xml:space="preserve">A teacher uploading scripts to an unapproved tool is processing outside the controller’s documented instructions. The school remains liable; there is no documented lawful basis for that route, no DPIA, no Art. 28 contract, and the privacy notice does not cover it — so Arts. 5(1)(a), 5(2), 28, 30 and 35 are breached at once, and Art. 9 has no condition.</w:t>
      </w:r>
      <w:r>
        <w:t xml:space="preserve"> </w:t>
      </w:r>
      <w:r>
        <w:rPr>
          <w:bCs/>
          <w:b/>
        </w:rPr>
        <w:t xml:space="preserve">If the assessment is coursework or non-examination assessment, it is additionally a JCQ centre-malpractice matter</w:t>
      </w:r>
      <w:r>
        <w:t xml:space="preserve">, not merely a data matter, because JCQ’s Instructions require that</w:t>
      </w:r>
      <w:r>
        <w:t xml:space="preserve"> </w:t>
      </w:r>
      <w:r>
        <w:rPr>
          <w:iCs/>
          <w:i/>
        </w:rPr>
        <w:t xml:space="preserve">“</w:t>
      </w:r>
      <w:r>
        <w:rPr>
          <w:iCs/>
          <w:i/>
        </w:rPr>
        <w:t xml:space="preserve">Teachers must not use artificial intelligence as the sole means of marking candidates’ work</w:t>
      </w:r>
      <w:r>
        <w:rPr>
          <w:iCs/>
          <w:i/>
        </w:rPr>
        <w:t xml:space="preserve">”</w:t>
      </w:r>
      <w:r>
        <w:t xml:space="preserve">.</w:t>
      </w:r>
    </w:p>
    <w:p>
      <w:pPr>
        <w:pStyle w:val="BodyText"/>
      </w:pPr>
      <w:r>
        <w:t xml:space="preserve">The guidance is explicit to staff. DfE tells them to</w:t>
      </w:r>
      <w:r>
        <w:t xml:space="preserve"> </w:t>
      </w:r>
      <w:r>
        <w:rPr>
          <w:iCs/>
          <w:i/>
        </w:rPr>
        <w:t xml:space="preserve">“</w:t>
      </w:r>
      <w:r>
        <w:rPr>
          <w:iCs/>
          <w:i/>
        </w:rPr>
        <w:t xml:space="preserve">check that the type of tool being used is approved by your school</w:t>
      </w:r>
      <w:r>
        <w:rPr>
          <w:iCs/>
          <w:i/>
        </w:rPr>
        <w:t xml:space="preserve">”</w:t>
      </w:r>
      <w:r>
        <w:t xml:space="preserve"> </w:t>
      </w:r>
      <w:r>
        <w:t xml:space="preserve">and to consult the DPO before entering pupil personal data, warning that doing so</w:t>
      </w:r>
      <w:r>
        <w:t xml:space="preserve"> </w:t>
      </w:r>
      <w:r>
        <w:rPr>
          <w:iCs/>
          <w:i/>
        </w:rPr>
        <w:t xml:space="preserve">“</w:t>
      </w:r>
      <w:r>
        <w:rPr>
          <w:iCs/>
          <w:i/>
        </w:rPr>
        <w:t xml:space="preserve">could result in a data breach</w:t>
      </w:r>
      <w:r>
        <w:rPr>
          <w:iCs/>
          <w:i/>
        </w:rPr>
        <w:t xml:space="preserve">”</w:t>
      </w:r>
      <w:r>
        <w:t xml:space="preserve">. Scotland’s guardrails stop the teacher dead: the checklist asks</w:t>
      </w:r>
      <w:r>
        <w:t xml:space="preserve"> </w:t>
      </w:r>
      <w:r>
        <w:rPr>
          <w:iCs/>
          <w:i/>
        </w:rPr>
        <w:t xml:space="preserve">“</w:t>
      </w:r>
      <w:r>
        <w:rPr>
          <w:iCs/>
          <w:i/>
        </w:rPr>
        <w:t xml:space="preserve">Is the tool approved for use by my local authority</w:t>
      </w:r>
      <w:r>
        <w:rPr>
          <w:iCs/>
          <w:i/>
        </w:rPr>
        <w:t xml:space="preserve">”</w:t>
      </w:r>
      <w:r>
        <w:t xml:space="preserve"> </w:t>
      </w:r>
      <w:r>
        <w:t xml:space="preserve">and instructs that if the answer is no or don’t know,</w:t>
      </w:r>
      <w:r>
        <w:t xml:space="preserve"> </w:t>
      </w:r>
      <w:r>
        <w:rPr>
          <w:iCs/>
          <w:i/>
        </w:rPr>
        <w:t xml:space="preserve">“</w:t>
      </w:r>
      <w:r>
        <w:rPr>
          <w:iCs/>
          <w:i/>
        </w:rPr>
        <w:t xml:space="preserve">you should not use AI for this purpose</w:t>
      </w:r>
      <w:r>
        <w:rPr>
          <w:iCs/>
          <w:i/>
        </w:rPr>
        <w:t xml:space="preserve">”</w:t>
      </w:r>
      <w:r>
        <w:t xml:space="preserve">. Northern Ireland is absolute — only two GenAI tools are approved within the EdIS/C2k service (Microsoft Copilot for Office 365 and Google Gemini for Education, both with EA-completed DPIAs), anything else requires a DPIA and DPO consultation, and staff must complete mandatory training first. Wales requires a DPIA and DPO consultation before deploying any AI tool.</w:t>
      </w:r>
    </w:p>
    <w:p>
      <w:pPr>
        <w:pStyle w:val="BodyText"/>
      </w:pPr>
      <w:r>
        <w:rPr>
          <w:bCs/>
          <w:b/>
        </w:rPr>
        <w:t xml:space="preserve">The provider’s own exposure is larger in the UK than the formal analysis suggests</w:t>
      </w:r>
      <w:r>
        <w:t xml:space="preserve">, because of the ICO’s</w:t>
      </w:r>
      <w:r>
        <w:t xml:space="preserve"> </w:t>
      </w:r>
      <w:r>
        <w:rPr>
          <w:iCs/>
          <w:i/>
        </w:rPr>
        <w:t xml:space="preserve">Edtech examined</w:t>
      </w:r>
      <w:r>
        <w:t xml:space="preserve"> </w:t>
      </w:r>
      <w:r>
        <w:t xml:space="preserve">audit (24 June 2026, 28 providers reaching an estimated 70–90%+ of UK schools, 596 recommendations, 98% accepted). Its headline statement is the one that matters:</w:t>
      </w:r>
      <w:r>
        <w:t xml:space="preserve"> </w:t>
      </w:r>
      <w:r>
        <w:rPr>
          <w:iCs/>
          <w:i/>
        </w:rPr>
        <w:t xml:space="preserve">“</w:t>
      </w:r>
      <w:r>
        <w:rPr>
          <w:iCs/>
          <w:i/>
        </w:rPr>
        <w:t xml:space="preserve">If you determine the purposes and means of processing, you are a controller, regardless of how any contract describes your role.</w:t>
      </w:r>
      <w:r>
        <w:rPr>
          <w:iCs/>
          <w:i/>
        </w:rPr>
        <w:t xml:space="preserve">”</w:t>
      </w:r>
      <w:r>
        <w:t xml:space="preserve"> </w:t>
      </w:r>
      <w:r>
        <w:rPr>
          <w:bCs/>
          <w:b/>
        </w:rPr>
        <w:t xml:space="preserve">A self-service tier accepting pupil scripts without a school contract places the provider in controller territory with no lawful basis and brings the Children’s code into play in full.</w:t>
      </w:r>
    </w:p>
    <w:bookmarkEnd w:id="58"/>
    <w:bookmarkStart w:id="59" w:name="united-states"/>
    <w:p>
      <w:pPr>
        <w:pStyle w:val="Heading3"/>
      </w:pPr>
      <w:r>
        <w:t xml:space="preserve">7.4 United States</w:t>
      </w:r>
    </w:p>
    <w:p>
      <w:pPr>
        <w:pStyle w:val="FirstParagraph"/>
      </w:pPr>
      <w:r>
        <w:t xml:space="preserve">The LEA or institution holds the education records; the teacher is a school official</w:t>
      </w:r>
      <w:r>
        <w:t xml:space="preserve"> </w:t>
      </w:r>
      <w:r>
        <w:rPr>
          <w:iCs/>
          <w:i/>
        </w:rPr>
        <w:t xml:space="preserve">within</w:t>
      </w:r>
      <w:r>
        <w:t xml:space="preserve"> </w:t>
      </w:r>
      <w:r>
        <w:t xml:space="preserve">the institution, with no authority to disclose them outward. A teacher uploading scripts to an unapproved vendor is making a</w:t>
      </w:r>
      <w:r>
        <w:t xml:space="preserve"> </w:t>
      </w:r>
      <w:r>
        <w:rPr>
          <w:bCs/>
          <w:b/>
        </w:rPr>
        <w:t xml:space="preserve">disclosure</w:t>
      </w:r>
      <w:r>
        <w:t xml:space="preserve"> </w:t>
      </w:r>
      <w:r>
        <w:t xml:space="preserve">the institution has not authorised.</w:t>
      </w:r>
    </w:p>
    <w:p>
      <w:pPr>
        <w:pStyle w:val="BodyText"/>
      </w:pPr>
      <w:r>
        <w:t xml:space="preserve">The school-official exception structurally cannot be satisfied by a teacher’s click: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Can a teacher’s acceptance satisfy it?</w:t>
            </w:r>
          </w:p>
        </w:tc>
      </w:tr>
      <w:tr>
        <w:tc>
          <w:tcPr/>
          <w:p>
            <w:pPr>
              <w:pStyle w:val="Compact"/>
              <w:jc w:val="left"/>
            </w:pPr>
            <w:r>
              <w:t xml:space="preserve">34 CFR § 99.31(a)(1)(i)(B)(1) — performs a service the institution would otherwise use employees for</w:t>
            </w:r>
          </w:p>
        </w:tc>
        <w:tc>
          <w:tcPr/>
          <w:p>
            <w:pPr>
              <w:pStyle w:val="Compact"/>
              <w:jc w:val="left"/>
            </w:pPr>
            <w:r>
              <w:t xml:space="preserve">Yes, in substance</w:t>
            </w:r>
          </w:p>
        </w:tc>
      </w:tr>
      <w:tr>
        <w:tc>
          <w:tcPr/>
          <w:p>
            <w:pPr>
              <w:pStyle w:val="Compact"/>
              <w:jc w:val="left"/>
            </w:pPr>
            <w:r>
              <w:t xml:space="preserve">§ 99.31(a)(1)(i)(B)(2) —</w:t>
            </w:r>
            <w:r>
              <w:t xml:space="preserve"> </w:t>
            </w:r>
            <w:r>
              <w:rPr>
                <w:bCs/>
                <w:b/>
              </w:rPr>
              <w:t xml:space="preserve">under the direct control of the institution</w:t>
            </w:r>
            <w:r>
              <w:t xml:space="preserve"> </w:t>
            </w:r>
            <w:r>
              <w:t xml:space="preserve">as to use and maintenance of records</w:t>
            </w:r>
          </w:p>
        </w:tc>
        <w:tc>
          <w:tcPr/>
          <w:p>
            <w:pPr>
              <w:pStyle w:val="Compact"/>
              <w:jc w:val="left"/>
            </w:pPr>
            <w:r>
              <w:rPr>
                <w:bCs/>
                <w:b/>
              </w:rPr>
              <w:t xml:space="preserve">No.</w:t>
            </w:r>
            <w:r>
              <w:t xml:space="preserve"> </w:t>
            </w:r>
            <w:r>
              <w:t xml:space="preserve">A consumer ToS is drafted by the vendor and usually unilaterally amendable; ED’s own guidance says unilateral amendment</w:t>
            </w:r>
            <w:r>
              <w:t xml:space="preserve"> </w:t>
            </w:r>
            <w:r>
              <w:rPr>
                <w:iCs/>
                <w:i/>
              </w:rPr>
              <w:t xml:space="preserve">“</w:t>
            </w:r>
            <w:r>
              <w:rPr>
                <w:iCs/>
                <w:i/>
              </w:rPr>
              <w:t xml:space="preserve">makes it difficult for a school or district to demonstrate direct control</w:t>
            </w:r>
            <w:r>
              <w:rPr>
                <w:iCs/>
                <w:i/>
              </w:rPr>
              <w:t xml:space="preserve">”</w:t>
            </w:r>
          </w:p>
        </w:tc>
      </w:tr>
      <w:tr>
        <w:tc>
          <w:tcPr/>
          <w:p>
            <w:pPr>
              <w:pStyle w:val="Compact"/>
              <w:jc w:val="left"/>
            </w:pPr>
            <w:r>
              <w:t xml:space="preserve">§ 99.31(a)(1)(i)(B)(3) — subject to the § 99.33(a) use and redisclosure limits</w:t>
            </w:r>
          </w:p>
        </w:tc>
        <w:tc>
          <w:tcPr/>
          <w:p>
            <w:pPr>
              <w:pStyle w:val="Compact"/>
              <w:jc w:val="left"/>
            </w:pPr>
            <w:r>
              <w:t xml:space="preserve">Only if the ToS says so; consumer terms usually assert the opposite</w:t>
            </w:r>
          </w:p>
        </w:tc>
      </w:tr>
      <w:tr>
        <w:tc>
          <w:tcPr/>
          <w:p>
            <w:pPr>
              <w:pStyle w:val="Compact"/>
              <w:jc w:val="left"/>
            </w:pPr>
            <w:r>
              <w:t xml:space="preserve">§ 99.7(a)(3)(iii) — institution has specified school-official criteria in its</w:t>
            </w:r>
            <w:r>
              <w:t xml:space="preserve"> </w:t>
            </w:r>
            <w:r>
              <w:rPr>
                <w:bCs/>
                <w:b/>
              </w:rPr>
              <w:t xml:space="preserve">annual notification</w:t>
            </w:r>
          </w:p>
        </w:tc>
        <w:tc>
          <w:tcPr/>
          <w:p>
            <w:pPr>
              <w:pStyle w:val="Compact"/>
              <w:jc w:val="left"/>
            </w:pPr>
            <w:r>
              <w:rPr>
                <w:bCs/>
                <w:b/>
              </w:rPr>
              <w:t xml:space="preserve">No.</w:t>
            </w:r>
            <w:r>
              <w:t xml:space="preserve"> </w:t>
            </w:r>
            <w:r>
              <w:t xml:space="preserve">A teacher cannot amend the district’s FERPA notice</w:t>
            </w:r>
          </w:p>
        </w:tc>
      </w:tr>
      <w:tr>
        <w:tc>
          <w:tcPr/>
          <w:p>
            <w:pPr>
              <w:pStyle w:val="Compact"/>
              <w:jc w:val="left"/>
            </w:pPr>
            <w:r>
              <w:t xml:space="preserve">§ 99.31(a)(1)(ii) — institution uses reasonable methods to limit access</w:t>
            </w:r>
          </w:p>
        </w:tc>
        <w:tc>
          <w:tcPr/>
          <w:p>
            <w:pPr>
              <w:pStyle w:val="Compact"/>
              <w:jc w:val="left"/>
            </w:pPr>
            <w:r>
              <w:rPr>
                <w:bCs/>
                <w:b/>
              </w:rPr>
              <w:t xml:space="preserve">No.</w:t>
            </w:r>
            <w:r>
              <w:t xml:space="preserve"> </w:t>
            </w:r>
            <w:r>
              <w:t xml:space="preserve">The institution does not know the tool exists</w:t>
            </w:r>
          </w:p>
        </w:tc>
      </w:tr>
    </w:tbl>
    <w:p>
      <w:pPr>
        <w:pStyle w:val="BodyText"/>
      </w:pPr>
      <w:r>
        <w:rPr>
          <w:bCs/>
          <w:b/>
        </w:rPr>
        <w:t xml:space="preserve">COPPA compounds it for under-13s.</w:t>
      </w:r>
      <w:r>
        <w:t xml:space="preserve"> </w:t>
      </w:r>
      <w:r>
        <w:t xml:space="preserve">The FTC’s school-authorisation position is a policy statement, not a codified exception — the Commission proposed one in 2024 and then withdrew it pending an ED FERPA rulemaking that has not happened. Its stated principle is that</w:t>
      </w:r>
      <w:r>
        <w:t xml:space="preserve"> </w:t>
      </w:r>
      <w:r>
        <w:rPr>
          <w:iCs/>
          <w:i/>
        </w:rPr>
        <w:t xml:space="preserve">“</w:t>
      </w:r>
      <w:r>
        <w:rPr>
          <w:iCs/>
          <w:i/>
        </w:rPr>
        <w:t xml:space="preserve">ed tech providers cannot outsource compliance responsibilities to schools, or force students to choose between their privacy and education</w:t>
      </w:r>
      <w:r>
        <w:rPr>
          <w:iCs/>
          <w:i/>
        </w:rPr>
        <w:t xml:space="preserve">”</w:t>
      </w:r>
      <w:r>
        <w:t xml:space="preserve">, and the Edmodo order defines</w:t>
      </w:r>
      <w:r>
        <w:t xml:space="preserve"> </w:t>
      </w:r>
      <w:r>
        <w:t xml:space="preserve">“</w:t>
      </w:r>
      <w:r>
        <w:t xml:space="preserve">School</w:t>
      </w:r>
      <w:r>
        <w:t xml:space="preserve">”</w:t>
      </w:r>
      <w:r>
        <w:t xml:space="preserve"> </w:t>
      </w:r>
      <w:r>
        <w:t xml:space="preserve">in the singular. A vendor that takes a teacher’s word for school authorisation is doing what Edmodo did.</w:t>
      </w:r>
    </w:p>
    <w:p>
      <w:pPr>
        <w:pStyle w:val="BodyText"/>
      </w:pPr>
      <w:r>
        <w:rPr>
          <w:bCs/>
          <w:b/>
        </w:rPr>
        <w:t xml:space="preserve">State law is where the teeth are.</w:t>
      </w:r>
      <w:r>
        <w:t xml:space="preserve"> </w:t>
      </w:r>
      <w:r>
        <w:t xml:space="preserve">California SOPIPA binds the</w:t>
      </w:r>
      <w:r>
        <w:t xml:space="preserve"> </w:t>
      </w:r>
      <w:r>
        <w:rPr>
          <w:iCs/>
          <w:i/>
        </w:rPr>
        <w:t xml:space="preserve">operator</w:t>
      </w:r>
      <w:r>
        <w:t xml:space="preserve"> </w:t>
      </w:r>
      <w:r>
        <w:t xml:space="preserve">directly with no contract required; Illinois SOPPA requires a written agreement</w:t>
      </w:r>
      <w:r>
        <w:t xml:space="preserve"> </w:t>
      </w:r>
      <w:r>
        <w:rPr>
          <w:bCs/>
          <w:b/>
        </w:rPr>
        <w:t xml:space="preserve">before</w:t>
      </w:r>
      <w:r>
        <w:t xml:space="preserve"> </w:t>
      </w:r>
      <w:r>
        <w:t xml:space="preserve">receiving covered information and public posting of it — so the absence of a posted agreement for a district whose teachers are using the product is publicly discoverable evidence. New York, Connecticut, Colorado and others impose prescribed clauses and, in Connecticut, publication within five business days.</w:t>
      </w:r>
    </w:p>
    <w:p>
      <w:pPr>
        <w:pStyle w:val="BodyText"/>
      </w:pPr>
      <w:r>
        <w:rPr>
          <w:bCs/>
          <w:b/>
        </w:rPr>
        <w:t xml:space="preserve">The practical reality, stated plainly rather than wished away.</w:t>
      </w:r>
      <w:r>
        <w:t xml:space="preserve"> </w:t>
      </w:r>
      <w:r>
        <w:t xml:space="preserve">US districts accessed an average of</w:t>
      </w:r>
      <w:r>
        <w:t xml:space="preserve"> </w:t>
      </w:r>
      <w:r>
        <w:rPr>
          <w:bCs/>
          <w:b/>
        </w:rPr>
        <w:t xml:space="preserve">2,982 distinct edtech tools</w:t>
      </w:r>
      <w:r>
        <w:t xml:space="preserve"> </w:t>
      </w:r>
      <w:r>
        <w:t xml:space="preserve">in 2024–25, with educators accessing an average of 1,045 monthly. No district vets three thousand tools. The gap between what is accessed and what is contracted is structural. The provider’s exposure in that gap is: holding unlawfully disclosed records with no deletion instruction from anyone with authority; direct operator liability under state statutes regardless of who clicked; COPPA liability for under-13 data with no valid authorisation; and discovery at the worst possible moment — a parent complaint or a breach.</w:t>
      </w:r>
    </w:p>
    <w:bookmarkEnd w:id="59"/>
    <w:bookmarkStart w:id="60" w:name="what-lawful-use-requires"/>
    <w:p>
      <w:pPr>
        <w:pStyle w:val="Heading3"/>
      </w:pPr>
      <w:r>
        <w:t xml:space="preserve">7.5 What lawful use requires</w:t>
      </w:r>
    </w:p>
    <w:p>
      <w:pPr>
        <w:pStyle w:val="FirstParagraph"/>
      </w:pPr>
      <w:r>
        <w:t xml:space="preserve">Use of such a system on identifiable pupil work is lawful only where the conditions below are satisfied. They are conditions on the institution and on the provider; none of them can be satisfied by a teacher acting alone.</w:t>
      </w:r>
    </w:p>
    <w:p>
      <w:pPr>
        <w:pStyle w:val="BodyText"/>
      </w:pPr>
      <w:r>
        <w:rPr>
          <w:bCs/>
          <w:b/>
        </w:rPr>
        <w:t xml:space="preserve">Germany.</w:t>
      </w:r>
      <w:r>
        <w:t xml:space="preserve"> </w:t>
      </w:r>
      <w:r>
        <w:t xml:space="preserve">The body that is controller — the school, and for Land-wide deployment the Land — must decide on the deployment; the Schulleitung’s approval is required (expressly so in Niedersachsen, § 31(5) NSchG, and correspondingly under the other Länder’s ordinances). That body, not the teacher, concludes the Art. 28 processing agreement. The processing must stay within the data and the processing operations the applicable Landesverordnung permits; anything beyond requires a separate legal basis. A data-protection impact assessment under Art. 35 GDPR must be completed before deployment. Where processing is to take place on a teacher’s private device, written authorisation by the Schulleitung, an Art. 30 record and adequate access protection are additionally required, and in Bavaria school-purpose processing is in principle confined to school devices. Staff co-determination applies where the system is capable of monitoring teacher performance: the Personalrat, and at Land level the Hauptpersonalrat, must be involved before introduction (§5.8). Where use is mandatory for pupils, the Schulkonferenz and parent representation are engaged and the Art. 13/14 notices must be updated.</w:t>
      </w:r>
    </w:p>
    <w:p>
      <w:pPr>
        <w:pStyle w:val="BodyText"/>
      </w:pPr>
      <w:r>
        <w:rPr>
          <w:bCs/>
          <w:b/>
        </w:rPr>
        <w:t xml:space="preserve">United Kingdom.</w:t>
      </w:r>
      <w:r>
        <w:t xml:space="preserve"> </w:t>
      </w:r>
      <w:r>
        <w:t xml:space="preserve">The controller — the governing body, the academy trust, the institution, or in Scotland the local authority — must authorise the tool, and the authorisation must come from that body rather than from the individual school or teacher. That body concludes the Art. 28 contract, documents the lawful basis and the Art. 9 condition, completes the data-protection impact assessment before deployment (required expressly in Wales and Northern Ireland, together with DPO consultation), updates the privacy notice, and issues documented instructions covering the processing. In Northern Ireland the tool must additionally be approved within the EdIS/C2k service. Where the assessment is coursework or non-examination assessment, JCQ’s Instructions apply in addition and AI may not be the sole means of marking.</w:t>
      </w:r>
    </w:p>
    <w:p>
      <w:pPr>
        <w:pStyle w:val="BodyText"/>
      </w:pPr>
      <w:r>
        <w:rPr>
          <w:bCs/>
          <w:b/>
        </w:rPr>
        <w:t xml:space="preserve">United States.</w:t>
      </w:r>
      <w:r>
        <w:t xml:space="preserve"> </w:t>
      </w:r>
      <w:r>
        <w:t xml:space="preserve">The institution must designate the vendor as a school official in its</w:t>
      </w:r>
      <w:r>
        <w:t xml:space="preserve"> </w:t>
      </w:r>
      <w:r>
        <w:rPr>
          <w:bCs/>
          <w:b/>
        </w:rPr>
        <w:t xml:space="preserve">annual FERPA notification</w:t>
      </w:r>
      <w:r>
        <w:t xml:space="preserve"> </w:t>
      </w:r>
      <w:r>
        <w:t xml:space="preserve">under 34 CFR § 99.7(a)(3)(iii), keep the vendor under its direct control as to the use and maintenance of the records (§ 99.31(a)(1)(i)(B)(2)), bind it to the § 99.33(a) use and redisclosure limits, and use reasonable methods to limit access (§ 99.31(a)(1)(ii)). A written contract meeting the applicable state student-privacy statute must be executed by the institution — in Illinois before any covered information is received, and publicly posted; in Connecticut published within five business days; in New York, Colorado and elsewhere with the prescribed clauses. California SOPIPA binds the operator directly whether or not a contract exists. For pupils under 13, COPPA consent cannot rest on a teacher’s assurance that the school has authorised the processing.</w:t>
      </w:r>
    </w:p>
    <w:p>
      <w:pPr>
        <w:pStyle w:val="BodyText"/>
      </w:pPr>
      <w:r>
        <w:rPr>
          <w:bCs/>
          <w:b/>
        </w:rPr>
        <w:t xml:space="preserve">What does not engage these conditions.</w:t>
      </w:r>
      <w:r>
        <w:t xml:space="preserve"> </w:t>
      </w:r>
      <w:r>
        <w:t xml:space="preserve">Use confined to synthetic material, or to fully de-identified content with no real pupil work and no per-pupil linkage — rubric drafting, model-answer generation, item design, calibration — does not process pupils’ personal data and therefore triggers none of the above.</w:t>
      </w:r>
    </w:p>
    <w:bookmarkEnd w:id="60"/>
    <w:bookmarkEnd w:id="61"/>
    <w:bookmarkStart w:id="65" w:name="X0ba19953bef1fdbca40ee42b6bd0b533c7db76e"/>
    <w:p>
      <w:pPr>
        <w:pStyle w:val="Heading2"/>
      </w:pPr>
      <w:r>
        <w:t xml:space="preserve">8. Question 6 — Could a Land or the Bund authorise all schools at once?</w:t>
      </w:r>
    </w:p>
    <w:bookmarkStart w:id="62" w:name="germany-1"/>
    <w:p>
      <w:pPr>
        <w:pStyle w:val="Heading3"/>
      </w:pPr>
      <w:r>
        <w:t xml:space="preserve">8.1 Germany</w:t>
      </w:r>
    </w:p>
    <w:p>
      <w:pPr>
        <w:pStyle w:val="FirstParagraph"/>
      </w:pPr>
      <w:r>
        <w:rPr>
          <w:bCs/>
          <w:b/>
        </w:rPr>
        <w:t xml:space="preserve">Bund: no.</w:t>
      </w:r>
      <w:r>
        <w:t xml:space="preserve"> </w:t>
      </w:r>
      <w:r>
        <w:t xml:space="preserve">Schools are exclusively a Länder matter under Art. 30 and Art. 70 GG. The Bund’s levers are product-side only — KI-MIG, the AI Act, the BDSG, the TDDDG.</w:t>
      </w:r>
    </w:p>
    <w:p>
      <w:pPr>
        <w:pStyle w:val="BodyText"/>
      </w:pPr>
      <w:r>
        <w:rPr>
          <w:bCs/>
          <w:b/>
        </w:rPr>
        <w:t xml:space="preserve">Land: yes, by five mechanisms of very different cost and speed.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Mechanism</w:t>
            </w:r>
          </w:p>
        </w:tc>
        <w:tc>
          <w:tcPr/>
          <w:p>
            <w:pPr>
              <w:pStyle w:val="Compact"/>
              <w:jc w:val="left"/>
            </w:pPr>
            <w:r>
              <w:t xml:space="preserve">What it takes</w:t>
            </w:r>
          </w:p>
        </w:tc>
        <w:tc>
          <w:tcPr/>
          <w:p>
            <w:pPr>
              <w:pStyle w:val="Compact"/>
              <w:jc w:val="left"/>
            </w:pPr>
            <w:r>
              <w:t xml:space="preserve">Legal effect</w:t>
            </w:r>
          </w:p>
        </w:tc>
        <w:tc>
          <w:tcPr/>
          <w:p>
            <w:pPr>
              <w:pStyle w:val="Compact"/>
              <w:jc w:val="left"/>
            </w:pPr>
            <w:r>
              <w:t xml:space="preserve">Realistic timeline</w:t>
            </w:r>
          </w:p>
        </w:tc>
      </w:tr>
      <w:tr>
        <w:tc>
          <w:tcPr/>
          <w:p>
            <w:pPr>
              <w:pStyle w:val="Compact"/>
              <w:jc w:val="left"/>
            </w:pPr>
            <w:r>
              <w:t xml:space="preserve">1</w:t>
            </w:r>
          </w:p>
        </w:tc>
        <w:tc>
          <w:tcPr/>
          <w:p>
            <w:pPr>
              <w:pStyle w:val="Compact"/>
              <w:jc w:val="left"/>
            </w:pPr>
            <w:r>
              <w:rPr>
                <w:bCs/>
                <w:b/>
              </w:rPr>
              <w:t xml:space="preserve">Amendment of the Landesverordnung</w:t>
            </w:r>
            <w:r>
              <w:t xml:space="preserve"> </w:t>
            </w:r>
            <w:r>
              <w:t xml:space="preserve">(e.g. VO-DV I NRW, DUVO BW)</w:t>
            </w:r>
          </w:p>
        </w:tc>
        <w:tc>
          <w:tcPr/>
          <w:p>
            <w:pPr>
              <w:pStyle w:val="Compact"/>
              <w:jc w:val="left"/>
            </w:pPr>
            <w:r>
              <w:t xml:space="preserve">Ministry drafts; in NRW</w:t>
            </w:r>
            <w:r>
              <w:t xml:space="preserve"> </w:t>
            </w:r>
            <w:r>
              <w:rPr>
                <w:bCs/>
                <w:b/>
              </w:rPr>
              <w:t xml:space="preserve">§ 122(4) SchulG requires the consent of the Landtag education committee</w:t>
            </w:r>
            <w:r>
              <w:t xml:space="preserve">; association consultation; publication</w:t>
            </w:r>
          </w:p>
        </w:tc>
        <w:tc>
          <w:tcPr/>
          <w:p>
            <w:pPr>
              <w:pStyle w:val="Compact"/>
              <w:jc w:val="left"/>
            </w:pPr>
            <w:r>
              <w:rPr>
                <w:bCs/>
                <w:b/>
              </w:rPr>
              <w:t xml:space="preserve">Strongest</w:t>
            </w:r>
            <w:r>
              <w:t xml:space="preserve"> </w:t>
            </w:r>
            <w:r>
              <w:t xml:space="preserve">— creates the Art. 6(1)(e)/(3) basis and extends the permitted-data catalogue</w:t>
            </w:r>
          </w:p>
        </w:tc>
        <w:tc>
          <w:tcPr/>
          <w:p>
            <w:pPr>
              <w:pStyle w:val="Compact"/>
              <w:jc w:val="left"/>
            </w:pPr>
            <w:r>
              <w:rPr>
                <w:bCs/>
                <w:b/>
              </w:rPr>
              <w:t xml:space="preserve">18–36 months</w:t>
            </w:r>
            <w:r>
              <w:t xml:space="preserve"> </w:t>
            </w:r>
            <w:r>
              <w:t xml:space="preserve">and a legislative window</w:t>
            </w:r>
            <w:r>
              <w:t xml:space="preserve"> </w:t>
            </w:r>
            <w:r>
              <w:rPr>
                <w:iCs/>
                <w:i/>
              </w:rPr>
              <w:t xml:space="preserve">(estimate)</w:t>
            </w:r>
          </w:p>
        </w:tc>
      </w:tr>
      <w:tr>
        <w:tc>
          <w:tcPr/>
          <w:p>
            <w:pPr>
              <w:pStyle w:val="Compact"/>
              <w:jc w:val="left"/>
            </w:pPr>
            <w:r>
              <w:t xml:space="preserve">2</w:t>
            </w:r>
          </w:p>
        </w:tc>
        <w:tc>
          <w:tcPr/>
          <w:p>
            <w:pPr>
              <w:pStyle w:val="Compact"/>
              <w:jc w:val="left"/>
            </w:pPr>
            <w:r>
              <w:rPr>
                <w:bCs/>
                <w:b/>
              </w:rPr>
              <w:t xml:space="preserve">Listing in a Land register / Zulassung</w:t>
            </w:r>
          </w:p>
        </w:tc>
        <w:tc>
          <w:tcPr/>
          <w:p>
            <w:pPr>
              <w:pStyle w:val="Compact"/>
              <w:jc w:val="left"/>
            </w:pPr>
            <w:r>
              <w:t xml:space="preserve">Ministry decision</w:t>
            </w:r>
          </w:p>
        </w:tc>
        <w:tc>
          <w:tcPr/>
          <w:p>
            <w:pPr>
              <w:pStyle w:val="Compact"/>
              <w:jc w:val="left"/>
            </w:pPr>
            <w:r>
              <w:t xml:space="preserve">Would be decisive —</w:t>
            </w:r>
            <w:r>
              <w:t xml:space="preserve"> </w:t>
            </w:r>
            <w:r>
              <w:rPr>
                <w:bCs/>
                <w:b/>
              </w:rPr>
              <w:t xml:space="preserve">but the premise needs checking; see below</w:t>
            </w:r>
          </w:p>
        </w:tc>
        <w:tc>
          <w:tcPr/>
          <w:p>
            <w:pPr>
              <w:pStyle w:val="Compact"/>
              <w:jc w:val="left"/>
            </w:pPr>
            <w:r>
              <w:t xml:space="preserve">unknown</w:t>
            </w:r>
          </w:p>
        </w:tc>
      </w:tr>
      <w:tr>
        <w:tc>
          <w:tcPr/>
          <w:p>
            <w:pPr>
              <w:pStyle w:val="Compact"/>
              <w:jc w:val="left"/>
            </w:pPr>
            <w:r>
              <w:t xml:space="preserve">3</w:t>
            </w:r>
          </w:p>
        </w:tc>
        <w:tc>
          <w:tcPr/>
          <w:p>
            <w:pPr>
              <w:pStyle w:val="Compact"/>
              <w:jc w:val="left"/>
            </w:pPr>
            <w:r>
              <w:rPr>
                <w:bCs/>
                <w:b/>
              </w:rPr>
              <w:t xml:space="preserve">Rahmenvertrag / Landeslizenz</w:t>
            </w:r>
          </w:p>
        </w:tc>
        <w:tc>
          <w:tcPr/>
          <w:p>
            <w:pPr>
              <w:pStyle w:val="Compact"/>
              <w:jc w:val="left"/>
            </w:pPr>
            <w:r>
              <w:t xml:space="preserve">Procurement (EU-wide tender above threshold); the Land signs the Art. 28 agreement centrally</w:t>
            </w:r>
          </w:p>
        </w:tc>
        <w:tc>
          <w:tcPr/>
          <w:p>
            <w:pPr>
              <w:pStyle w:val="Compact"/>
              <w:jc w:val="left"/>
            </w:pPr>
            <w:r>
              <w:t xml:space="preserve">Very strong in practice — solves controllership, the processing agreement, funding and legitimacy in one move</w:t>
            </w:r>
          </w:p>
        </w:tc>
        <w:tc>
          <w:tcPr/>
          <w:p>
            <w:pPr>
              <w:pStyle w:val="Compact"/>
              <w:jc w:val="left"/>
            </w:pPr>
            <w:r>
              <w:rPr>
                <w:bCs/>
                <w:b/>
              </w:rPr>
              <w:t xml:space="preserve">12–24 months</w:t>
            </w:r>
            <w:r>
              <w:t xml:space="preserve"> </w:t>
            </w:r>
            <w:r>
              <w:t xml:space="preserve">incl. tender</w:t>
            </w:r>
            <w:r>
              <w:t xml:space="preserve"> </w:t>
            </w:r>
            <w:r>
              <w:rPr>
                <w:iCs/>
                <w:i/>
              </w:rPr>
              <w:t xml:space="preserve">(estimate)</w:t>
            </w:r>
          </w:p>
        </w:tc>
      </w:tr>
      <w:tr>
        <w:tc>
          <w:tcPr/>
          <w:p>
            <w:pPr>
              <w:pStyle w:val="Compact"/>
              <w:jc w:val="left"/>
            </w:pPr>
            <w:r>
              <w:t xml:space="preserve">4</w:t>
            </w:r>
          </w:p>
        </w:tc>
        <w:tc>
          <w:tcPr/>
          <w:p>
            <w:pPr>
              <w:pStyle w:val="Compact"/>
              <w:jc w:val="left"/>
            </w:pPr>
            <w:r>
              <w:rPr>
                <w:bCs/>
                <w:b/>
              </w:rPr>
              <w:t xml:space="preserve">KMK / Bildungs-MK recommendation</w:t>
            </w:r>
          </w:p>
        </w:tc>
        <w:tc>
          <w:tcPr/>
          <w:p>
            <w:pPr>
              <w:pStyle w:val="Compact"/>
              <w:jc w:val="left"/>
            </w:pPr>
            <w:r>
              <w:t xml:space="preserve">Political</w:t>
            </w:r>
          </w:p>
        </w:tc>
        <w:tc>
          <w:tcPr/>
          <w:p>
            <w:pPr>
              <w:pStyle w:val="Compact"/>
              <w:jc w:val="left"/>
            </w:pPr>
            <w:r>
              <w:rPr>
                <w:bCs/>
                <w:b/>
              </w:rPr>
              <w:t xml:space="preserve">None.</w:t>
            </w:r>
            <w:r>
              <w:t xml:space="preserve"> </w:t>
            </w:r>
            <w:r>
              <w:t xml:space="preserve">Cover, not authorisation (§5.11)</w:t>
            </w:r>
          </w:p>
        </w:tc>
        <w:tc>
          <w:tcPr/>
          <w:p>
            <w:pPr>
              <w:pStyle w:val="Compact"/>
              <w:jc w:val="left"/>
            </w:pPr>
            <w:r>
              <w:t xml:space="preserve">—</w:t>
            </w:r>
          </w:p>
        </w:tc>
      </w:tr>
      <w:tr>
        <w:tc>
          <w:tcPr/>
          <w:p>
            <w:pPr>
              <w:pStyle w:val="Compact"/>
              <w:jc w:val="left"/>
            </w:pPr>
            <w:r>
              <w:t xml:space="preserve">5</w:t>
            </w:r>
          </w:p>
        </w:tc>
        <w:tc>
          <w:tcPr/>
          <w:p>
            <w:pPr>
              <w:pStyle w:val="Compact"/>
              <w:jc w:val="left"/>
            </w:pPr>
            <w:r>
              <w:rPr>
                <w:bCs/>
                <w:b/>
              </w:rPr>
              <w:t xml:space="preserve">Verwaltungsvorschrift / Handreichung / Schulleiterbrief</w:t>
            </w:r>
          </w:p>
        </w:tc>
        <w:tc>
          <w:tcPr/>
          <w:p>
            <w:pPr>
              <w:pStyle w:val="Compact"/>
              <w:jc w:val="left"/>
            </w:pPr>
            <w:r>
              <w:t xml:space="preserve">Ministry, unilateral</w:t>
            </w:r>
          </w:p>
        </w:tc>
        <w:tc>
          <w:tcPr/>
          <w:p>
            <w:pPr>
              <w:pStyle w:val="Compact"/>
              <w:jc w:val="left"/>
            </w:pPr>
            <w:r>
              <w:t xml:space="preserve">Binds schools internally as an instruction;</w:t>
            </w:r>
            <w:r>
              <w:t xml:space="preserve"> </w:t>
            </w:r>
            <w:r>
              <w:rPr>
                <w:bCs/>
                <w:b/>
              </w:rPr>
              <w:t xml:space="preserve">fastest lever by far</w:t>
            </w:r>
            <w:r>
              <w:t xml:space="preserve">; cannot create a legal basis where none exists, but can authorise use</w:t>
            </w:r>
            <w:r>
              <w:t xml:space="preserve"> </w:t>
            </w:r>
            <w:r>
              <w:rPr>
                <w:iCs/>
                <w:i/>
              </w:rPr>
              <w:t xml:space="preserve">within</w:t>
            </w:r>
            <w:r>
              <w:t xml:space="preserve"> </w:t>
            </w:r>
            <w:r>
              <w:t xml:space="preserve">one</w:t>
            </w:r>
          </w:p>
        </w:tc>
        <w:tc>
          <w:tcPr/>
          <w:p>
            <w:pPr>
              <w:pStyle w:val="Compact"/>
              <w:jc w:val="left"/>
            </w:pPr>
            <w:r>
              <w:rPr>
                <w:bCs/>
                <w:b/>
              </w:rPr>
              <w:t xml:space="preserve">3–9 months</w:t>
            </w:r>
            <w:r>
              <w:t xml:space="preserve"> </w:t>
            </w:r>
            <w:r>
              <w:rPr>
                <w:iCs/>
                <w:i/>
              </w:rPr>
              <w:t xml:space="preserve">(estimate)</w:t>
            </w:r>
          </w:p>
        </w:tc>
      </w:tr>
    </w:tbl>
    <w:p>
      <w:pPr>
        <w:pStyle w:val="BodyText"/>
      </w:pPr>
      <w:r>
        <w:t xml:space="preserve">Two further gates apply to all of them:</w:t>
      </w:r>
      <w:r>
        <w:t xml:space="preserve"> </w:t>
      </w:r>
      <w:r>
        <w:rPr>
          <w:bCs/>
          <w:b/>
        </w:rPr>
        <w:t xml:space="preserve">Hauptpersonalrat co-determination</w:t>
      </w:r>
      <w:r>
        <w:t xml:space="preserve"> </w:t>
      </w:r>
      <w:r>
        <w:t xml:space="preserve">at Land level (§5.8), frequently the longest pole, mitigated by arriving with a draft Dienstvereinbarung; and</w:t>
      </w:r>
      <w:r>
        <w:t xml:space="preserve"> </w:t>
      </w:r>
      <w:r>
        <w:rPr>
          <w:bCs/>
          <w:b/>
        </w:rPr>
        <w:t xml:space="preserve">Schulkonferenz / parent representation</w:t>
      </w:r>
      <w:r>
        <w:t xml:space="preserve"> </w:t>
      </w:r>
      <w:r>
        <w:t xml:space="preserve">where use is mandatory for pupils — the DSK’s 2018 rule is that mandatory use of a platform can only be prescribed by or under a statute. Where use is not mandatory for pupils that second gate is narrower, but parents must still be informed and the Art. 13/14 notices updated.</w:t>
      </w:r>
    </w:p>
    <w:p>
      <w:pPr>
        <w:pStyle w:val="BodyText"/>
      </w:pPr>
      <w:r>
        <w:rPr>
          <w:bCs/>
          <w:b/>
        </w:rPr>
        <w:t xml:space="preserve">A premise that does not hold up.</w:t>
      </w:r>
      <w:r>
        <w:t xml:space="preserve"> </w:t>
      </w:r>
      <w:r>
        <w:t xml:space="preserve">Mechanism 2 is commonly assumed to run through the NRW</w:t>
      </w:r>
      <w:r>
        <w:t xml:space="preserve"> </w:t>
      </w:r>
      <w:r>
        <w:rPr>
          <w:iCs/>
          <w:i/>
        </w:rPr>
        <w:t xml:space="preserve">Softwarekatalog</w:t>
      </w:r>
      <w:r>
        <w:t xml:space="preserve"> </w:t>
      </w:r>
      <w:r>
        <w:t xml:space="preserve">/</w:t>
      </w:r>
      <w:r>
        <w:t xml:space="preserve"> </w:t>
      </w:r>
      <w:r>
        <w:rPr>
          <w:iCs/>
          <w:i/>
        </w:rPr>
        <w:t xml:space="preserve">Verzeichnis der zur Verarbeitung zugelassenen Programme</w:t>
      </w:r>
      <w:r>
        <w:t xml:space="preserve">. That mechanism could not be verified for this review:</w:t>
      </w:r>
    </w:p>
    <w:p>
      <w:pPr>
        <w:numPr>
          <w:ilvl w:val="0"/>
          <w:numId w:val="1011"/>
        </w:numPr>
        <w:pStyle w:val="Compact"/>
      </w:pPr>
      <w:r>
        <w:t xml:space="preserve">The</w:t>
      </w:r>
      <w:r>
        <w:t xml:space="preserve"> </w:t>
      </w:r>
      <w:r>
        <w:rPr>
          <w:bCs/>
          <w:b/>
        </w:rPr>
        <w:t xml:space="preserve">current VO-DV I contains no approved-programs provision</w:t>
      </w:r>
      <w:r>
        <w:t xml:space="preserve"> </w:t>
      </w:r>
      <w:r>
        <w:t xml:space="preserve">— the word</w:t>
      </w:r>
      <w:r>
        <w:t xml:space="preserve"> </w:t>
      </w:r>
      <w:r>
        <w:rPr>
          <w:iCs/>
          <w:i/>
        </w:rPr>
        <w:t xml:space="preserve">Programm</w:t>
      </w:r>
      <w:r>
        <w:t xml:space="preserve"> </w:t>
      </w:r>
      <w:r>
        <w:t xml:space="preserve">does not occur in the consolidated text. The 2022 amendment replaced program-approval logic with a</w:t>
      </w:r>
      <w:r>
        <w:t xml:space="preserve"> </w:t>
      </w:r>
      <w:r>
        <w:rPr>
          <w:bCs/>
          <w:b/>
        </w:rPr>
        <w:t xml:space="preserve">configuration-based</w:t>
      </w:r>
      <w:r>
        <w:t xml:space="preserve"> </w:t>
      </w:r>
      <w:r>
        <w:t xml:space="preserve">standard (§ 2(1): processing is permitted on school devices and networks where confidentiality, integrity and availability are assured</w:t>
      </w:r>
      <w:r>
        <w:t xml:space="preserve"> </w:t>
      </w:r>
      <w:r>
        <w:rPr>
          <w:iCs/>
          <w:i/>
        </w:rPr>
        <w:t xml:space="preserve">“</w:t>
      </w:r>
      <w:r>
        <w:rPr>
          <w:iCs/>
          <w:i/>
        </w:rPr>
        <w:t xml:space="preserve">über die Konfiguration</w:t>
      </w:r>
      <w:r>
        <w:rPr>
          <w:iCs/>
          <w:i/>
        </w:rPr>
        <w:t xml:space="preserve">”</w:t>
      </w:r>
      <w:r>
        <w:t xml:space="preserve">).</w:t>
      </w:r>
    </w:p>
    <w:p>
      <w:pPr>
        <w:numPr>
          <w:ilvl w:val="0"/>
          <w:numId w:val="1011"/>
        </w:numPr>
        <w:pStyle w:val="Compact"/>
      </w:pPr>
      <w:r>
        <w:t xml:space="preserve">The Ministry’s own FAQ describes</w:t>
      </w:r>
      <w:r>
        <w:t xml:space="preserve"> </w:t>
      </w:r>
      <w:r>
        <w:rPr>
          <w:bCs/>
          <w:b/>
        </w:rPr>
        <w:t xml:space="preserve">per-school assessment</w:t>
      </w:r>
      <w:r>
        <w:t xml:space="preserve">:</w:t>
      </w:r>
      <w:r>
        <w:t xml:space="preserve"> </w:t>
      </w:r>
      <w:r>
        <w:rPr>
          <w:iCs/>
          <w:i/>
        </w:rPr>
        <w:t xml:space="preserve">“</w:t>
      </w:r>
      <w:r>
        <w:rPr>
          <w:iCs/>
          <w:i/>
        </w:rPr>
        <w:t xml:space="preserve">Die Entscheidung über die Nutzung liegt im pflichtgemäßen Ermessen der Schule.</w:t>
      </w:r>
      <w:r>
        <w:rPr>
          <w:iCs/>
          <w:i/>
        </w:rPr>
        <w:t xml:space="preserve">”</w:t>
      </w:r>
    </w:p>
    <w:p>
      <w:pPr>
        <w:numPr>
          <w:ilvl w:val="0"/>
          <w:numId w:val="1011"/>
        </w:numPr>
        <w:pStyle w:val="Compact"/>
      </w:pPr>
      <w:r>
        <w:t xml:space="preserve">The one adjacent formal approval regime in NRW is the</w:t>
      </w:r>
      <w:r>
        <w:t xml:space="preserve"> </w:t>
      </w:r>
      <w:r>
        <w:rPr>
          <w:bCs/>
          <w:b/>
        </w:rPr>
        <w:t xml:space="preserve">Zulassung von Lernmitteln</w:t>
      </w:r>
      <w:r>
        <w:t xml:space="preserve"> </w:t>
      </w:r>
      <w:r>
        <w:t xml:space="preserve">(BASS 16-01 Nr. 2) — a different instrument with different legal effects, and a marking service would not qualify as a Lernmittel. It is plausible the two have been conflated.</w:t>
      </w:r>
    </w:p>
    <w:p>
      <w:pPr>
        <w:pStyle w:val="FirstParagraph"/>
      </w:pPr>
      <w:r>
        <w:rPr>
          <w:iCs/>
          <w:i/>
        </w:rPr>
        <w:t xml:space="preserve">Caveat: a 2017 union article refers to checking whether software is approved by the ministry, and a Landtag answer of 12.03.2025 reportedly mentions a list on the Bildungsportal; neither could be verified for this review, and the pre-2022 VO-DV I text could not be obtained. A narrower or historical register may exist.</w:t>
      </w:r>
    </w:p>
    <w:p>
      <w:pPr>
        <w:pStyle w:val="BodyText"/>
      </w:pPr>
      <w:r>
        <w:rPr>
          <w:bCs/>
          <w:b/>
        </w:rPr>
        <w:t xml:space="preserve">The point is open.</w:t>
      </w:r>
      <w:r>
        <w:t xml:space="preserve"> </w:t>
      </w:r>
      <w:r>
        <w:t xml:space="preserve">It can be settled only by MSB NRW; until it is, mechanism 2 cannot be relied on as an authorisation route.</w:t>
      </w:r>
    </w:p>
    <w:p>
      <w:pPr>
        <w:pStyle w:val="BodyText"/>
      </w:pPr>
      <w:r>
        <w:rPr>
          <w:bCs/>
          <w:b/>
        </w:rPr>
        <w:t xml:space="preserve">One mechanism is already in motion.</w:t>
      </w:r>
      <w:r>
        <w:t xml:space="preserve"> </w:t>
      </w:r>
      <w:r>
        <w:t xml:space="preserve">In North Rhine-Westphalia the question is before the Landtag: motion</w:t>
      </w:r>
      <w:r>
        <w:t xml:space="preserve"> </w:t>
      </w:r>
      <w:r>
        <w:rPr>
          <w:iCs/>
          <w:i/>
        </w:rPr>
        <w:t xml:space="preserve">Drucksache 18/18104</w:t>
      </w:r>
      <w:r>
        <w:t xml:space="preserve"> </w:t>
      </w:r>
      <w:r>
        <w:t xml:space="preserve">proposes making AI-assisted correction standard, and nine expert submissions have been filed to the hearing (§5.12). The motion itself authorises nothing. It is, however, the political precondition for mechanisms 1 and 3, it is running now, and the submissions indicate what a resulting ministry rule would have to contain. NRW is therefore procedurally further advanced than the other Länder — not because anything has been approved, but because the process is open and the requirements are published.</w:t>
      </w:r>
    </w:p>
    <w:p>
      <w:pPr>
        <w:pStyle w:val="BodyText"/>
      </w:pPr>
      <w:r>
        <w:rPr>
          <w:bCs/>
          <w:b/>
        </w:rPr>
        <w:t xml:space="preserve">Relative speed and legal effect.</w:t>
      </w:r>
      <w:r>
        <w:t xml:space="preserve"> </w:t>
      </w:r>
      <w:r>
        <w:t xml:space="preserve">The five mechanisms rank inversely: the strongest instrument is the slowest and the fastest is the weakest. Only mechanism 1 creates a legal basis under Art. 6(1)(e)/(3) GDPR, and it requires a legislative window and, in NRW, the education committee’s consent — 18–36 months</w:t>
      </w:r>
      <w:r>
        <w:t xml:space="preserve"> </w:t>
      </w:r>
      <w:r>
        <w:rPr>
          <w:iCs/>
          <w:i/>
        </w:rPr>
        <w:t xml:space="preserve">(estimate)</w:t>
      </w:r>
      <w:r>
        <w:t xml:space="preserve">. Mechanism 3 creates no legal basis but resolves controllership, the Art. 28 agreement and funding centrally, at procurement speed — 12–24 months</w:t>
      </w:r>
      <w:r>
        <w:t xml:space="preserve"> </w:t>
      </w:r>
      <w:r>
        <w:rPr>
          <w:iCs/>
          <w:i/>
        </w:rPr>
        <w:t xml:space="preserve">(estimate)</w:t>
      </w:r>
      <w:r>
        <w:t xml:space="preserve">. Mechanism 5 is the fastest at 3–9 months</w:t>
      </w:r>
      <w:r>
        <w:t xml:space="preserve"> </w:t>
      </w:r>
      <w:r>
        <w:rPr>
          <w:iCs/>
          <w:i/>
        </w:rPr>
        <w:t xml:space="preserve">(estimate)</w:t>
      </w:r>
      <w:r>
        <w:t xml:space="preserve"> </w:t>
      </w:r>
      <w:r>
        <w:t xml:space="preserve">and binds schools internally as an instruction, but operates only within a legal basis that already exists and cannot supply one. Mechanism 4 has no legal effect at all. The status and timing of mechanism 2 depend on the unverified premise above.</w:t>
      </w:r>
    </w:p>
    <w:bookmarkEnd w:id="62"/>
    <w:bookmarkStart w:id="63" w:name="X01eb6a0cf2de96114f983a77c03ddfd4e9bf626"/>
    <w:p>
      <w:pPr>
        <w:pStyle w:val="Heading3"/>
      </w:pPr>
      <w:r>
        <w:t xml:space="preserve">8.2 United Kingdom — the answer differs by nation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Nation</w:t>
            </w:r>
          </w:p>
        </w:tc>
        <w:tc>
          <w:tcPr/>
          <w:p>
            <w:pPr>
              <w:pStyle w:val="Compact"/>
              <w:jc w:val="left"/>
            </w:pPr>
            <w:r>
              <w:t xml:space="preserve">Single national decision reaches all schools?</w:t>
            </w:r>
          </w:p>
        </w:tc>
        <w:tc>
          <w:tcPr/>
          <w:p>
            <w:pPr>
              <w:pStyle w:val="Compact"/>
              <w:jc w:val="left"/>
            </w:pPr>
            <w:r>
              <w:t xml:space="preserve">Mechanism</w:t>
            </w:r>
          </w:p>
        </w:tc>
        <w:tc>
          <w:tcPr/>
          <w:p>
            <w:pPr>
              <w:pStyle w:val="Compact"/>
              <w:jc w:val="left"/>
            </w:pPr>
            <w:r>
              <w:t xml:space="preserve">Gatekeeper</w:t>
            </w:r>
          </w:p>
        </w:tc>
        <w:tc>
          <w:tcPr/>
          <w:p>
            <w:pPr>
              <w:pStyle w:val="Compact"/>
              <w:jc w:val="left"/>
            </w:pPr>
            <w:r>
              <w:t xml:space="preserve">Realistic timeline</w:t>
            </w:r>
          </w:p>
        </w:tc>
      </w:tr>
      <w:tr>
        <w:tc>
          <w:tcPr/>
          <w:p>
            <w:pPr>
              <w:pStyle w:val="Compact"/>
              <w:jc w:val="left"/>
            </w:pPr>
            <w:r>
              <w:rPr>
                <w:bCs/>
                <w:b/>
              </w:rPr>
              <w:t xml:space="preserve">England</w:t>
            </w:r>
          </w:p>
        </w:tc>
        <w:tc>
          <w:tcPr/>
          <w:p>
            <w:pPr>
              <w:pStyle w:val="Compact"/>
              <w:jc w:val="left"/>
            </w:pPr>
            <w:r>
              <w:rPr>
                <w:bCs/>
                <w:b/>
              </w:rPr>
              <w:t xml:space="preserve">No</w:t>
            </w:r>
          </w:p>
        </w:tc>
        <w:tc>
          <w:tcPr/>
          <w:p>
            <w:pPr>
              <w:pStyle w:val="Compact"/>
              <w:jc w:val="left"/>
            </w:pPr>
            <w:r>
              <w:t xml:space="preserve">DfE-approved buying framework; trust-level contracts</w:t>
            </w:r>
          </w:p>
        </w:tc>
        <w:tc>
          <w:tcPr/>
          <w:p>
            <w:pPr>
              <w:pStyle w:val="Compact"/>
              <w:jc w:val="left"/>
            </w:pPr>
            <w:r>
              <w:t xml:space="preserve">~24,000 schools / ~1,200 trusts</w:t>
            </w:r>
          </w:p>
        </w:tc>
        <w:tc>
          <w:tcPr/>
          <w:p>
            <w:pPr>
              <w:pStyle w:val="Compact"/>
              <w:jc w:val="left"/>
            </w:pPr>
            <w:r>
              <w:t xml:space="preserve">framework 12–24m; adoption ongoing</w:t>
            </w:r>
            <w:r>
              <w:t xml:space="preserve"> </w:t>
            </w:r>
            <w:r>
              <w:rPr>
                <w:iCs/>
                <w:i/>
              </w:rPr>
              <w:t xml:space="preserve">(estimate)</w:t>
            </w:r>
          </w:p>
        </w:tc>
      </w:tr>
      <w:tr>
        <w:tc>
          <w:tcPr/>
          <w:p>
            <w:pPr>
              <w:pStyle w:val="Compact"/>
              <w:jc w:val="left"/>
            </w:pPr>
            <w:r>
              <w:rPr>
                <w:bCs/>
                <w:b/>
              </w:rPr>
              <w:t xml:space="preserve">Wales</w:t>
            </w:r>
          </w:p>
        </w:tc>
        <w:tc>
          <w:tcPr/>
          <w:p>
            <w:pPr>
              <w:pStyle w:val="Compact"/>
              <w:jc w:val="left"/>
            </w:pPr>
            <w:r>
              <w:rPr>
                <w:bCs/>
                <w:b/>
              </w:rPr>
              <w:t xml:space="preserve">Effectively yes</w:t>
            </w:r>
          </w:p>
        </w:tc>
        <w:tc>
          <w:tcPr/>
          <w:p>
            <w:pPr>
              <w:pStyle w:val="Compact"/>
              <w:jc w:val="left"/>
            </w:pPr>
            <w:r>
              <w:t xml:space="preserve">Hwb service listing</w:t>
            </w:r>
          </w:p>
        </w:tc>
        <w:tc>
          <w:tcPr/>
          <w:p>
            <w:pPr>
              <w:pStyle w:val="Compact"/>
              <w:jc w:val="left"/>
            </w:pPr>
            <w:r>
              <w:t xml:space="preserve">Welsh Government Hwb team / EdTech Technical Standards Group</w:t>
            </w:r>
          </w:p>
        </w:tc>
        <w:tc>
          <w:tcPr/>
          <w:p>
            <w:pPr>
              <w:pStyle w:val="Compact"/>
              <w:jc w:val="left"/>
            </w:pPr>
            <w:r>
              <w:t xml:space="preserve">18–30m, plus a Welsh-language capability</w:t>
            </w:r>
            <w:r>
              <w:t xml:space="preserve"> </w:t>
            </w:r>
            <w:r>
              <w:rPr>
                <w:iCs/>
                <w:i/>
              </w:rPr>
              <w:t xml:space="preserve">(estimate)</w:t>
            </w:r>
          </w:p>
        </w:tc>
      </w:tr>
      <w:tr>
        <w:tc>
          <w:tcPr/>
          <w:p>
            <w:pPr>
              <w:pStyle w:val="Compact"/>
              <w:jc w:val="left"/>
            </w:pPr>
            <w:r>
              <w:rPr>
                <w:bCs/>
                <w:b/>
              </w:rPr>
              <w:t xml:space="preserve">Scotland</w:t>
            </w:r>
          </w:p>
        </w:tc>
        <w:tc>
          <w:tcPr/>
          <w:p>
            <w:pPr>
              <w:pStyle w:val="Compact"/>
              <w:jc w:val="left"/>
            </w:pPr>
            <w:r>
              <w:rPr>
                <w:bCs/>
                <w:b/>
              </w:rPr>
              <w:t xml:space="preserve">Partly</w:t>
            </w:r>
          </w:p>
        </w:tc>
        <w:tc>
          <w:tcPr/>
          <w:p>
            <w:pPr>
              <w:pStyle w:val="Compact"/>
              <w:jc w:val="left"/>
            </w:pPr>
            <w:r>
              <w:t xml:space="preserve">Glow listing</w:t>
            </w:r>
            <w:r>
              <w:t xml:space="preserve"> </w:t>
            </w:r>
            <w:r>
              <w:rPr>
                <w:bCs/>
                <w:b/>
              </w:rPr>
              <w:t xml:space="preserve">plus</w:t>
            </w:r>
            <w:r>
              <w:t xml:space="preserve"> </w:t>
            </w:r>
            <w:r>
              <w:t xml:space="preserve">local-authority opt-in</w:t>
            </w:r>
          </w:p>
        </w:tc>
        <w:tc>
          <w:tcPr/>
          <w:p>
            <w:pPr>
              <w:pStyle w:val="Compact"/>
              <w:jc w:val="left"/>
            </w:pPr>
            <w:r>
              <w:t xml:space="preserve">Education Scotland</w:t>
            </w:r>
            <w:r>
              <w:t xml:space="preserve"> </w:t>
            </w:r>
            <w:r>
              <w:rPr>
                <w:bCs/>
                <w:b/>
              </w:rPr>
              <w:t xml:space="preserve">and</w:t>
            </w:r>
            <w:r>
              <w:t xml:space="preserve"> </w:t>
            </w:r>
            <w:r>
              <w:t xml:space="preserve">32 local authorities, which are the controllers</w:t>
            </w:r>
          </w:p>
        </w:tc>
        <w:tc>
          <w:tcPr/>
          <w:p>
            <w:pPr>
              <w:pStyle w:val="Compact"/>
              <w:jc w:val="left"/>
            </w:pPr>
            <w:r>
              <w:t xml:space="preserve">18–36m</w:t>
            </w:r>
            <w:r>
              <w:t xml:space="preserve"> </w:t>
            </w:r>
            <w:r>
              <w:rPr>
                <w:iCs/>
                <w:i/>
              </w:rPr>
              <w:t xml:space="preserve">(estimate)</w:t>
            </w:r>
          </w:p>
        </w:tc>
      </w:tr>
      <w:tr>
        <w:tc>
          <w:tcPr/>
          <w:p>
            <w:pPr>
              <w:pStyle w:val="Compact"/>
              <w:jc w:val="left"/>
            </w:pPr>
            <w:r>
              <w:rPr>
                <w:bCs/>
                <w:b/>
              </w:rPr>
              <w:t xml:space="preserve">N. Ireland</w:t>
            </w:r>
          </w:p>
        </w:tc>
        <w:tc>
          <w:tcPr/>
          <w:p>
            <w:pPr>
              <w:pStyle w:val="Compact"/>
              <w:jc w:val="left"/>
            </w:pPr>
            <w:r>
              <w:rPr>
                <w:bCs/>
                <w:b/>
              </w:rPr>
              <w:t xml:space="preserve">Effectively yes</w:t>
            </w:r>
          </w:p>
        </w:tc>
        <w:tc>
          <w:tcPr/>
          <w:p>
            <w:pPr>
              <w:pStyle w:val="Compact"/>
              <w:jc w:val="left"/>
            </w:pPr>
            <w:r>
              <w:t xml:space="preserve">EdIS/C2k approved-tools list</w:t>
            </w:r>
          </w:p>
        </w:tc>
        <w:tc>
          <w:tcPr/>
          <w:p>
            <w:pPr>
              <w:pStyle w:val="Compact"/>
              <w:jc w:val="left"/>
            </w:pPr>
            <w:r>
              <w:t xml:space="preserve">Education Authority</w:t>
            </w:r>
          </w:p>
        </w:tc>
        <w:tc>
          <w:tcPr/>
          <w:p>
            <w:pPr>
              <w:pStyle w:val="Compact"/>
              <w:jc w:val="left"/>
            </w:pPr>
            <w:r>
              <w:t xml:space="preserve">24–36m</w:t>
            </w:r>
            <w:r>
              <w:t xml:space="preserve"> </w:t>
            </w:r>
            <w:r>
              <w:rPr>
                <w:iCs/>
                <w:i/>
              </w:rPr>
              <w:t xml:space="preserve">(estimate)</w:t>
            </w:r>
          </w:p>
        </w:tc>
      </w:tr>
    </w:tbl>
    <w:p>
      <w:pPr>
        <w:pStyle w:val="BodyText"/>
      </w:pPr>
      <w:r>
        <w:rPr>
          <w:bCs/>
          <w:b/>
        </w:rPr>
        <w:t xml:space="preserve">England has no national switch.</w:t>
      </w:r>
      <w:r>
        <w:t xml:space="preserve"> </w:t>
      </w:r>
      <w:r>
        <w:t xml:space="preserve">DfE cannot mandate software for academies: academies are independent charitable companies contracting with the Secretary of State through funding agreements, and the new direction power inserted by the Children’s Wellbeing and Schools Act 2026 s.56 is a compliance-enforcement power attached to existing funding-agreement duties, not a procurement power. For maintained schools the LA can recommend and run frameworks but generally cannot compel a governing body’s purchasing choice. What DfE</w:t>
      </w:r>
      <w:r>
        <w:t xml:space="preserve"> </w:t>
      </w:r>
      <w:r>
        <w:rPr>
          <w:iCs/>
          <w:i/>
        </w:rPr>
        <w:t xml:space="preserve">can</w:t>
      </w:r>
      <w:r>
        <w:t xml:space="preserve"> </w:t>
      </w:r>
      <w:r>
        <w:t xml:space="preserve">do is approve a buying framework (converting a full procurement into a direct award), publish guidance the sector follows, fund adoption (Oak/Aila, the content-store pilot, the</w:t>
      </w:r>
      <w:r>
        <w:t xml:space="preserve"> </w:t>
      </w:r>
      <w:r>
        <w:rPr>
          <w:bCs/>
          <w:b/>
        </w:rPr>
        <w:t xml:space="preserve">£23m EdTech Impact Testbed Programme</w:t>
      </w:r>
      <w:r>
        <w:t xml:space="preserve"> </w:t>
      </w:r>
      <w:r>
        <w:t xml:space="preserve">running FY2026-27 to FY2029-30), and shape Ofsted’s framing of</w:t>
      </w:r>
      <w:r>
        <w:t xml:space="preserve"> </w:t>
      </w:r>
      <w:r>
        <w:t xml:space="preserve">“</w:t>
      </w:r>
      <w:r>
        <w:t xml:space="preserve">the provider’s decision-making</w:t>
      </w:r>
      <w:r>
        <w:t xml:space="preserve">”</w:t>
      </w:r>
      <w:r>
        <w:t xml:space="preserve">.</w:t>
      </w:r>
      <w:r>
        <w:t xml:space="preserve"> </w:t>
      </w:r>
      <w:r>
        <w:rPr>
          <w:bCs/>
          <w:b/>
        </w:rPr>
        <w:t xml:space="preserve">The unit of scale in England is the multi-academy trust — around 1,200 of them, the largest running 50+ schools — and the trust, not the individual school, is both controller and buyer, so the authorisation has to be given at trust level.</w:t>
      </w:r>
    </w:p>
    <w:p>
      <w:pPr>
        <w:pStyle w:val="BodyText"/>
      </w:pPr>
      <w:r>
        <w:rPr>
          <w:bCs/>
          <w:b/>
        </w:rPr>
        <w:t xml:space="preserve">Wales comes closest to a single national decision in the UK.</w:t>
      </w:r>
      <w:r>
        <w:t xml:space="preserve"> </w:t>
      </w:r>
      <w:r>
        <w:t xml:space="preserve">Hwb already provisions Microsoft Copilot Chat, Google Gemini, NotebookLM, Adobe Express and Microsoft Learning Accelerators to every maintained school, with every service</w:t>
      </w:r>
      <w:r>
        <w:t xml:space="preserve"> </w:t>
      </w:r>
      <w:r>
        <w:t xml:space="preserve">“</w:t>
      </w:r>
      <w:r>
        <w:t xml:space="preserve">comprehensively reviewed</w:t>
      </w:r>
      <w:r>
        <w:t xml:space="preserve">”</w:t>
      </w:r>
      <w:r>
        <w:t xml:space="preserve"> </w:t>
      </w:r>
      <w:r>
        <w:t xml:space="preserve">and legal advice taken on contracts. The route in appears to run through the local-authority EdTech lead to the</w:t>
      </w:r>
      <w:r>
        <w:t xml:space="preserve"> </w:t>
      </w:r>
      <w:r>
        <w:rPr>
          <w:bCs/>
          <w:b/>
        </w:rPr>
        <w:t xml:space="preserve">EdTech Technical Standards Group</w:t>
      </w:r>
      <w:r>
        <w:t xml:space="preserve"> </w:t>
      </w:r>
      <w:r>
        <w:t xml:space="preserve">—</w:t>
      </w:r>
      <w:r>
        <w:t xml:space="preserve"> </w:t>
      </w:r>
      <w:r>
        <w:rPr>
          <w:iCs/>
          <w:i/>
        </w:rPr>
        <w:t xml:space="preserve">moderate confidence; no formal published supplier-assurance framework or approved-supplier list could be verified for this review.</w:t>
      </w:r>
      <w:r>
        <w:t xml:space="preserve"> </w:t>
      </w:r>
      <w:r>
        <w:t xml:space="preserve">Wales is small (22 LAs, ~1,500 schools), and Welsh-language capability is a practical requirement for an OCR/LLM marking tool used in Welsh-medium settings.</w:t>
      </w:r>
    </w:p>
    <w:p>
      <w:pPr>
        <w:pStyle w:val="BodyText"/>
      </w:pPr>
      <w:r>
        <w:rPr>
          <w:bCs/>
          <w:b/>
        </w:rPr>
        <w:t xml:space="preserve">Scotland: a Glow listing is necessary but not sufficient</w:t>
      </w:r>
      <w:r>
        <w:t xml:space="preserve">, because local authorities are the controllers and even Glow-provisioned AI is on an opt-in basis.</w:t>
      </w:r>
      <w:r>
        <w:t xml:space="preserve"> </w:t>
      </w:r>
      <w:r>
        <w:rPr>
          <w:bCs/>
          <w:b/>
        </w:rPr>
        <w:t xml:space="preserve">No published process for adding a third-party service to Glow could be verified for this review</w:t>
      </w:r>
      <w:r>
        <w:t xml:space="preserve">; the route is Education Scotland directly, plus ADES and COSLA.</w:t>
      </w:r>
    </w:p>
    <w:p>
      <w:pPr>
        <w:pStyle w:val="BodyText"/>
      </w:pPr>
      <w:r>
        <w:rPr>
          <w:bCs/>
          <w:b/>
        </w:rPr>
        <w:t xml:space="preserve">Northern Ireland is a single gate that is both the obstacle and the prize.</w:t>
      </w:r>
      <w:r>
        <w:t xml:space="preserve"> </w:t>
      </w:r>
      <w:r>
        <w:t xml:space="preserve">One EA decision would reach every grant-aided school (~1,100); without it, use is confined to per-school DPIAs against DE Circular 2026/02.</w:t>
      </w:r>
    </w:p>
    <w:bookmarkEnd w:id="63"/>
    <w:bookmarkStart w:id="64" w:name="united-states-1"/>
    <w:p>
      <w:pPr>
        <w:pStyle w:val="Heading3"/>
      </w:pPr>
      <w:r>
        <w:t xml:space="preserve">8.3 United States</w:t>
      </w:r>
    </w:p>
    <w:p>
      <w:pPr>
        <w:pStyle w:val="FirstParagraph"/>
      </w:pPr>
      <w:r>
        <w:rPr>
          <w:bCs/>
          <w:b/>
        </w:rPr>
        <w:t xml:space="preserve">The federal government cannot.</w:t>
      </w:r>
      <w:r>
        <w:t xml:space="preserve"> </w:t>
      </w:r>
      <w:r>
        <w:t xml:space="preserve">Education is reserved to the states; FERPA is a spending-clause condition on institutions and creates no federal authority to designate a school official on an institution’s behalf. The designation under § 99.31(a)(1) and the annual-notification criteria under § 99.7(a)(3)(iii) are institution-specific acts by definition. The federal contribution has been money and encouragement — EO 14277, the July 2025 Dear Colleague Letter on AI grant funds, the April 2026 supplemental priority — with</w:t>
      </w:r>
      <w:r>
        <w:t xml:space="preserve"> </w:t>
      </w:r>
      <w:r>
        <w:rPr>
          <w:bCs/>
          <w:b/>
        </w:rPr>
        <w:t xml:space="preserve">no conditions on accuracy, bias, human oversight or contestability</w:t>
      </w:r>
      <w:r>
        <w:t xml:space="preserve">. The one genuine exception is federally operated systems: DoDEA and the Bureau of Indian Education, where a single federal contract does reach many schools.</w:t>
      </w:r>
    </w:p>
    <w:p>
      <w:pPr>
        <w:pStyle w:val="BodyText"/>
      </w:pPr>
      <w:r>
        <w:rPr>
          <w:bCs/>
          <w:b/>
        </w:rPr>
        <w:t xml:space="preserve">A state can go a long way but not all the way.</w:t>
      </w:r>
      <w:r>
        <w:t xml:space="preserve"> </w:t>
      </w:r>
      <w:r>
        <w:t xml:space="preserve">Four mechanisms, ascending: state education-agency approved-product lists (advisory; shortens district review but does not replace the district’s contract); statewide master service agreements (eliminates the procurement, but each district still executes a participating addendum and its own agreement); purchasing cooperatives (one solicitation other members piggyback on); and</w:t>
      </w:r>
      <w:r>
        <w:t xml:space="preserve"> </w:t>
      </w:r>
      <w:r>
        <w:rPr>
          <w:bCs/>
          <w:b/>
        </w:rPr>
        <w:t xml:space="preserve">the SDPC National Data Privacy Agreement</w:t>
      </w:r>
      <w:r>
        <w:t xml:space="preserve">.</w:t>
      </w:r>
    </w:p>
    <w:p>
      <w:pPr>
        <w:pStyle w:val="BodyText"/>
      </w:pPr>
      <w:r>
        <w:rPr>
          <w:bCs/>
          <w:b/>
        </w:rPr>
        <w:t xml:space="preserve">The NDPA, and why it comes closest.</w:t>
      </w:r>
      <w:r>
        <w:t xml:space="preserve"> </w:t>
      </w:r>
      <w:r>
        <w:t xml:space="preserve">Maintained by the Student Data Privacy Consortium within the Access 4 Learning Community; current version</w:t>
      </w:r>
      <w:r>
        <w:t xml:space="preserve"> </w:t>
      </w:r>
      <w:r>
        <w:rPr>
          <w:bCs/>
          <w:b/>
        </w:rPr>
        <w:t xml:space="preserve">NDPA v2.2, published 19 November 2025</w:t>
      </w:r>
      <w:r>
        <w:t xml:space="preserve">; over 222,000 standard agreements executed since 2016 across districts in 41 states and roughly 35 state alliances</w:t>
      </w:r>
      <w:r>
        <w:t xml:space="preserve"> </w:t>
      </w:r>
      <w:r>
        <w:rPr>
          <w:iCs/>
          <w:i/>
        </w:rPr>
        <w:t xml:space="preserve">(SDPC-reported figures, not independently verified)</w:t>
      </w:r>
      <w:r>
        <w:t xml:space="preserve">. The mechanism that matters is</w:t>
      </w:r>
      <w:r>
        <w:t xml:space="preserve"> </w:t>
      </w:r>
      <w:r>
        <w:rPr>
          <w:bCs/>
          <w:b/>
        </w:rPr>
        <w:t xml:space="preserve">Exhibit E,</w:t>
      </w:r>
      <w:r>
        <w:rPr>
          <w:bCs/>
          <w:b/>
        </w:rPr>
        <w:t xml:space="preserve"> </w:t>
      </w:r>
      <w:r>
        <w:rPr>
          <w:bCs/>
          <w:b/>
        </w:rPr>
        <w:t xml:space="preserve">“</w:t>
      </w:r>
      <w:r>
        <w:rPr>
          <w:bCs/>
          <w:b/>
        </w:rPr>
        <w:t xml:space="preserve">General Offer of Privacy Terms</w:t>
      </w:r>
      <w:r>
        <w:rPr>
          <w:bCs/>
          <w:b/>
        </w:rPr>
        <w:t xml:space="preserve">”</w:t>
      </w:r>
      <w:r>
        <w:t xml:space="preserve">: a vendor signs a full agreement with one district and, in Exhibit E, extends the identical terms to any other subscribing LEA within the scope of the offer, which that LEA accepts by countersigning a single page. Executed agreements and offers are published in the SDPC Resource Registry, which districts search before procuring. State-specific exhibits carry state statutory requirements — New York’s Exhibits G, J, K and L for Education Law § 2-d are the clearest case.</w:t>
      </w:r>
    </w:p>
    <w:p>
      <w:pPr>
        <w:pStyle w:val="BodyText"/>
      </w:pPr>
      <w:r>
        <w:rPr>
          <w:bCs/>
          <w:b/>
        </w:rPr>
        <w:t xml:space="preserve">This is as close as the US comes to</w:t>
      </w:r>
      <w:r>
        <w:rPr>
          <w:bCs/>
          <w:b/>
        </w:rPr>
        <w:t xml:space="preserve"> </w:t>
      </w:r>
      <w:r>
        <w:rPr>
          <w:bCs/>
          <w:b/>
        </w:rPr>
        <w:t xml:space="preserve">“</w:t>
      </w:r>
      <w:r>
        <w:rPr>
          <w:bCs/>
          <w:b/>
        </w:rPr>
        <w:t xml:space="preserve">authorise many schools at once</w:t>
      </w:r>
      <w:r>
        <w:rPr>
          <w:bCs/>
          <w:b/>
        </w:rPr>
        <w:t xml:space="preserve">”</w:t>
      </w:r>
      <w:r>
        <w:rPr>
          <w:bCs/>
          <w:b/>
        </w:rPr>
        <w:t xml:space="preserve">, and it is a private-sector mechanism, not a governmental one.</w:t>
      </w:r>
      <w:r>
        <w:t xml:space="preserve"> </w:t>
      </w:r>
      <w:r>
        <w:t xml:space="preserve">It does not remove the per-district act; it reduces it from a negotiation to a countersignature. Exhibit E is an open-ended commitment to unknown counterparties and is the most consequential instrument a vendor executes in the US; the current v2.2 text governs.</w:t>
      </w:r>
      <w:r>
        <w:t xml:space="preserve"> </w:t>
      </w:r>
      <w:r>
        <w:rPr>
          <w:iCs/>
          <w:i/>
        </w:rPr>
        <w:t xml:space="preserve">(The verbatim v2.2 Exhibit E text could not be verified for this review.)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Route</w:t>
            </w:r>
          </w:p>
        </w:tc>
        <w:tc>
          <w:tcPr/>
          <w:p>
            <w:pPr>
              <w:pStyle w:val="Compact"/>
              <w:jc w:val="left"/>
            </w:pPr>
            <w:r>
              <w:t xml:space="preserve">Reach</w:t>
            </w:r>
          </w:p>
        </w:tc>
        <w:tc>
          <w:tcPr/>
          <w:p>
            <w:pPr>
              <w:pStyle w:val="Compact"/>
              <w:jc w:val="left"/>
            </w:pPr>
            <w:r>
              <w:t xml:space="preserve">Elapsed time</w:t>
            </w:r>
            <w:r>
              <w:t xml:space="preserve"> </w:t>
            </w:r>
            <w:r>
              <w:rPr>
                <w:iCs/>
                <w:i/>
              </w:rPr>
              <w:t xml:space="preserve">(estimates)</w:t>
            </w:r>
          </w:p>
        </w:tc>
      </w:tr>
      <w:tr>
        <w:tc>
          <w:tcPr/>
          <w:p>
            <w:pPr>
              <w:pStyle w:val="Compact"/>
              <w:jc w:val="left"/>
            </w:pPr>
            <w:r>
              <w:t xml:space="preserve">Single district, NDPA standard clauses unmodified</w:t>
            </w:r>
          </w:p>
        </w:tc>
        <w:tc>
          <w:tcPr/>
          <w:p>
            <w:pPr>
              <w:pStyle w:val="Compact"/>
              <w:jc w:val="left"/>
            </w:pPr>
            <w:r>
              <w:t xml:space="preserve">1 LEA</w:t>
            </w:r>
          </w:p>
        </w:tc>
        <w:tc>
          <w:tcPr/>
          <w:p>
            <w:pPr>
              <w:pStyle w:val="Compact"/>
              <w:jc w:val="left"/>
            </w:pPr>
            <w:r>
              <w:t xml:space="preserve">2–8 weeks once the privacy officer engages</w:t>
            </w:r>
          </w:p>
        </w:tc>
      </w:tr>
      <w:tr>
        <w:tc>
          <w:tcPr/>
          <w:p>
            <w:pPr>
              <w:pStyle w:val="Compact"/>
              <w:jc w:val="left"/>
            </w:pPr>
            <w:r>
              <w:t xml:space="preserve">Single district, modified terms or non-NDPA state</w:t>
            </w:r>
          </w:p>
        </w:tc>
        <w:tc>
          <w:tcPr/>
          <w:p>
            <w:pPr>
              <w:pStyle w:val="Compact"/>
              <w:jc w:val="left"/>
            </w:pPr>
            <w:r>
              <w:t xml:space="preserve">1 LEA</w:t>
            </w:r>
          </w:p>
        </w:tc>
        <w:tc>
          <w:tcPr/>
          <w:p>
            <w:pPr>
              <w:pStyle w:val="Compact"/>
              <w:jc w:val="left"/>
            </w:pPr>
            <w:r>
              <w:t xml:space="preserve">2–6 months</w:t>
            </w:r>
          </w:p>
        </w:tc>
      </w:tr>
      <w:tr>
        <w:tc>
          <w:tcPr/>
          <w:p>
            <w:pPr>
              <w:pStyle w:val="Compact"/>
              <w:jc w:val="left"/>
            </w:pPr>
            <w:r>
              <w:t xml:space="preserve">Join a state SDPC alliance, first NDPA with Exhibit E</w:t>
            </w:r>
          </w:p>
        </w:tc>
        <w:tc>
          <w:tcPr/>
          <w:p>
            <w:pPr>
              <w:pStyle w:val="Compact"/>
              <w:jc w:val="left"/>
            </w:pPr>
            <w:r>
              <w:t xml:space="preserve">every LEA in that alliance</w:t>
            </w:r>
          </w:p>
        </w:tc>
        <w:tc>
          <w:tcPr/>
          <w:p>
            <w:pPr>
              <w:pStyle w:val="Compact"/>
              <w:jc w:val="left"/>
            </w:pPr>
            <w:r>
              <w:t xml:space="preserve">3–6 months to first signature; subsequent LEAs in days to weeks</w:t>
            </w:r>
          </w:p>
        </w:tc>
      </w:tr>
      <w:tr>
        <w:tc>
          <w:tcPr/>
          <w:p>
            <w:pPr>
              <w:pStyle w:val="Compact"/>
              <w:jc w:val="left"/>
            </w:pPr>
            <w:r>
              <w:t xml:space="preserve">Purchasing cooperative award</w:t>
            </w:r>
          </w:p>
        </w:tc>
        <w:tc>
          <w:tcPr/>
          <w:p>
            <w:pPr>
              <w:pStyle w:val="Compact"/>
              <w:jc w:val="left"/>
            </w:pPr>
            <w:r>
              <w:t xml:space="preserve">many LEAs, multi-state</w:t>
            </w:r>
          </w:p>
        </w:tc>
        <w:tc>
          <w:tcPr/>
          <w:p>
            <w:pPr>
              <w:pStyle w:val="Compact"/>
              <w:jc w:val="left"/>
            </w:pPr>
            <w:r>
              <w:t xml:space="preserve">6–12 months</w:t>
            </w:r>
          </w:p>
        </w:tc>
      </w:tr>
      <w:tr>
        <w:tc>
          <w:tcPr/>
          <w:p>
            <w:pPr>
              <w:pStyle w:val="Compact"/>
              <w:jc w:val="left"/>
            </w:pPr>
            <w:r>
              <w:t xml:space="preserve">State master service agreement</w:t>
            </w:r>
          </w:p>
        </w:tc>
        <w:tc>
          <w:tcPr/>
          <w:p>
            <w:pPr>
              <w:pStyle w:val="Compact"/>
              <w:jc w:val="left"/>
            </w:pPr>
            <w:r>
              <w:t xml:space="preserve">statewide</w:t>
            </w:r>
          </w:p>
        </w:tc>
        <w:tc>
          <w:tcPr/>
          <w:p>
            <w:pPr>
              <w:pStyle w:val="Compact"/>
              <w:jc w:val="left"/>
            </w:pPr>
            <w:r>
              <w:t xml:space="preserve">9–18 months</w:t>
            </w:r>
          </w:p>
        </w:tc>
      </w:tr>
      <w:tr>
        <w:tc>
          <w:tcPr/>
          <w:p>
            <w:pPr>
              <w:pStyle w:val="Compact"/>
              <w:jc w:val="left"/>
            </w:pPr>
            <w:r>
              <w:t xml:space="preserve">Federal authorisation of all US schools</w:t>
            </w:r>
          </w:p>
        </w:tc>
        <w:tc>
          <w:tcPr/>
          <w:p>
            <w:pPr>
              <w:pStyle w:val="Compact"/>
              <w:jc w:val="left"/>
            </w:pPr>
            <w:r>
              <w:t xml:space="preserve">—</w:t>
            </w:r>
          </w:p>
        </w:tc>
        <w:tc>
          <w:tcPr/>
          <w:p>
            <w:pPr>
              <w:pStyle w:val="Compact"/>
              <w:jc w:val="left"/>
            </w:pPr>
            <w:r>
              <w:rPr>
                <w:bCs/>
                <w:b/>
              </w:rPr>
              <w:t xml:space="preserve">not a route</w:t>
            </w:r>
          </w:p>
        </w:tc>
      </w:tr>
    </w:tbl>
    <w:bookmarkEnd w:id="64"/>
    <w:bookmarkEnd w:id="65"/>
    <w:bookmarkStart w:id="74" w:name="united-kingdom-1"/>
    <w:p>
      <w:pPr>
        <w:pStyle w:val="Heading2"/>
      </w:pPr>
      <w:r>
        <w:t xml:space="preserve">9. United Kingdom</w:t>
      </w:r>
    </w:p>
    <w:bookmarkStart w:id="66" w:name="X00276a345eabdcb773456f1beee5751a60c5cb2"/>
    <w:p>
      <w:pPr>
        <w:pStyle w:val="Heading3"/>
      </w:pPr>
      <w:r>
        <w:t xml:space="preserve">9.1 The binding UK AI rules are data-protection rules</w:t>
      </w:r>
    </w:p>
    <w:p>
      <w:pPr>
        <w:pStyle w:val="FirstParagraph"/>
      </w:pPr>
      <w:r>
        <w:rPr>
          <w:bCs/>
          <w:b/>
        </w:rPr>
        <w:t xml:space="preserve">There is still no UK AI Act.</w:t>
      </w:r>
      <w:r>
        <w:t xml:space="preserve"> </w:t>
      </w:r>
      <w:r>
        <w:t xml:space="preserve">AI is regulated at the point of use through existing sectoral regulators, on the five non-statutory principles of the March 2023 white paper. The AI Safety Institute was renamed the</w:t>
      </w:r>
      <w:r>
        <w:t xml:space="preserve"> </w:t>
      </w:r>
      <w:r>
        <w:rPr>
          <w:bCs/>
          <w:b/>
        </w:rPr>
        <w:t xml:space="preserve">AI Security Institute</w:t>
      </w:r>
      <w:r>
        <w:t xml:space="preserve"> </w:t>
      </w:r>
      <w:r>
        <w:t xml:space="preserve">on 24 February 2025 and has not been made statutory; it works on frontier-model evaluation and has no remit over edtech. A private member’s AI Regulation Bill received a Lords second reading on 4 June 2026 — signal, not risk.</w:t>
      </w:r>
    </w:p>
    <w:p>
      <w:pPr>
        <w:pStyle w:val="BodyText"/>
      </w:pPr>
      <w:r>
        <w:t xml:space="preserve">The operative UK regime is therefore</w:t>
      </w:r>
      <w:r>
        <w:t xml:space="preserve"> </w:t>
      </w:r>
      <w:r>
        <w:rPr>
          <w:bCs/>
          <w:b/>
        </w:rPr>
        <w:t xml:space="preserve">UK GDPR as amended by the Data (Use and Access) Act 2025</w:t>
      </w:r>
      <w:r>
        <w:t xml:space="preserve">, plus the forthcoming statutory ICO code.</w:t>
      </w:r>
    </w:p>
    <w:bookmarkEnd w:id="66"/>
    <w:bookmarkStart w:id="67" w:name="X6f040a5d74a2b0ff8997cc6493386056048e824"/>
    <w:p>
      <w:pPr>
        <w:pStyle w:val="Heading3"/>
      </w:pPr>
      <w:r>
        <w:t xml:space="preserve">9.2 The DUAA automated-decision reform — a real divergence from the EU</w:t>
      </w:r>
    </w:p>
    <w:p>
      <w:pPr>
        <w:pStyle w:val="FirstParagraph"/>
      </w:pPr>
      <w:r>
        <w:t xml:space="preserve">Royal Assent 19 June 2025;</w:t>
      </w:r>
      <w:r>
        <w:t xml:space="preserve"> </w:t>
      </w:r>
      <w:r>
        <w:rPr>
          <w:bCs/>
          <w:b/>
        </w:rPr>
        <w:t xml:space="preserve">s.80 in force 5 February 2026</w:t>
      </w:r>
      <w:r>
        <w:t xml:space="preserve">. It</w:t>
      </w:r>
      <w:r>
        <w:t xml:space="preserve"> </w:t>
      </w:r>
      <w:r>
        <w:rPr>
          <w:bCs/>
          <w:b/>
        </w:rPr>
        <w:t xml:space="preserve">substitutes Article 22 UK GDPR entirely</w:t>
      </w:r>
      <w:r>
        <w:t xml:space="preserve"> </w:t>
      </w:r>
      <w:r>
        <w:t xml:space="preserve">with Articles 22A–22D.</w:t>
      </w:r>
    </w:p>
    <w:p>
      <w:pPr>
        <w:numPr>
          <w:ilvl w:val="0"/>
          <w:numId w:val="1012"/>
        </w:numPr>
        <w:pStyle w:val="Compact"/>
      </w:pPr>
      <w:r>
        <w:rPr>
          <w:bCs/>
          <w:b/>
        </w:rPr>
        <w:t xml:space="preserve">Art. 22A(1)(a):</w:t>
      </w:r>
      <w:r>
        <w:t xml:space="preserve"> </w:t>
      </w:r>
      <w:r>
        <w:t xml:space="preserve">a decision is based solely on automated processing</w:t>
      </w:r>
      <w:r>
        <w:t xml:space="preserve"> </w:t>
      </w:r>
      <w:r>
        <w:rPr>
          <w:iCs/>
          <w:i/>
        </w:rPr>
        <w:t xml:space="preserve">“</w:t>
      </w:r>
      <w:r>
        <w:rPr>
          <w:iCs/>
          <w:i/>
        </w:rPr>
        <w:t xml:space="preserve">if there is no meaningful human involvement in the taking of the decision</w:t>
      </w:r>
      <w:r>
        <w:rPr>
          <w:iCs/>
          <w:i/>
        </w:rPr>
        <w:t xml:space="preserve">”</w:t>
      </w:r>
      <w:r>
        <w:t xml:space="preserve">; 22A(1)(b) defines a</w:t>
      </w:r>
      <w:r>
        <w:t xml:space="preserve"> </w:t>
      </w:r>
      <w:r>
        <w:t xml:space="preserve">“</w:t>
      </w:r>
      <w:r>
        <w:t xml:space="preserve">significant decision</w:t>
      </w:r>
      <w:r>
        <w:t xml:space="preserve">”</w:t>
      </w:r>
      <w:r>
        <w:t xml:space="preserve"> </w:t>
      </w:r>
      <w:r>
        <w:t xml:space="preserve">as one producing a legal effect or a similarly significant effect. 22A(2) requires consideration of the extent to which the decision is reached by profiling.</w:t>
      </w:r>
    </w:p>
    <w:p>
      <w:pPr>
        <w:numPr>
          <w:ilvl w:val="0"/>
          <w:numId w:val="1012"/>
        </w:numPr>
        <w:pStyle w:val="Compact"/>
      </w:pPr>
      <w:r>
        <w:rPr>
          <w:bCs/>
          <w:b/>
        </w:rPr>
        <w:t xml:space="preserve">Art. 22B(1):</w:t>
      </w:r>
      <w:r>
        <w:t xml:space="preserve"> </w:t>
      </w:r>
      <w:r>
        <w:t xml:space="preserve">the</w:t>
      </w:r>
      <w:r>
        <w:t xml:space="preserve"> </w:t>
      </w:r>
      <w:r>
        <w:rPr>
          <w:bCs/>
          <w:b/>
        </w:rPr>
        <w:t xml:space="preserve">prohibition now survives only for special category data</w:t>
      </w:r>
      <w:r>
        <w:t xml:space="preserve"> </w:t>
      </w:r>
      <w:r>
        <w:t xml:space="preserve">— a significant decision based entirely or partly on Art. 9(1) processing may not be taken solely automatically unless explicit consent, or contract/legal authorisation plus Art. 9(2)(g), applies.</w:t>
      </w:r>
      <w:r>
        <w:t xml:space="preserve"> </w:t>
      </w:r>
      <w:r>
        <w:rPr>
          <w:bCs/>
          <w:b/>
        </w:rPr>
        <w:t xml:space="preserve">22B(4)</w:t>
      </w:r>
      <w:r>
        <w:t xml:space="preserve"> </w:t>
      </w:r>
      <w:r>
        <w:t xml:space="preserve">rules out reliance on the new</w:t>
      </w:r>
      <w:r>
        <w:t xml:space="preserve"> </w:t>
      </w:r>
      <w:r>
        <w:t xml:space="preserve">“</w:t>
      </w:r>
      <w:r>
        <w:t xml:space="preserve">recognised legitimate interests</w:t>
      </w:r>
      <w:r>
        <w:t xml:space="preserve">”</w:t>
      </w:r>
      <w:r>
        <w:t xml:space="preserve"> </w:t>
      </w:r>
      <w:r>
        <w:t xml:space="preserve">basis entirely.</w:t>
      </w:r>
    </w:p>
    <w:p>
      <w:pPr>
        <w:numPr>
          <w:ilvl w:val="0"/>
          <w:numId w:val="1012"/>
        </w:numPr>
        <w:pStyle w:val="Compact"/>
      </w:pPr>
      <w:r>
        <w:rPr>
          <w:bCs/>
          <w:b/>
        </w:rPr>
        <w:t xml:space="preserve">Art. 22C:</w:t>
      </w:r>
      <w:r>
        <w:t xml:space="preserve"> </w:t>
      </w:r>
      <w:r>
        <w:t xml:space="preserve">for everything else, solely-automated significant decisions are</w:t>
      </w:r>
      <w:r>
        <w:t xml:space="preserve"> </w:t>
      </w:r>
      <w:r>
        <w:rPr>
          <w:bCs/>
          <w:b/>
        </w:rPr>
        <w:t xml:space="preserve">permitted subject to four safeguards</w:t>
      </w:r>
      <w:r>
        <w:t xml:space="preserve"> </w:t>
      </w:r>
      <w:r>
        <w:t xml:space="preserve">— information about the decision, the ability to make representations, human intervention, and the ability to contest.</w:t>
      </w:r>
    </w:p>
    <w:p>
      <w:pPr>
        <w:numPr>
          <w:ilvl w:val="0"/>
          <w:numId w:val="1012"/>
        </w:numPr>
        <w:pStyle w:val="Compact"/>
      </w:pPr>
      <w:r>
        <w:rPr>
          <w:bCs/>
          <w:b/>
        </w:rPr>
        <w:t xml:space="preserve">DPA 2018 s.14 was repealed</w:t>
      </w:r>
      <w:r>
        <w:t xml:space="preserve"> </w:t>
      </w:r>
      <w:r>
        <w:t xml:space="preserve">on 5 February 2026. Any documentation, DPIA template or other material citing s.14 is therefore out of date.</w:t>
      </w:r>
    </w:p>
    <w:p>
      <w:pPr>
        <w:pStyle w:val="FirstParagraph"/>
      </w:pPr>
      <w:r>
        <w:rPr>
          <w:bCs/>
          <w:b/>
        </w:rPr>
        <w:t xml:space="preserve">Application to AI-supported exam grading.</w:t>
      </w:r>
      <w:r>
        <w:t xml:space="preserve"> </w:t>
      </w:r>
      <w:r>
        <w:t xml:space="preserve">An exam mark is plainly a significant decision — it drives progression, sets, predicted grades and references; the ICO’s draft guidance adds that children may find decisions significant that others do not, and that organisations unable to distinguish should apply the safeguards universally.</w:t>
      </w:r>
      <w:r>
        <w:t xml:space="preserve"> </w:t>
      </w:r>
      <w:r>
        <w:rPr>
          <w:bCs/>
          <w:b/>
        </w:rPr>
        <w:t xml:space="preserve">The special-category point is the principal exposure:</w:t>
      </w:r>
      <w:r>
        <w:t xml:space="preserve"> </w:t>
      </w:r>
      <w:r>
        <w:t xml:space="preserve">Art. 22B bites where the decision is based</w:t>
      </w:r>
      <w:r>
        <w:t xml:space="preserve"> </w:t>
      </w:r>
      <w:r>
        <w:rPr>
          <w:iCs/>
          <w:i/>
        </w:rPr>
        <w:t xml:space="preserve">“</w:t>
      </w:r>
      <w:r>
        <w:rPr>
          <w:iCs/>
          <w:i/>
        </w:rPr>
        <w:t xml:space="preserve">entirely or partly</w:t>
      </w:r>
      <w:r>
        <w:rPr>
          <w:iCs/>
          <w:i/>
        </w:rPr>
        <w:t xml:space="preserve">”</w:t>
      </w:r>
      <w:r>
        <w:t xml:space="preserve"> </w:t>
      </w:r>
      <w:r>
        <w:t xml:space="preserve">on Art. 9 processing, and whole scripts routinely contain health, disability, religion, ethnicity or sexual-orientation content. If the human review ever fails, the decision becomes solely automated</w:t>
      </w:r>
      <w:r>
        <w:t xml:space="preserve"> </w:t>
      </w:r>
      <w:r>
        <w:rPr>
          <w:iCs/>
          <w:i/>
        </w:rPr>
        <w:t xml:space="preserve">and</w:t>
      </w:r>
      <w:r>
        <w:t xml:space="preserve"> </w:t>
      </w:r>
      <w:r>
        <w:t xml:space="preserve">partly based on special category data, and neither available condition is readily satisfied by a school.</w:t>
      </w:r>
    </w:p>
    <w:p>
      <w:pPr>
        <w:pStyle w:val="BodyText"/>
      </w:pPr>
      <w:r>
        <w:rPr>
          <w:bCs/>
          <w:b/>
        </w:rPr>
        <w:t xml:space="preserve">The ICO’s draft ADM guidance</w:t>
      </w:r>
      <w:r>
        <w:t xml:space="preserve"> </w:t>
      </w:r>
      <w:r>
        <w:t xml:space="preserve">(consultation 31 March – 29 May 2026;</w:t>
      </w:r>
      <w:r>
        <w:t xml:space="preserve"> </w:t>
      </w:r>
      <w:r>
        <w:rPr>
          <w:bCs/>
          <w:b/>
        </w:rPr>
        <w:t xml:space="preserve">final guidance not published as at 11 September 2026</w:t>
      </w:r>
      <w:r>
        <w:t xml:space="preserve">) sets a demanding bar for meaningful human involvement: active involvement, not token gestures, before the decision is applied; the reviewer must see the decision while it remains changeable and have authority and ability to alter it; must be sufficiently trained in the system’s logic, outputs, limitations and risks; must consider the relevant data;</w:t>
      </w:r>
      <w:r>
        <w:t xml:space="preserve"> </w:t>
      </w:r>
      <w:r>
        <w:rPr>
          <w:bCs/>
          <w:b/>
        </w:rPr>
        <w:t xml:space="preserve">the assessment must occur for every decision, not by spot-check</w:t>
      </w:r>
      <w:r>
        <w:t xml:space="preserve">; timing and process must be documented; and the Art. 22C information duty is decision-specific, so a privacy notice alone is insufficient.</w:t>
      </w:r>
      <w:r>
        <w:t xml:space="preserve"> </w:t>
      </w:r>
      <w:r>
        <w:rPr>
          <w:iCs/>
          <w:i/>
        </w:rPr>
        <w:t xml:space="preserve">(These details come from the draft and from law-firm analysis of it; the criteria could change.)</w:t>
      </w:r>
    </w:p>
    <w:p>
      <w:pPr>
        <w:pStyle w:val="BodyText"/>
      </w:pPr>
      <w:r>
        <w:rPr>
          <w:bCs/>
          <w:b/>
        </w:rPr>
        <w:t xml:space="preserve">A statutory ICO code is now mandated.</w:t>
      </w:r>
      <w:r>
        <w:t xml:space="preserve"> </w:t>
      </w:r>
      <w:r>
        <w:t xml:space="preserve">The Data Protection Act 2018 (Code of Practice on Artificial Intelligence and Automated Decision-Making) Regulations 2026,</w:t>
      </w:r>
      <w:r>
        <w:t xml:space="preserve"> </w:t>
      </w:r>
      <w:r>
        <w:rPr>
          <w:bCs/>
          <w:b/>
        </w:rPr>
        <w:t xml:space="preserve">SI 2026/425, in force 12 May 2026</w:t>
      </w:r>
      <w:r>
        <w:t xml:space="preserve">, require the Commissioner to prepare a code on developing and using AI and on automated decision-making, and — reg. 2(2) — the code</w:t>
      </w:r>
      <w:r>
        <w:t xml:space="preserve"> </w:t>
      </w:r>
      <w:r>
        <w:rPr>
          <w:bCs/>
          <w:b/>
        </w:rPr>
        <w:t xml:space="preserve">must</w:t>
      </w:r>
      <w:r>
        <w:t xml:space="preserve"> </w:t>
      </w:r>
      <w:r>
        <w:t xml:space="preserve">include guidance on processing children’s personal data. It is a statutory code, admissible in evidence and which the ICO must take into account in enforcement.</w:t>
      </w:r>
      <w:r>
        <w:t xml:space="preserve"> </w:t>
      </w:r>
      <w:r>
        <w:rPr>
          <w:bCs/>
          <w:b/>
        </w:rPr>
        <w:t xml:space="preserve">No draft, consultation or timetable had been published as at 11 September 2026. Its children’s-data chapter will be the definitive UK conformance reference for systems of this kind and requires monitoring.</w:t>
      </w:r>
    </w:p>
    <w:bookmarkEnd w:id="67"/>
    <w:bookmarkStart w:id="68" w:name="X8a54e9cce3bca95ea9476eaef3bca0d092776e9"/>
    <w:p>
      <w:pPr>
        <w:pStyle w:val="Heading3"/>
      </w:pPr>
      <w:r>
        <w:t xml:space="preserve">9.3 The exam-scripts exemption — useful, and routinely overstated</w:t>
      </w:r>
    </w:p>
    <w:p>
      <w:pPr>
        <w:pStyle w:val="FirstParagraph"/>
      </w:pPr>
      <w:r>
        <w:t xml:space="preserve">DPA 2018 Sch. 2 Part 4 para 25 does two different things:</w:t>
      </w:r>
    </w:p>
    <w:p>
      <w:pPr>
        <w:numPr>
          <w:ilvl w:val="0"/>
          <w:numId w:val="1013"/>
        </w:numPr>
        <w:pStyle w:val="Compact"/>
      </w:pPr>
      <w:r>
        <w:rPr>
          <w:bCs/>
          <w:b/>
        </w:rPr>
        <w:t xml:space="preserve">Para 25(1) is a real carve-out:</w:t>
      </w:r>
      <w:r>
        <w:t xml:space="preserve"> </w:t>
      </w:r>
      <w:r>
        <w:t xml:space="preserve">Articles 13(1)–(3), 14(1)–(4) and 15(1)–(3)</w:t>
      </w:r>
      <w:r>
        <w:t xml:space="preserve"> </w:t>
      </w:r>
      <w:r>
        <w:rPr>
          <w:iCs/>
          <w:i/>
        </w:rPr>
        <w:t xml:space="preserve">“</w:t>
      </w:r>
      <w:r>
        <w:rPr>
          <w:iCs/>
          <w:i/>
        </w:rPr>
        <w:t xml:space="preserve">do not apply to personal data consisting of information recorded by candidates during an exam</w:t>
      </w:r>
      <w:r>
        <w:rPr>
          <w:iCs/>
          <w:i/>
        </w:rPr>
        <w:t xml:space="preserve">”</w:t>
      </w:r>
      <w:r>
        <w:t xml:space="preserve">. A subject access request does not compel disclosure of the script content itself.</w:t>
      </w:r>
    </w:p>
    <w:p>
      <w:pPr>
        <w:numPr>
          <w:ilvl w:val="0"/>
          <w:numId w:val="1013"/>
        </w:numPr>
        <w:pStyle w:val="Compact"/>
      </w:pPr>
      <w:r>
        <w:rPr>
          <w:bCs/>
          <w:b/>
        </w:rPr>
        <w:t xml:space="preserve">Para 25(2)–(3) is only a</w:t>
      </w:r>
      <w:r>
        <w:rPr>
          <w:bCs/>
          <w:b/>
        </w:rPr>
        <w:t xml:space="preserve"> </w:t>
      </w:r>
      <w:r>
        <w:rPr>
          <w:iCs/>
          <w:i/>
          <w:bCs/>
          <w:b/>
        </w:rPr>
        <w:t xml:space="preserve">timing</w:t>
      </w:r>
      <w:r>
        <w:rPr>
          <w:bCs/>
          <w:b/>
        </w:rPr>
        <w:t xml:space="preserve"> </w:t>
      </w:r>
      <w:r>
        <w:rPr>
          <w:bCs/>
          <w:b/>
        </w:rPr>
        <w:t xml:space="preserve">modification for marks:</w:t>
      </w:r>
      <w:r>
        <w:t xml:space="preserve"> </w:t>
      </w:r>
      <w:r>
        <w:t xml:space="preserve">where a question arises before results are announced, the deadline becomes five months from when the question arose, or forty days from announcement, whichever is earlier. Marks remain disclosable.</w:t>
      </w:r>
    </w:p>
    <w:p>
      <w:pPr>
        <w:pStyle w:val="FirstParagraph"/>
      </w:pPr>
      <w:r>
        <w:rPr>
          <w:bCs/>
          <w:b/>
        </w:rPr>
        <w:t xml:space="preserve">It does nothing for Article 22C.</w:t>
      </w:r>
      <w:r>
        <w:t xml:space="preserve"> </w:t>
      </w:r>
      <w:r>
        <w:t xml:space="preserve">Para 25 restricts Arts. 13–15 only. The 22C duties, Art. 16 rectification, Art. 21 objection and the new complaints duty are untouched. Any assertion that</w:t>
      </w:r>
      <w:r>
        <w:t xml:space="preserve"> </w:t>
      </w:r>
      <w:r>
        <w:t xml:space="preserve">“</w:t>
      </w:r>
      <w:r>
        <w:t xml:space="preserve">exam data is exempt</w:t>
      </w:r>
      <w:r>
        <w:t xml:space="preserve">”</w:t>
      </w:r>
      <w:r>
        <w:t xml:space="preserve"> </w:t>
      </w:r>
      <w:r>
        <w:t xml:space="preserve">resting on para 25 is overstated and will be identified as such by any competent school DPO.</w:t>
      </w:r>
    </w:p>
    <w:p>
      <w:pPr>
        <w:pStyle w:val="BodyText"/>
      </w:pPr>
      <w:r>
        <w:rPr>
          <w:bCs/>
          <w:b/>
        </w:rPr>
        <w:t xml:space="preserve">New complaints regime.</w:t>
      </w:r>
      <w:r>
        <w:t xml:space="preserve"> </w:t>
      </w:r>
      <w:r>
        <w:t xml:space="preserve">DUAA s.103, in force 19 June 2026, inserts DPA 2018 s.164A: a data subject may complain</w:t>
      </w:r>
      <w:r>
        <w:t xml:space="preserve"> </w:t>
      </w:r>
      <w:r>
        <w:rPr>
          <w:bCs/>
          <w:b/>
        </w:rPr>
        <w:t xml:space="preserve">to the controller</w:t>
      </w:r>
      <w:r>
        <w:t xml:space="preserve">, who must</w:t>
      </w:r>
      <w:r>
        <w:t xml:space="preserve"> </w:t>
      </w:r>
      <w:r>
        <w:rPr>
          <w:iCs/>
          <w:i/>
        </w:rPr>
        <w:t xml:space="preserve">facilitate</w:t>
      </w:r>
      <w:r>
        <w:t xml:space="preserve"> </w:t>
      </w:r>
      <w:r>
        <w:t xml:space="preserve">complaints (for example by an electronic form),</w:t>
      </w:r>
      <w:r>
        <w:t xml:space="preserve"> </w:t>
      </w:r>
      <w:r>
        <w:rPr>
          <w:bCs/>
          <w:b/>
        </w:rPr>
        <w:t xml:space="preserve">acknowledge within 30 days</w:t>
      </w:r>
      <w:r>
        <w:t xml:space="preserve">, and respond without undue delay. Art. 77 UK GDPR was repealed. A parent disputing an AI-assisted mark is now a data protection complaint on a statutory clock.</w:t>
      </w:r>
      <w:r>
        <w:t xml:space="preserve"> </w:t>
      </w:r>
      <w:r>
        <w:rPr>
          <w:bCs/>
          <w:b/>
        </w:rPr>
        <w:t xml:space="preserve">Lawful use therefore requires a per-decision contest and appeal route that the deploying school can feed into its s.164A process; the same route serves as the Art. 22C(2)(b) and (d) safeguards.</w:t>
      </w:r>
    </w:p>
    <w:bookmarkEnd w:id="68"/>
    <w:bookmarkStart w:id="69" w:name="X02f1bf3807b7a0cb6e54e665363d31231d2f1cd"/>
    <w:p>
      <w:pPr>
        <w:pStyle w:val="Heading3"/>
      </w:pPr>
      <w:r>
        <w:t xml:space="preserve">9.4 The ICO’s edtech audit — the best available UK conformance checklist</w:t>
      </w:r>
    </w:p>
    <w:p>
      <w:pPr>
        <w:pStyle w:val="FirstParagraph"/>
      </w:pPr>
      <w:r>
        <w:rPr>
          <w:iCs/>
          <w:i/>
        </w:rPr>
        <w:t xml:space="preserve">Edtech examined</w:t>
      </w:r>
      <w:r>
        <w:t xml:space="preserve">, published 24 June 2026: 28 providers audited, reaching an estimated 70–90%+ of UK schools; 596 recommendations, 98% accepted.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Finding</w:t>
            </w:r>
          </w:p>
        </w:tc>
        <w:tc>
          <w:tcPr/>
          <w:p>
            <w:pPr>
              <w:pStyle w:val="Compact"/>
              <w:jc w:val="left"/>
            </w:pPr>
            <w:r>
              <w:t xml:space="preserve">Prevalence</w:t>
            </w:r>
          </w:p>
        </w:tc>
      </w:tr>
      <w:tr>
        <w:tc>
          <w:tcPr/>
          <w:p>
            <w:pPr>
              <w:pStyle w:val="Compact"/>
              <w:jc w:val="left"/>
            </w:pPr>
            <w:r>
              <w:t xml:space="preserve">Failed to identify themselves as</w:t>
            </w:r>
            <w:r>
              <w:t xml:space="preserve"> </w:t>
            </w:r>
            <w:r>
              <w:rPr>
                <w:bCs/>
                <w:b/>
              </w:rPr>
              <w:t xml:space="preserve">controllers</w:t>
            </w:r>
            <w:r>
              <w:t xml:space="preserve"> </w:t>
            </w:r>
            <w:r>
              <w:t xml:space="preserve">when using children’s data beyond the contracted service</w:t>
            </w:r>
          </w:p>
        </w:tc>
        <w:tc>
          <w:tcPr/>
          <w:p>
            <w:pPr>
              <w:pStyle w:val="Compact"/>
              <w:jc w:val="left"/>
            </w:pPr>
            <w:r>
              <w:t xml:space="preserve">~70%</w:t>
            </w:r>
          </w:p>
        </w:tc>
      </w:tr>
      <w:tr>
        <w:tc>
          <w:tcPr/>
          <w:p>
            <w:pPr>
              <w:pStyle w:val="Compact"/>
              <w:jc w:val="left"/>
            </w:pPr>
            <w:r>
              <w:t xml:space="preserve">Incomplete or inaccurate records of processing</w:t>
            </w:r>
          </w:p>
        </w:tc>
        <w:tc>
          <w:tcPr/>
          <w:p>
            <w:pPr>
              <w:pStyle w:val="Compact"/>
              <w:jc w:val="left"/>
            </w:pPr>
            <w:r>
              <w:t xml:space="preserve">~90%</w:t>
            </w:r>
          </w:p>
        </w:tc>
      </w:tr>
      <w:tr>
        <w:tc>
          <w:tcPr/>
          <w:p>
            <w:pPr>
              <w:pStyle w:val="Compact"/>
              <w:jc w:val="left"/>
            </w:pPr>
            <w:r>
              <w:t xml:space="preserve">Vague contracts lacking specific processing instructions</w:t>
            </w:r>
          </w:p>
        </w:tc>
        <w:tc>
          <w:tcPr/>
          <w:p>
            <w:pPr>
              <w:pStyle w:val="Compact"/>
              <w:jc w:val="left"/>
            </w:pPr>
            <w:r>
              <w:t xml:space="preserve">~70%</w:t>
            </w:r>
          </w:p>
        </w:tc>
      </w:tr>
      <w:tr>
        <w:tc>
          <w:tcPr/>
          <w:p>
            <w:pPr>
              <w:pStyle w:val="Compact"/>
              <w:jc w:val="left"/>
            </w:pPr>
            <w:r>
              <w:t xml:space="preserve">Insufficiently detailed published privacy information</w:t>
            </w:r>
          </w:p>
        </w:tc>
        <w:tc>
          <w:tcPr/>
          <w:p>
            <w:pPr>
              <w:pStyle w:val="Compact"/>
              <w:jc w:val="left"/>
            </w:pPr>
            <w:r>
              <w:t xml:space="preserve">~80%</w:t>
            </w:r>
          </w:p>
        </w:tc>
      </w:tr>
      <w:tr>
        <w:tc>
          <w:tcPr/>
          <w:p>
            <w:pPr>
              <w:pStyle w:val="Compact"/>
              <w:jc w:val="left"/>
            </w:pPr>
            <w:r>
              <w:t xml:space="preserve">Fixed, unjustifiable or indefinite retention</w:t>
            </w:r>
          </w:p>
        </w:tc>
        <w:tc>
          <w:tcPr/>
          <w:p>
            <w:pPr>
              <w:pStyle w:val="Compact"/>
              <w:jc w:val="left"/>
            </w:pPr>
            <w:r>
              <w:t xml:space="preserve">~70%</w:t>
            </w:r>
          </w:p>
        </w:tc>
      </w:tr>
      <w:tr>
        <w:tc>
          <w:tcPr/>
          <w:p>
            <w:pPr>
              <w:pStyle w:val="Compact"/>
              <w:jc w:val="left"/>
            </w:pPr>
            <w:r>
              <w:t xml:space="preserve">DPIAs framing risk as organisational rather than</w:t>
            </w:r>
            <w:r>
              <w:t xml:space="preserve"> </w:t>
            </w:r>
            <w:r>
              <w:rPr>
                <w:bCs/>
                <w:b/>
              </w:rPr>
              <w:t xml:space="preserve">risk to children</w:t>
            </w:r>
          </w:p>
        </w:tc>
        <w:tc>
          <w:tcPr/>
          <w:p>
            <w:pPr>
              <w:pStyle w:val="Compact"/>
              <w:jc w:val="left"/>
            </w:pPr>
            <w:r>
              <w:t xml:space="preserve">widespread</w:t>
            </w:r>
          </w:p>
        </w:tc>
      </w:tr>
    </w:tbl>
    <w:p>
      <w:pPr>
        <w:pStyle w:val="BodyText"/>
      </w:pPr>
      <w:r>
        <w:t xml:space="preserve">On AI specifically, several providers used children’s data to train AI functionality or shared anonymised information with third parties</w:t>
      </w:r>
      <w:r>
        <w:t xml:space="preserve"> </w:t>
      </w:r>
      <w:r>
        <w:rPr>
          <w:bCs/>
          <w:b/>
        </w:rPr>
        <w:t xml:space="preserve">without identifying a lawful basis</w:t>
      </w:r>
      <w:r>
        <w:t xml:space="preserve">. On minimisation, the ICO recommends initials or pseudonyms, school year instead of full date of birth, and</w:t>
      </w:r>
      <w:r>
        <w:t xml:space="preserve"> </w:t>
      </w:r>
      <w:r>
        <w:rPr>
          <w:bCs/>
          <w:b/>
        </w:rPr>
        <w:t xml:space="preserve">special-category processing optional and disabled by default</w:t>
      </w:r>
      <w:r>
        <w:t xml:space="preserve">. The ICO says it is discussing a</w:t>
      </w:r>
      <w:r>
        <w:t xml:space="preserve"> </w:t>
      </w:r>
      <w:r>
        <w:rPr>
          <w:bCs/>
          <w:b/>
        </w:rPr>
        <w:t xml:space="preserve">potential new edtech code</w:t>
      </w:r>
      <w:r>
        <w:t xml:space="preserve"> </w:t>
      </w:r>
      <w:r>
        <w:t xml:space="preserve">with DfE and the devolved authorities, and DfE’s own procurement guidance now directs schools to the report.</w:t>
      </w:r>
      <w:r>
        <w:t xml:space="preserve"> </w:t>
      </w:r>
      <w:r>
        <w:rPr>
          <w:bCs/>
          <w:b/>
        </w:rPr>
        <w:t xml:space="preserve">The 596 recommendation themes are the due-diligence questions school DPOs now put to providers.</w:t>
      </w:r>
    </w:p>
    <w:p>
      <w:pPr>
        <w:pStyle w:val="BodyText"/>
      </w:pPr>
      <w:r>
        <w:rPr>
          <w:bCs/>
          <w:b/>
        </w:rPr>
        <w:t xml:space="preserve">Children’s code.</w:t>
      </w:r>
      <w:r>
        <w:t xml:space="preserve"> </w:t>
      </w:r>
      <w:r>
        <w:t xml:space="preserve">It does not apply where all three are true: the service is not direct-to-consumer; the provider processes children’s data only to fulfil the school’s public task as determined by the school; and the provider acts solely on the school’s instruction.</w:t>
      </w:r>
      <w:r>
        <w:t xml:space="preserve"> </w:t>
      </w:r>
      <w:r>
        <w:rPr>
          <w:bCs/>
          <w:b/>
        </w:rPr>
        <w:t xml:space="preserve">Where a provider retains scripts for model improvement, benchmarking or product analytics on its own account, the provider becomes a controller and the code applies in full.</w:t>
      </w:r>
      <w:r>
        <w:t xml:space="preserve"> </w:t>
      </w:r>
      <w:r>
        <w:t xml:space="preserve">That is a binary architectural distinction. From 5 February 2026, DUAA s.81 additionally inserts Art. 25(1A)–(1B) requiring</w:t>
      </w:r>
      <w:r>
        <w:t xml:space="preserve"> </w:t>
      </w:r>
      <w:r>
        <w:t xml:space="preserve">“</w:t>
      </w:r>
      <w:r>
        <w:t xml:space="preserve">children’s higher protection matters</w:t>
      </w:r>
      <w:r>
        <w:t xml:space="preserve">”</w:t>
      </w:r>
      <w:r>
        <w:t xml:space="preserve"> </w:t>
      </w:r>
      <w:r>
        <w:t xml:space="preserve">to be taken into account in technical and organisational measures.</w:t>
      </w:r>
    </w:p>
    <w:bookmarkEnd w:id="69"/>
    <w:bookmarkStart w:id="70" w:name="X6ab32ebfd8c4285cdce826725e4da8d0835d0c1"/>
    <w:p>
      <w:pPr>
        <w:pStyle w:val="Heading3"/>
      </w:pPr>
      <w:r>
        <w:t xml:space="preserve">9.5 DfE — the de facto vendor conformance standard</w:t>
      </w:r>
    </w:p>
    <w:p>
      <w:pPr>
        <w:pStyle w:val="FirstParagraph"/>
      </w:pPr>
      <w:r>
        <w:rPr>
          <w:bCs/>
          <w:b/>
        </w:rPr>
        <w:t xml:space="preserve">“</w:t>
      </w:r>
      <w:r>
        <w:rPr>
          <w:bCs/>
          <w:b/>
        </w:rPr>
        <w:t xml:space="preserve">Generative AI: product safety standards</w:t>
      </w:r>
      <w:r>
        <w:rPr>
          <w:bCs/>
          <w:b/>
        </w:rPr>
        <w:t xml:space="preserve">”</w:t>
      </w:r>
      <w:r>
        <w:t xml:space="preserve"> </w:t>
      </w:r>
      <w:r>
        <w:t xml:space="preserve">(published 22 January 2025, last updated 19 January 2026; still referred to as</w:t>
      </w:r>
      <w:r>
        <w:t xml:space="preserve"> </w:t>
      </w:r>
      <w:r>
        <w:t xml:space="preserve">“</w:t>
      </w:r>
      <w:r>
        <w:t xml:space="preserve">product safety expectations</w:t>
      </w:r>
      <w:r>
        <w:t xml:space="preserve">”</w:t>
      </w:r>
      <w:r>
        <w:t xml:space="preserve"> </w:t>
      </w:r>
      <w:r>
        <w:t xml:space="preserve">in KCSIE 2026 and the DfE policy paper — same document). These are addressed to</w:t>
      </w:r>
      <w:r>
        <w:t xml:space="preserve"> </w:t>
      </w:r>
      <w:r>
        <w:rPr>
          <w:bCs/>
          <w:b/>
        </w:rPr>
        <w:t xml:space="preserve">edtech developers and suppliers</w:t>
      </w:r>
      <w:r>
        <w:t xml:space="preserve">, and responsibility for assuring upstream elements lies with the supplier working directly with the school.</w:t>
      </w:r>
    </w:p>
    <w:p>
      <w:pPr>
        <w:pStyle w:val="BodyText"/>
      </w:pPr>
      <w:r>
        <w:t xml:space="preserve">AI-supported marking falls squarely within</w:t>
      </w:r>
      <w:r>
        <w:t xml:space="preserve"> </w:t>
      </w:r>
      <w:r>
        <w:rPr>
          <w:bCs/>
          <w:b/>
        </w:rPr>
        <w:t xml:space="preserve">use case 3:</w:t>
      </w:r>
      <w:r>
        <w:rPr>
          <w:bCs/>
          <w:b/>
        </w:rPr>
        <w:t xml:space="preserve"> </w:t>
      </w:r>
      <w:r>
        <w:rPr>
          <w:bCs/>
          <w:b/>
        </w:rPr>
        <w:t xml:space="preserve">“</w:t>
      </w:r>
      <w:r>
        <w:rPr>
          <w:bCs/>
          <w:b/>
        </w:rPr>
        <w:t xml:space="preserve">Assessment and analytics: tools that automate the marking of student work, provide detailed performance analytics, and offer personalised feedback.</w:t>
      </w:r>
      <w:r>
        <w:rPr>
          <w:bCs/>
          <w:b/>
        </w:rPr>
        <w:t xml:space="preserve">”</w:t>
      </w:r>
      <w:r>
        <w:t xml:space="preserve"> </w:t>
      </w:r>
      <w:r>
        <w:t xml:space="preserve">This matters for scoping: several standards are expressly limited to learner-facing products, so a teacher-facing product is</w:t>
      </w:r>
      <w:r>
        <w:t xml:space="preserve"> </w:t>
      </w:r>
      <w:r>
        <w:rPr>
          <w:bCs/>
          <w:b/>
        </w:rPr>
        <w:t xml:space="preserve">out of scope</w:t>
      </w:r>
      <w:r>
        <w:t xml:space="preserve"> </w:t>
      </w:r>
      <w:r>
        <w:t xml:space="preserve">for Filtering, Monitoring and reporting, Cognitive development, Emotional and social development, and Mental health — and</w:t>
      </w:r>
      <w:r>
        <w:t xml:space="preserve"> </w:t>
      </w:r>
      <w:r>
        <w:rPr>
          <w:bCs/>
          <w:b/>
        </w:rPr>
        <w:t xml:space="preserve">in scope</w:t>
      </w:r>
      <w:r>
        <w:t xml:space="preserve"> </w:t>
      </w:r>
      <w:r>
        <w:t xml:space="preserve">for Security, Privacy and data protection, Intellectual property, Design and testing, Governance, and Manipulation.</w:t>
      </w:r>
      <w:r>
        <w:t xml:space="preserve"> </w:t>
      </w:r>
      <w:r>
        <w:rPr>
          <w:bCs/>
          <w:b/>
        </w:rPr>
        <w:t xml:space="preserve">A pupil-facing feedback feature brings a product within the learner-facing standards, including designated-safeguarding-lead alerting, session time limits, distress detection and anti-anthropomorphism.</w:t>
      </w:r>
    </w:p>
    <w:p>
      <w:pPr>
        <w:pStyle w:val="BodyText"/>
      </w:pPr>
      <w:r>
        <w:t xml:space="preserve">The applicable standards include: administrator-settable permission levels, safety testing of new versions and models before release, MFA on accounts with access to personal operational data; a privacy notice presented at regular intervals in age-appropriate language stating whether data is processed outside the UK or EU; a</w:t>
      </w:r>
      <w:r>
        <w:t xml:space="preserve"> </w:t>
      </w:r>
      <w:r>
        <w:rPr>
          <w:bCs/>
          <w:b/>
        </w:rPr>
        <w:t xml:space="preserve">DPIA during development and across the full lifecycle</w:t>
      </w:r>
      <w:r>
        <w:t xml:space="preserve">; compliance with the Children’s code; and — critically —</w:t>
      </w:r>
      <w:r>
        <w:t xml:space="preserve"> </w:t>
      </w:r>
      <w:r>
        <w:rPr>
          <w:bCs/>
          <w:b/>
        </w:rPr>
        <w:t xml:space="preserve">no collection, storage, sharing or use of personal data for commercial purposes including further model training and fine-tuning without confirmation of an appropriate lawful basis</w:t>
      </w:r>
      <w:r>
        <w:t xml:space="preserve">.</w:t>
      </w:r>
    </w:p>
    <w:p>
      <w:pPr>
        <w:pStyle w:val="BodyText"/>
      </w:pPr>
      <w:r>
        <w:rPr>
          <w:bCs/>
          <w:b/>
        </w:rPr>
        <w:t xml:space="preserve">The IP standard is the hardest single constraint on the use of exam material as training data.</w:t>
      </w:r>
      <w:r>
        <w:t xml:space="preserve"> </w:t>
      </w:r>
      <w:r>
        <w:t xml:space="preserve">Exam scripts are pupils’ copyright works; DfE states schools</w:t>
      </w:r>
      <w:r>
        <w:t xml:space="preserve"> </w:t>
      </w:r>
      <w:r>
        <w:rPr>
          <w:iCs/>
          <w:i/>
        </w:rPr>
        <w:t xml:space="preserve">“</w:t>
      </w:r>
      <w:r>
        <w:rPr>
          <w:iCs/>
          <w:i/>
        </w:rPr>
        <w:t xml:space="preserve">must not allow or cause students’ original work to be used to train generative AI models unless they have permission, or an exception to copyright applies</w:t>
      </w:r>
      <w:r>
        <w:rPr>
          <w:iCs/>
          <w:i/>
        </w:rPr>
        <w:t xml:space="preserve">”</w:t>
      </w:r>
      <w:r>
        <w:t xml:space="preserve"> </w:t>
      </w:r>
      <w:r>
        <w:t xml:space="preserve">— permission from the pupil, or the parent or guardian if the pupil is a minor. And the UK has no applicable exception: the broad text-and-data-mining exception is not proceeding, and no statutory training-data transparency obligation is in force.</w:t>
      </w:r>
      <w:r>
        <w:t xml:space="preserve"> </w:t>
      </w:r>
      <w:r>
        <w:rPr>
          <w:bCs/>
          <w:b/>
        </w:rPr>
        <w:t xml:space="preserve">A separately licensed corpus is therefore required.</w:t>
      </w:r>
      <w:r>
        <w:t xml:space="preserve"> </w:t>
      </w:r>
      <w:r>
        <w:t xml:space="preserve">Ofqual’s</w:t>
      </w:r>
      <w:r>
        <w:t xml:space="preserve"> </w:t>
      </w:r>
      <w:r>
        <w:rPr>
          <w:iCs/>
          <w:i/>
        </w:rPr>
        <w:t xml:space="preserve">“</w:t>
      </w:r>
      <w:r>
        <w:rPr>
          <w:iCs/>
          <w:i/>
        </w:rPr>
        <w:t xml:space="preserve">bank of expertly marked student scripts, with appropriate permissions</w:t>
      </w:r>
      <w:r>
        <w:rPr>
          <w:iCs/>
          <w:i/>
        </w:rPr>
        <w:t xml:space="preserve">”</w:t>
      </w:r>
      <w:r>
        <w:t xml:space="preserve"> </w:t>
      </w:r>
      <w:r>
        <w:t xml:space="preserve">supplied to the DfE content-store pilot is the model for such licensing.</w:t>
      </w:r>
    </w:p>
    <w:p>
      <w:pPr>
        <w:pStyle w:val="BodyText"/>
      </w:pPr>
      <w:r>
        <w:rPr>
          <w:bCs/>
          <w:b/>
        </w:rPr>
        <w:t xml:space="preserve">The Manipulation standard applies to teacher-facing products</w:t>
      </w:r>
      <w:r>
        <w:t xml:space="preserve"> </w:t>
      </w:r>
      <w:r>
        <w:t xml:space="preserve">and forbids</w:t>
      </w:r>
      <w:r>
        <w:t xml:space="preserve"> </w:t>
      </w:r>
      <w:r>
        <w:rPr>
          <w:iCs/>
          <w:i/>
        </w:rPr>
        <w:t xml:space="preserve">“</w:t>
      </w:r>
      <w:r>
        <w:rPr>
          <w:iCs/>
          <w:i/>
        </w:rPr>
        <w:t xml:space="preserve">portraying absolute, or unjustified confidence</w:t>
      </w:r>
      <w:r>
        <w:rPr>
          <w:iCs/>
          <w:i/>
        </w:rPr>
        <w:t xml:space="preserve">”</w:t>
      </w:r>
      <w:r>
        <w:t xml:space="preserve">.</w:t>
      </w:r>
      <w:r>
        <w:t xml:space="preserve"> </w:t>
      </w:r>
      <w:r>
        <w:rPr>
          <w:bCs/>
          <w:b/>
        </w:rPr>
        <w:t xml:space="preserve">That is a direct interface requirement: such a system must present calibrated confidence bands, flag low-confidence items for mandatory review, and never present a mark as settled.</w:t>
      </w:r>
    </w:p>
    <w:p>
      <w:pPr>
        <w:pStyle w:val="BodyText"/>
      </w:pPr>
      <w:r>
        <w:rPr>
          <w:bCs/>
          <w:b/>
        </w:rPr>
        <w:t xml:space="preserve">There is no DfE certification, self-declaration, register or conformity mark.</w:t>
      </w:r>
      <w:r>
        <w:t xml:space="preserve"> </w:t>
      </w:r>
      <w:r>
        <w:t xml:space="preserve">In the absence of a certification route, a clause-by-clause self-assessment published against these standards is the available means of demonstrating conformance, is what school DPOs and business managers look for, and addresses the themes identified in the ICO edtech audit. The</w:t>
      </w:r>
      <w:r>
        <w:t xml:space="preserve"> </w:t>
      </w:r>
      <w:r>
        <w:rPr>
          <w:bCs/>
          <w:b/>
        </w:rPr>
        <w:t xml:space="preserve">EdTech Impact Testbed Programme</w:t>
      </w:r>
      <w:r>
        <w:t xml:space="preserve"> </w:t>
      </w:r>
      <w:r>
        <w:t xml:space="preserve">(£23m, FY2026-27 onward) is the route to a government-badged evidence base.</w:t>
      </w:r>
    </w:p>
    <w:p>
      <w:pPr>
        <w:pStyle w:val="BodyText"/>
      </w:pPr>
      <w:r>
        <w:t xml:space="preserve">DfE’s policy paper states:</w:t>
      </w:r>
      <w:r>
        <w:t xml:space="preserve"> </w:t>
      </w:r>
      <w:r>
        <w:rPr>
          <w:iCs/>
          <w:i/>
        </w:rPr>
        <w:t xml:space="preserve">“</w:t>
      </w:r>
      <w:r>
        <w:rPr>
          <w:iCs/>
          <w:i/>
        </w:rPr>
        <w:t xml:space="preserve">We see more immediate benefits and fewer risks from teacher-facing use of generative AI</w:t>
      </w:r>
      <w:r>
        <w:rPr>
          <w:iCs/>
          <w:i/>
        </w:rPr>
        <w:t xml:space="preserve">”</w:t>
      </w:r>
      <w:r>
        <w:t xml:space="preserve">, coupled with the responsibility rule —</w:t>
      </w:r>
      <w:r>
        <w:t xml:space="preserve"> </w:t>
      </w:r>
      <w:r>
        <w:rPr>
          <w:iCs/>
          <w:i/>
        </w:rPr>
        <w:t xml:space="preserve">“</w:t>
      </w:r>
      <w:r>
        <w:rPr>
          <w:iCs/>
          <w:i/>
        </w:rPr>
        <w:t xml:space="preserve">The quality and content of any final documents remains the responsibility of the professional who produced it.</w:t>
      </w:r>
      <w:r>
        <w:rPr>
          <w:iCs/>
          <w:i/>
        </w:rPr>
        <w:t xml:space="preserve">”</w:t>
      </w:r>
      <w:r>
        <w:t xml:space="preserve"> </w:t>
      </w:r>
      <w:r>
        <w:t xml:space="preserve">Ofsted does not evaluate AI use directly but considers its</w:t>
      </w:r>
      <w:r>
        <w:t xml:space="preserve"> </w:t>
      </w:r>
      <w:r>
        <w:rPr>
          <w:bCs/>
          <w:b/>
        </w:rPr>
        <w:t xml:space="preserve">impact</w:t>
      </w:r>
      <w:r>
        <w:t xml:space="preserve">, and evaluates</w:t>
      </w:r>
      <w:r>
        <w:t xml:space="preserve"> </w:t>
      </w:r>
      <w:r>
        <w:rPr>
          <w:bCs/>
          <w:b/>
        </w:rPr>
        <w:t xml:space="preserve">the provider’s decision-making</w:t>
      </w:r>
      <w:r>
        <w:t xml:space="preserve">, not the tool.</w:t>
      </w:r>
    </w:p>
    <w:bookmarkEnd w:id="70"/>
    <w:bookmarkStart w:id="71" w:name="Xb858f363b0d7a21eabc4b01b7dc42464463a6c0"/>
    <w:p>
      <w:pPr>
        <w:pStyle w:val="Heading3"/>
      </w:pPr>
      <w:r>
        <w:t xml:space="preserve">9.6 Ofqual and JCQ — the hard boundary, and where it leaves room</w:t>
      </w:r>
    </w:p>
    <w:p>
      <w:pPr>
        <w:pStyle w:val="FirstParagraph"/>
      </w:pPr>
      <w:r>
        <w:rPr>
          <w:bCs/>
          <w:b/>
        </w:rPr>
        <w:t xml:space="preserve">Ofqual’s position (policy paper as at 16 July 2026):</w:t>
      </w:r>
    </w:p>
    <w:p>
      <w:pPr>
        <w:pStyle w:val="BlockText"/>
      </w:pPr>
      <w:r>
        <w:rPr>
          <w:iCs/>
          <w:i/>
        </w:rPr>
        <w:t xml:space="preserve">“</w:t>
      </w:r>
      <w:r>
        <w:rPr>
          <w:iCs/>
          <w:i/>
        </w:rPr>
        <w:t xml:space="preserve">We have made clear to awarding organisations that</w:t>
      </w:r>
      <w:r>
        <w:rPr>
          <w:iCs/>
          <w:i/>
        </w:rPr>
        <w:t xml:space="preserve"> </w:t>
      </w:r>
      <w:r>
        <w:rPr>
          <w:bCs/>
          <w:b/>
          <w:iCs/>
          <w:i/>
        </w:rPr>
        <w:t xml:space="preserve">AI may not be used as a sole marker in any assessments that are part of regulated qualifications</w:t>
      </w:r>
      <w:r>
        <w:rPr>
          <w:iCs/>
          <w:i/>
        </w:rPr>
        <w:t xml:space="preserve">.</w:t>
      </w:r>
      <w:r>
        <w:rPr>
          <w:iCs/>
          <w:i/>
        </w:rPr>
        <w:t xml:space="preserve">”</w:t>
      </w:r>
    </w:p>
    <w:p>
      <w:pPr>
        <w:pStyle w:val="FirstParagraph"/>
      </w:pPr>
      <w:r>
        <w:t xml:space="preserve">And in the next paragraph, the opening:</w:t>
      </w:r>
    </w:p>
    <w:p>
      <w:pPr>
        <w:pStyle w:val="BlockText"/>
      </w:pPr>
      <w:r>
        <w:rPr>
          <w:iCs/>
          <w:i/>
        </w:rPr>
        <w:t xml:space="preserve">“</w:t>
      </w:r>
      <w:r>
        <w:rPr>
          <w:iCs/>
          <w:i/>
        </w:rPr>
        <w:t xml:space="preserve">…we recognise the potential for AI to support marking of lower-stakes and classroom-based assessment. We have contributed to work led by the Department for Education to support the development of AI tools to assist teachers in marking classroom assessments.</w:t>
      </w:r>
      <w:r>
        <w:rPr>
          <w:iCs/>
          <w:i/>
        </w:rPr>
        <w:t xml:space="preserve">”</w:t>
      </w:r>
    </w:p>
    <w:p>
      <w:pPr>
        <w:pStyle w:val="FirstParagraph"/>
      </w:pPr>
      <w:r>
        <w:t xml:space="preserve">Ofqual’s research paper</w:t>
      </w:r>
      <w:r>
        <w:t xml:space="preserve"> </w:t>
      </w:r>
      <w:r>
        <w:rPr>
          <w:iCs/>
          <w:i/>
        </w:rPr>
        <w:t xml:space="preserve">Principles of AI use in marking</w:t>
      </w:r>
      <w:r>
        <w:t xml:space="preserve"> </w:t>
      </w:r>
      <w:r>
        <w:t xml:space="preserve">(14 January 2026) is candid in both directions: AI as sole determinant does not comply with its regulations, but</w:t>
      </w:r>
      <w:r>
        <w:t xml:space="preserve"> </w:t>
      </w:r>
      <w:r>
        <w:rPr>
          <w:iCs/>
          <w:i/>
        </w:rPr>
        <w:t xml:space="preserve">“</w:t>
      </w:r>
      <w:r>
        <w:rPr>
          <w:iCs/>
          <w:i/>
        </w:rPr>
        <w:t xml:space="preserve">principled arguments exist for accepting AI and automated marking in high stakes assessments, in the right conditions and with the right safeguards</w:t>
      </w:r>
      <w:r>
        <w:rPr>
          <w:iCs/>
          <w:i/>
        </w:rPr>
        <w:t xml:space="preserve">”</w:t>
      </w:r>
      <w:r>
        <w:t xml:space="preserve">. It flags that explainability methods can produce</w:t>
      </w:r>
      <w:r>
        <w:t xml:space="preserve"> </w:t>
      </w:r>
      <w:r>
        <w:rPr>
          <w:bCs/>
          <w:b/>
        </w:rPr>
        <w:t xml:space="preserve">misleading</w:t>
      </w:r>
      <w:r>
        <w:t xml:space="preserve"> </w:t>
      </w:r>
      <w:r>
        <w:t xml:space="preserve">explanations, that empirical studies have identified</w:t>
      </w:r>
      <w:r>
        <w:t xml:space="preserve"> </w:t>
      </w:r>
      <w:r>
        <w:rPr>
          <w:bCs/>
          <w:b/>
        </w:rPr>
        <w:t xml:space="preserve">variable AI marking performance across demographic groups</w:t>
      </w:r>
      <w:r>
        <w:t xml:space="preserve">, and that</w:t>
      </w:r>
      <w:r>
        <w:t xml:space="preserve"> </w:t>
      </w:r>
      <w:r>
        <w:rPr>
          <w:bCs/>
          <w:b/>
        </w:rPr>
        <w:t xml:space="preserve">agreement with human marks alone is insufficient</w:t>
      </w:r>
      <w:r>
        <w:t xml:space="preserve"> </w:t>
      </w:r>
      <w:r>
        <w:t xml:space="preserve">evidence of validity. The degree and type of human involvement</w:t>
      </w:r>
      <w:r>
        <w:t xml:space="preserve"> </w:t>
      </w:r>
      <w:r>
        <w:rPr>
          <w:iCs/>
          <w:i/>
        </w:rPr>
        <w:t xml:space="preserve">“</w:t>
      </w:r>
      <w:r>
        <w:rPr>
          <w:iCs/>
          <w:i/>
        </w:rPr>
        <w:t xml:space="preserve">remains a key regulatory question</w:t>
      </w:r>
      <w:r>
        <w:rPr>
          <w:iCs/>
          <w:i/>
        </w:rPr>
        <w:t xml:space="preserve">”</w:t>
      </w:r>
      <w:r>
        <w:t xml:space="preserve">, and Ofqual is gathering evidence over 12–24 months.</w:t>
      </w:r>
    </w:p>
    <w:p>
      <w:pPr>
        <w:pStyle w:val="BodyText"/>
      </w:pPr>
      <w:r>
        <w:rPr>
          <w:bCs/>
          <w:b/>
        </w:rPr>
        <w:t xml:space="preserve">JCQ goes further operationally than data protection law does.</w:t>
      </w:r>
      <w:r>
        <w:t xml:space="preserve"> </w:t>
      </w:r>
      <w:r>
        <w:t xml:space="preserve">Instructions for Conducting Coursework s.8.1 and for Non-Examination Assessments s.6.1:</w:t>
      </w:r>
      <w:r>
        <w:t xml:space="preserve"> </w:t>
      </w:r>
      <w:r>
        <w:rPr>
          <w:iCs/>
          <w:i/>
        </w:rPr>
        <w:t xml:space="preserve">“</w:t>
      </w:r>
      <w:r>
        <w:rPr>
          <w:iCs/>
          <w:i/>
        </w:rPr>
        <w:t xml:space="preserve">Teachers must not use artificial intelligence as the sole means of marking candidates’ work.</w:t>
      </w:r>
      <w:r>
        <w:rPr>
          <w:iCs/>
          <w:i/>
        </w:rPr>
        <w:t xml:space="preserve">”</w:t>
      </w:r>
      <w:r>
        <w:t xml:space="preserve"> </w:t>
      </w:r>
      <w:r>
        <w:t xml:space="preserve">And in</w:t>
      </w:r>
      <w:r>
        <w:t xml:space="preserve"> </w:t>
      </w:r>
      <w:r>
        <w:rPr>
          <w:iCs/>
          <w:i/>
        </w:rPr>
        <w:t xml:space="preserve">AI Use in Assessments</w:t>
      </w:r>
      <w:r>
        <w:t xml:space="preserve">:</w:t>
      </w:r>
      <w:r>
        <w:t xml:space="preserve"> </w:t>
      </w:r>
      <w:r>
        <w:rPr>
          <w:iCs/>
          <w:i/>
        </w:rPr>
        <w:t xml:space="preserve">“</w:t>
      </w:r>
      <w:r>
        <w:rPr>
          <w:iCs/>
          <w:i/>
        </w:rPr>
        <w:t xml:space="preserve">an AI tool cannot be the sole marker. A human assessor must review all the work in its entirety and determine the mark it warrants, regardless of the outcomes of an AI tool.</w:t>
      </w:r>
      <w:r>
        <w:rPr>
          <w:iCs/>
          <w:i/>
        </w:rPr>
        <w:t xml:space="preserve">”</w:t>
      </w:r>
      <w:r>
        <w:t xml:space="preserve"> </w:t>
      </w:r>
      <w:r>
        <w:rPr>
          <w:iCs/>
          <w:i/>
        </w:rPr>
        <w:t xml:space="preserve">(Section numbering comes from the JCQ website rendering; the underlying PDFs could not be fetched — verify before quoting externally.)</w:t>
      </w:r>
    </w:p>
    <w:p>
      <w:pPr>
        <w:pStyle w:val="BodyText"/>
      </w:pPr>
      <w:r>
        <w:rPr>
          <w:bCs/>
          <w:b/>
        </w:rPr>
        <w:t xml:space="preserve">“</w:t>
      </w:r>
      <w:r>
        <w:rPr>
          <w:bCs/>
          <w:b/>
        </w:rPr>
        <w:t xml:space="preserve">Review all the work in its entirety</w:t>
      </w:r>
      <w:r>
        <w:rPr>
          <w:bCs/>
          <w:b/>
        </w:rPr>
        <w:t xml:space="preserve">”</w:t>
      </w:r>
      <w:r>
        <w:rPr>
          <w:bCs/>
          <w:b/>
        </w:rPr>
        <w:t xml:space="preserve"> </w:t>
      </w:r>
      <w:r>
        <w:rPr>
          <w:bCs/>
          <w:b/>
        </w:rPr>
        <w:t xml:space="preserve">is a stricter requirement than Art. 22A</w:t>
      </w:r>
      <w:r>
        <w:t xml:space="preserve"> </w:t>
      </w:r>
      <w:r>
        <w:t xml:space="preserve">— it is not enough to review the proposal; the examiner must read the script. It is the same requirement German law imposes through</w:t>
      </w:r>
      <w:r>
        <w:t xml:space="preserve"> </w:t>
      </w:r>
      <w:r>
        <w:rPr>
          <w:iCs/>
          <w:i/>
        </w:rPr>
        <w:t xml:space="preserve">persönlich unmittelbar und vollständig zur Kenntnis nehmen</w:t>
      </w:r>
      <w:r>
        <w:t xml:space="preserve">.</w:t>
      </w:r>
      <w:r>
        <w:t xml:space="preserve"> </w:t>
      </w:r>
      <w:r>
        <w:rPr>
          <w:bCs/>
          <w:b/>
        </w:rPr>
        <w:t xml:space="preserve">A system used for such marking must therefore present the script and the proposed mark side by side, and must not permit a mark to be entered without the script in view.</w:t>
      </w:r>
    </w:p>
    <w:p>
      <w:pPr>
        <w:pStyle w:val="BodyText"/>
      </w:pPr>
      <w:r>
        <w:rPr>
          <w:bCs/>
          <w:b/>
        </w:rPr>
        <w:t xml:space="preserve">Regulatory boundary by assessment type.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Regulated qualifications (GCSE, A level, VTQs)</w:t>
            </w:r>
          </w:p>
        </w:tc>
        <w:tc>
          <w:tcPr/>
          <w:p>
            <w:pPr>
              <w:pStyle w:val="Compact"/>
              <w:jc w:val="left"/>
            </w:pPr>
            <w:r>
              <w:t xml:space="preserve">Classroom / formative assessment</w:t>
            </w:r>
          </w:p>
        </w:tc>
      </w:tr>
      <w:tr>
        <w:tc>
          <w:tcPr/>
          <w:p>
            <w:pPr>
              <w:pStyle w:val="Compact"/>
              <w:jc w:val="left"/>
            </w:pPr>
            <w:r>
              <w:t xml:space="preserve">Regulator</w:t>
            </w:r>
          </w:p>
        </w:tc>
        <w:tc>
          <w:tcPr/>
          <w:p>
            <w:pPr>
              <w:pStyle w:val="Compact"/>
              <w:jc w:val="left"/>
            </w:pPr>
            <w:r>
              <w:t xml:space="preserve">Ofqual, Qualifications Wales, Qualifications Scotland, CCEA</w:t>
            </w:r>
          </w:p>
        </w:tc>
        <w:tc>
          <w:tcPr/>
          <w:p>
            <w:pPr>
              <w:pStyle w:val="Compact"/>
              <w:jc w:val="left"/>
            </w:pPr>
            <w:r>
              <w:t xml:space="preserve">none — the school’s professional judgment</w:t>
            </w:r>
          </w:p>
        </w:tc>
      </w:tr>
      <w:tr>
        <w:tc>
          <w:tcPr/>
          <w:p>
            <w:pPr>
              <w:pStyle w:val="Compact"/>
              <w:jc w:val="left"/>
            </w:pPr>
            <w:r>
              <w:t xml:space="preserve">AI sole marking</w:t>
            </w:r>
          </w:p>
        </w:tc>
        <w:tc>
          <w:tcPr/>
          <w:p>
            <w:pPr>
              <w:pStyle w:val="Compact"/>
              <w:jc w:val="left"/>
            </w:pPr>
            <w:r>
              <w:rPr>
                <w:bCs/>
                <w:b/>
              </w:rPr>
              <w:t xml:space="preserve">Prohibited</w:t>
            </w:r>
          </w:p>
        </w:tc>
        <w:tc>
          <w:tcPr/>
          <w:p>
            <w:pPr>
              <w:pStyle w:val="Compact"/>
              <w:jc w:val="left"/>
            </w:pPr>
            <w:r>
              <w:t xml:space="preserve">not prohibited; DfE-supported</w:t>
            </w:r>
          </w:p>
        </w:tc>
      </w:tr>
      <w:tr>
        <w:tc>
          <w:tcPr/>
          <w:p>
            <w:pPr>
              <w:pStyle w:val="Compact"/>
              <w:jc w:val="left"/>
            </w:pPr>
            <w:r>
              <w:t xml:space="preserve">Gatekeeper</w:t>
            </w:r>
          </w:p>
        </w:tc>
        <w:tc>
          <w:tcPr/>
          <w:p>
            <w:pPr>
              <w:pStyle w:val="Compact"/>
              <w:jc w:val="left"/>
            </w:pPr>
            <w:r>
              <w:t xml:space="preserve">the awarding organisation (~7 bodies)</w:t>
            </w:r>
          </w:p>
        </w:tc>
        <w:tc>
          <w:tcPr/>
          <w:p>
            <w:pPr>
              <w:pStyle w:val="Compact"/>
              <w:jc w:val="left"/>
            </w:pPr>
            <w:r>
              <w:t xml:space="preserve">every school or trust individually</w:t>
            </w:r>
          </w:p>
        </w:tc>
      </w:tr>
      <w:tr>
        <w:tc>
          <w:tcPr/>
          <w:p>
            <w:pPr>
              <w:pStyle w:val="Compact"/>
              <w:jc w:val="left"/>
            </w:pPr>
            <w:r>
              <w:t xml:space="preserve">Permissible deployment route</w:t>
            </w:r>
          </w:p>
        </w:tc>
        <w:tc>
          <w:tcPr/>
          <w:p>
            <w:pPr>
              <w:pStyle w:val="Compact"/>
              <w:jc w:val="left"/>
            </w:pPr>
            <w:r>
              <w:t xml:space="preserve">supply to awarding organisations as AI-assisted marking/QA inside their human process</w:t>
            </w:r>
          </w:p>
        </w:tc>
        <w:tc>
          <w:tcPr/>
          <w:p>
            <w:pPr>
              <w:pStyle w:val="Compact"/>
              <w:jc w:val="left"/>
            </w:pPr>
            <w:r>
              <w:t xml:space="preserve">deployment by individual schools and trusts</w:t>
            </w:r>
          </w:p>
        </w:tc>
      </w:tr>
    </w:tbl>
    <w:p>
      <w:pPr>
        <w:pStyle w:val="BodyText"/>
      </w:pPr>
      <w:r>
        <w:t xml:space="preserve">Documentation accompanying such a system must state explicitly that it is not for marking regulated qualifications, and a technical control enforcing that limit addresses the realistic failure mode — use on mock GCSEs followed by a parental complaint, leaving the school with no defensible position. The regulated segment is not closed: Ofqual’s own framing of AI</w:t>
      </w:r>
      <w:r>
        <w:t xml:space="preserve"> </w:t>
      </w:r>
      <w:r>
        <w:t xml:space="preserve">“</w:t>
      </w:r>
      <w:r>
        <w:t xml:space="preserve">to support marking and quality assurance</w:t>
      </w:r>
      <w:r>
        <w:t xml:space="preserve">”</w:t>
      </w:r>
      <w:r>
        <w:t xml:space="preserve"> </w:t>
      </w:r>
      <w:r>
        <w:t xml:space="preserve">with</w:t>
      </w:r>
      <w:r>
        <w:t xml:space="preserve"> </w:t>
      </w:r>
      <w:r>
        <w:t xml:space="preserve">“</w:t>
      </w:r>
      <w:r>
        <w:t xml:space="preserve">human second-marking of all or a subset</w:t>
      </w:r>
      <w:r>
        <w:t xml:space="preserve">”</w:t>
      </w:r>
      <w:r>
        <w:t xml:space="preserve"> </w:t>
      </w:r>
      <w:r>
        <w:t xml:space="preserve">describes an AI-assisted product.</w:t>
      </w:r>
      <w:r>
        <w:t xml:space="preserve"> </w:t>
      </w:r>
      <w:r>
        <w:rPr>
          <w:bCs/>
          <w:b/>
        </w:rPr>
        <w:t xml:space="preserve">The barrier there is evidence, not prohibition.</w:t>
      </w:r>
    </w:p>
    <w:p>
      <w:pPr>
        <w:pStyle w:val="BodyText"/>
      </w:pPr>
      <w:r>
        <w:rPr>
          <w:bCs/>
          <w:b/>
        </w:rPr>
        <w:t xml:space="preserve">Higher education</w:t>
      </w:r>
      <w:r>
        <w:t xml:space="preserve"> </w:t>
      </w:r>
      <w:r>
        <w:t xml:space="preserve">is the least regulated and most fragmented UK segment: institutions are autonomous, no regulator sets marking methodology, OfS condition B4 applies generically, and</w:t>
      </w:r>
      <w:r>
        <w:t xml:space="preserve"> </w:t>
      </w:r>
      <w:r>
        <w:rPr>
          <w:iCs/>
          <w:i/>
        </w:rPr>
        <w:t xml:space="preserve">no OfS AI-specific guidance or condition could be found</w:t>
      </w:r>
      <w:r>
        <w:t xml:space="preserve">. HE students are adults, so the Children’s code does not apply, which materially reduces the applicable obligations.</w:t>
      </w:r>
    </w:p>
    <w:bookmarkEnd w:id="71"/>
    <w:bookmarkStart w:id="72" w:name="equality-and-the-evidence-it-requires"/>
    <w:p>
      <w:pPr>
        <w:pStyle w:val="Heading3"/>
      </w:pPr>
      <w:r>
        <w:t xml:space="preserve">9.7 Equality — and the evidence it requires</w:t>
      </w:r>
    </w:p>
    <w:p>
      <w:pPr>
        <w:pStyle w:val="FirstParagraph"/>
      </w:pPr>
      <w:r>
        <w:rPr>
          <w:bCs/>
          <w:b/>
        </w:rPr>
        <w:t xml:space="preserve">Equality Act 2010 s.19 (indirect discrimination):</w:t>
      </w:r>
      <w:r>
        <w:t xml:space="preserve"> </w:t>
      </w:r>
      <w:r>
        <w:t xml:space="preserve">an OCR/LLM marker that systematically scores less legible handwriting, dysgraphic handwriting, non-standard dialect or EAL syntax lower is a textbook provision, criterion or practice. Protected characteristics engaged: disability, race, religion or belief.</w:t>
      </w:r>
      <w:r>
        <w:t xml:space="preserve"> </w:t>
      </w:r>
      <w:r>
        <w:rPr>
          <w:bCs/>
          <w:b/>
        </w:rPr>
        <w:t xml:space="preserve">ss.20–21</w:t>
      </w:r>
      <w:r>
        <w:t xml:space="preserve"> </w:t>
      </w:r>
      <w:r>
        <w:t xml:space="preserve">impose an anticipatory reasonable-adjustment duty — where such a system underperforms on scribed, enlarged or word-processed scripts, the school’s duty is engaged.</w:t>
      </w:r>
      <w:r>
        <w:t xml:space="preserve"> </w:t>
      </w:r>
      <w:r>
        <w:rPr>
          <w:bCs/>
          <w:b/>
        </w:rPr>
        <w:t xml:space="preserve">s.149 (Public Sector Equality Duty)</w:t>
      </w:r>
      <w:r>
        <w:t xml:space="preserve"> </w:t>
      </w:r>
      <w:r>
        <w:t xml:space="preserve">applies to maintained schools, academies and FE/HE providers exercising public functions.</w:t>
      </w:r>
    </w:p>
    <w:p>
      <w:pPr>
        <w:pStyle w:val="BodyText"/>
      </w:pPr>
      <w:r>
        <w:rPr>
          <w:bCs/>
          <w:b/>
        </w:rPr>
        <w:t xml:space="preserve">The duty is on the school, but the school cannot discharge it without data from the provider.</w:t>
      </w:r>
      <w:r>
        <w:t xml:space="preserve"> </w:t>
      </w:r>
      <w:r>
        <w:t xml:space="preserve">Lawful deployment therefore requires</w:t>
      </w:r>
      <w:r>
        <w:t xml:space="preserve"> </w:t>
      </w:r>
      <w:r>
        <w:rPr>
          <w:bCs/>
          <w:b/>
        </w:rPr>
        <w:t xml:space="preserve">stratified performance evidence</w:t>
      </w:r>
      <w:r>
        <w:t xml:space="preserve"> </w:t>
      </w:r>
      <w:r>
        <w:t xml:space="preserve">— agreement with human markers broken down by handwriting legibility band, EAL status, SEND/access-arrangement status, and, where lawfully available, ethnicity — together with an ongoing tenant-level disparity dashboard. A school that cannot evidence equality impact cannot lawfully deploy. Ofqual’s own research confirms the risk is real, and AI Act Art. 4a now gives an EU-law basis for the protected-attribute processing the testing requires.</w:t>
      </w:r>
    </w:p>
    <w:bookmarkEnd w:id="72"/>
    <w:bookmarkStart w:id="73" w:name="procurement-transparency-online-safety"/>
    <w:p>
      <w:pPr>
        <w:pStyle w:val="Heading3"/>
      </w:pPr>
      <w:r>
        <w:t xml:space="preserve">9.8 Procurement, transparency, online safety</w:t>
      </w:r>
    </w:p>
    <w:p>
      <w:pPr>
        <w:pStyle w:val="FirstParagraph"/>
      </w:pPr>
      <w:r>
        <w:rPr>
          <w:bCs/>
          <w:b/>
        </w:rPr>
        <w:t xml:space="preserve">Procurement Act 2023</w:t>
      </w:r>
      <w:r>
        <w:t xml:space="preserve"> </w:t>
      </w:r>
      <w:r>
        <w:t xml:space="preserve">in force 24 February 2025. DfE value bands: low under £10,000; medium £10,000–£40,000; high above £40,000, with five routes from DfE-approved framework through to a full Act-compliant process.</w:t>
      </w:r>
      <w:r>
        <w:t xml:space="preserve"> </w:t>
      </w:r>
      <w:r>
        <w:rPr>
          <w:bCs/>
          <w:b/>
        </w:rPr>
        <w:t xml:space="preserve">A per-school licence is almost certainly under £10,000 — a headteacher or business manager decision, no tender. A trust-wide agreement crosses £40,000 quickly and may cross the Act threshold, adding months. Purchase through a DfE-approved framework converts a full procurement into a direct award.</w:t>
      </w:r>
      <w:r>
        <w:t xml:space="preserve"> </w:t>
      </w:r>
      <w:r>
        <w:t xml:space="preserve">There are no AI-specific UK procurement requirements for schools.</w:t>
      </w:r>
    </w:p>
    <w:p>
      <w:pPr>
        <w:pStyle w:val="BodyText"/>
      </w:pPr>
      <w:r>
        <w:rPr>
          <w:bCs/>
          <w:b/>
        </w:rPr>
        <w:t xml:space="preserve">Algorithmic Transparency Recording Standard:</w:t>
      </w:r>
      <w:r>
        <w:t xml:space="preserve"> </w:t>
      </w:r>
      <w:r>
        <w:t xml:space="preserve">mandatory for central government departments and arm’s-length bodies that provide public or frontline services,</w:t>
      </w:r>
      <w:r>
        <w:t xml:space="preserve"> </w:t>
      </w:r>
      <w:r>
        <w:rPr>
          <w:bCs/>
          <w:b/>
        </w:rPr>
        <w:t xml:space="preserve">not</w:t>
      </w:r>
      <w:r>
        <w:t xml:space="preserve"> </w:t>
      </w:r>
      <w:r>
        <w:t xml:space="preserve">for schools, trusts or local authorities. It therefore does not apply to deployments in schools — but voluntary publication of an ATRS-format record remains a low-cost and unusually credible transparency artefact for public-sector buyers. Note that Ofqual</w:t>
      </w:r>
      <w:r>
        <w:t xml:space="preserve"> </w:t>
      </w:r>
      <w:r>
        <w:rPr>
          <w:iCs/>
          <w:i/>
        </w:rPr>
        <w:t xml:space="preserve">is</w:t>
      </w:r>
      <w:r>
        <w:t xml:space="preserve"> </w:t>
      </w:r>
      <w:r>
        <w:t xml:space="preserve">an arm’s-length body, so an Ofqual deployment would require one.</w:t>
      </w:r>
    </w:p>
    <w:p>
      <w:pPr>
        <w:pStyle w:val="BodyText"/>
      </w:pPr>
      <w:r>
        <w:rPr>
          <w:bCs/>
          <w:b/>
        </w:rPr>
        <w:t xml:space="preserve">Online Safety Act 2023:</w:t>
      </w:r>
      <w:r>
        <w:t xml:space="preserve"> </w:t>
      </w:r>
      <w:r>
        <w:t xml:space="preserve">engaged only by a student-facing feature that allows users to share content with one another or searches live websites.</w:t>
      </w:r>
      <w:r>
        <w:t xml:space="preserve"> </w:t>
      </w:r>
      <w:r>
        <w:rPr>
          <w:bCs/>
          <w:b/>
        </w:rPr>
        <w:t xml:space="preserve">A teacher-facing product with no user-to-user sharing and no live web search is out of scope.</w:t>
      </w:r>
      <w:r>
        <w:t xml:space="preserve"> </w:t>
      </w:r>
      <w:r>
        <w:t xml:space="preserve">Also note Children’s Wellbeing and Schools Act 2026 s.72, which gives the Secretary of State power to raise the digital age of consent from 13 to as high as 16 — latent risk for any consent-based pupil-facing feature, irrelevant to a public-task school deployment.</w:t>
      </w:r>
    </w:p>
    <w:bookmarkEnd w:id="73"/>
    <w:bookmarkEnd w:id="74"/>
    <w:bookmarkStart w:id="82" w:name="united-states-federal"/>
    <w:p>
      <w:pPr>
        <w:pStyle w:val="Heading2"/>
      </w:pPr>
      <w:r>
        <w:t xml:space="preserve">10. United States — federal</w:t>
      </w:r>
    </w:p>
    <w:p>
      <w:pPr>
        <w:pStyle w:val="FirstParagraph"/>
      </w:pPr>
      <w:r>
        <w:rPr>
          <w:bCs/>
          <w:b/>
        </w:rPr>
        <w:t xml:space="preserve">There is no federal AI regulator for AI-supported exam grading.</w:t>
      </w:r>
      <w:r>
        <w:t xml:space="preserve"> </w:t>
      </w:r>
      <w:r>
        <w:t xml:space="preserve">The FTC reaches a provider through COPPA and § 5 unfairness and deception; the Department of Education reaches a provider only through the funded institution; OMB does not reach a private provider at all. The binding constraints are FERPA contracts, COPPA, civil-rights law, state statutes and district procurement — and none of them was written with AI grading in mind.</w:t>
      </w:r>
    </w:p>
    <w:bookmarkStart w:id="75" w:name="ferpa"/>
    <w:p>
      <w:pPr>
        <w:pStyle w:val="Heading3"/>
      </w:pPr>
      <w:r>
        <w:t xml:space="preserve">10.1 FERPA</w:t>
      </w:r>
    </w:p>
    <w:p>
      <w:pPr>
        <w:pStyle w:val="FirstParagraph"/>
      </w:pPr>
      <w:r>
        <w:t xml:space="preserve">Scanned scripts, OCR transcriptions, proposed scores, generated feedback and final marks are all</w:t>
      </w:r>
      <w:r>
        <w:t xml:space="preserve"> </w:t>
      </w:r>
      <w:r>
        <w:rPr>
          <w:bCs/>
          <w:b/>
        </w:rPr>
        <w:t xml:space="preserve">education records</w:t>
      </w:r>
      <w:r>
        <w:t xml:space="preserve">: the definition reaches records maintained</w:t>
      </w:r>
      <w:r>
        <w:t xml:space="preserve"> </w:t>
      </w:r>
      <w:r>
        <w:rPr>
          <w:iCs/>
          <w:i/>
        </w:rPr>
        <w:t xml:space="preserve">“</w:t>
      </w:r>
      <w:r>
        <w:rPr>
          <w:iCs/>
          <w:i/>
        </w:rPr>
        <w:t xml:space="preserve">by a party acting for the agency or institution</w:t>
      </w:r>
      <w:r>
        <w:rPr>
          <w:iCs/>
          <w:i/>
        </w:rPr>
        <w:t xml:space="preserve">”</w:t>
      </w:r>
      <w:r>
        <w:t xml:space="preserve">, so there is no vendor’s-own-copy carve-out. (Note in passing that FERPA’s definition of</w:t>
      </w:r>
      <w:r>
        <w:t xml:space="preserve"> </w:t>
      </w:r>
      <w:r>
        <w:rPr>
          <w:iCs/>
          <w:i/>
        </w:rPr>
        <w:t xml:space="preserve">biometric record</w:t>
      </w:r>
      <w:r>
        <w:t xml:space="preserve"> </w:t>
      </w:r>
      <w:r>
        <w:t xml:space="preserve">expressly lists</w:t>
      </w:r>
      <w:r>
        <w:t xml:space="preserve"> </w:t>
      </w:r>
      <w:r>
        <w:rPr>
          <w:bCs/>
          <w:b/>
        </w:rPr>
        <w:t xml:space="preserve">handwriting</w:t>
      </w:r>
      <w:r>
        <w:t xml:space="preserve"> </w:t>
      </w:r>
      <w:r>
        <w:t xml:space="preserve">— this matters less under FERPA than under state biometric law, but it is worth recording.)</w:t>
      </w:r>
    </w:p>
    <w:p>
      <w:pPr>
        <w:pStyle w:val="BodyText"/>
      </w:pPr>
      <w:r>
        <w:rPr>
          <w:bCs/>
          <w:b/>
        </w:rPr>
        <w:t xml:space="preserve">The school-official exception is the operative contractual mechanic.</w:t>
      </w:r>
      <w:r>
        <w:t xml:space="preserve"> </w:t>
      </w:r>
      <w:r>
        <w:t xml:space="preserve">34 CFR § 99.31(a)(1)(i)(B) imposes three conditions on the vendor: performs an institutional service the institution would otherwise use employees for; is</w:t>
      </w:r>
      <w:r>
        <w:t xml:space="preserve"> </w:t>
      </w:r>
      <w:r>
        <w:rPr>
          <w:bCs/>
          <w:b/>
        </w:rPr>
        <w:t xml:space="preserve">under the direct control of the institution</w:t>
      </w:r>
      <w:r>
        <w:t xml:space="preserve"> </w:t>
      </w:r>
      <w:r>
        <w:t xml:space="preserve">as to the use and maintenance of education records; and is subject to the § 99.33(a) redisclosure limits. Two further conditions sit on the</w:t>
      </w:r>
      <w:r>
        <w:t xml:space="preserve"> </w:t>
      </w:r>
      <w:r>
        <w:rPr>
          <w:bCs/>
          <w:b/>
        </w:rPr>
        <w:t xml:space="preserve">institution</w:t>
      </w:r>
      <w:r>
        <w:t xml:space="preserve">: it must specify school-official criteria in its</w:t>
      </w:r>
      <w:r>
        <w:t xml:space="preserve"> </w:t>
      </w:r>
      <w:r>
        <w:rPr>
          <w:bCs/>
          <w:b/>
        </w:rPr>
        <w:t xml:space="preserve">annual notification</w:t>
      </w:r>
      <w:r>
        <w:t xml:space="preserve"> </w:t>
      </w:r>
      <w:r>
        <w:t xml:space="preserve">(§ 99.7(a)(3)(iii)) and must use reasonable methods to limit access (§ 99.31(a)(1)(ii)).</w:t>
      </w:r>
    </w:p>
    <w:p>
      <w:pPr>
        <w:pStyle w:val="BodyText"/>
      </w:pPr>
      <w:r>
        <w:t xml:space="preserve">Drafting consequence: the agreement must warrant the three vendor-side conditions</w:t>
      </w:r>
      <w:r>
        <w:t xml:space="preserve"> </w:t>
      </w:r>
      <w:r>
        <w:rPr>
          <w:bCs/>
          <w:b/>
        </w:rPr>
        <w:t xml:space="preserve">and</w:t>
      </w:r>
      <w:r>
        <w:t xml:space="preserve"> </w:t>
      </w:r>
      <w:r>
        <w:t xml:space="preserve">require the institution to represent that it has designated the provider in its annual notification. If it has not, the exception fails — the violation is the institution’s, but the commercial consequence falls on the provider.</w:t>
      </w:r>
    </w:p>
    <w:p>
      <w:pPr>
        <w:pStyle w:val="BodyText"/>
      </w:pPr>
      <w:r>
        <w:rPr>
          <w:bCs/>
          <w:b/>
        </w:rPr>
        <w:t xml:space="preserve">“</w:t>
      </w:r>
      <w:r>
        <w:rPr>
          <w:bCs/>
          <w:b/>
        </w:rPr>
        <w:t xml:space="preserve">Direct control</w:t>
      </w:r>
      <w:r>
        <w:rPr>
          <w:bCs/>
          <w:b/>
        </w:rPr>
        <w:t xml:space="preserve">”</w:t>
      </w:r>
      <w:r>
        <w:rPr>
          <w:bCs/>
          <w:b/>
        </w:rPr>
        <w:t xml:space="preserve">, in practice:</w:t>
      </w:r>
      <w:r>
        <w:t xml:space="preserve"> </w:t>
      </w:r>
      <w:r>
        <w:t xml:space="preserve">no unilateral terms-of-service amendment (ED’s guidance says unilateral amendment</w:t>
      </w:r>
      <w:r>
        <w:t xml:space="preserve"> </w:t>
      </w:r>
      <w:r>
        <w:rPr>
          <w:iCs/>
          <w:i/>
        </w:rPr>
        <w:t xml:space="preserve">“</w:t>
      </w:r>
      <w:r>
        <w:rPr>
          <w:iCs/>
          <w:i/>
        </w:rPr>
        <w:t xml:space="preserve">makes it difficult for a school or district to demonstrate direct control</w:t>
      </w:r>
      <w:r>
        <w:rPr>
          <w:iCs/>
          <w:i/>
        </w:rPr>
        <w:t xml:space="preserve">”</w:t>
      </w:r>
      <w:r>
        <w:t xml:space="preserve">); purpose limitation in the contract, not the privacy policy; deletion or return on termination at the institution’s direction; institutional approval of sub-processors; and audit rights.</w:t>
      </w:r>
    </w:p>
    <w:p>
      <w:pPr>
        <w:pStyle w:val="BodyText"/>
      </w:pPr>
      <w:r>
        <w:rPr>
          <w:bCs/>
          <w:b/>
        </w:rPr>
        <w:t xml:space="preserve">The redisclosure rule is the AI rule.</w:t>
      </w:r>
      <w:r>
        <w:t xml:space="preserve"> </w:t>
      </w:r>
      <w:r>
        <w:t xml:space="preserve">§ 99.33(a)(2): officers, employees and agents of a recipient</w:t>
      </w:r>
      <w:r>
        <w:t xml:space="preserve"> </w:t>
      </w:r>
      <w:r>
        <w:rPr>
          <w:iCs/>
          <w:i/>
        </w:rPr>
        <w:t xml:space="preserve">“</w:t>
      </w:r>
      <w:r>
        <w:rPr>
          <w:iCs/>
          <w:i/>
        </w:rPr>
        <w:t xml:space="preserve">may use the information, but only for the purposes for which the disclosure was made.</w:t>
      </w:r>
      <w:r>
        <w:rPr>
          <w:iCs/>
          <w:i/>
        </w:rPr>
        <w:t xml:space="preserve">”</w:t>
      </w:r>
      <w:r>
        <w:t xml:space="preserve"> </w:t>
      </w:r>
      <w:r>
        <w:t xml:space="preserve">This is a</w:t>
      </w:r>
      <w:r>
        <w:t xml:space="preserve"> </w:t>
      </w:r>
      <w:r>
        <w:rPr>
          <w:bCs/>
          <w:b/>
        </w:rPr>
        <w:t xml:space="preserve">use</w:t>
      </w:r>
      <w:r>
        <w:t xml:space="preserve"> </w:t>
      </w:r>
      <w:r>
        <w:t xml:space="preserve">limitation, not merely a disclosure limitation. The disclosure to the provider is for grading that institution’s exams. Using the same scripts to train or evaluate a model that serves other customers is a use beyond that purpose and falls outside the exception.</w:t>
      </w:r>
    </w:p>
    <w:p>
      <w:pPr>
        <w:pStyle w:val="BodyText"/>
      </w:pPr>
      <w:r>
        <w:t xml:space="preserve">Three routes exist where training data is sought:</w:t>
      </w:r>
    </w:p>
    <w:p>
      <w:pPr>
        <w:numPr>
          <w:ilvl w:val="0"/>
          <w:numId w:val="1014"/>
        </w:numPr>
        <w:pStyle w:val="Compact"/>
      </w:pPr>
      <w:r>
        <w:rPr>
          <w:bCs/>
          <w:b/>
        </w:rPr>
        <w:t xml:space="preserve">De-identification (§ 99.31(b)).</w:t>
      </w:r>
      <w:r>
        <w:t xml:space="preserve"> </w:t>
      </w:r>
      <w:r>
        <w:t xml:space="preserve">Real, but fragile in this context specifically: handwriting images are inherently re-identifiable and free-text answers carry incidental identifiers. Any de-identification claim must be evidenced with a documented method and a re-identification risk assessment, not asserted.</w:t>
      </w:r>
    </w:p>
    <w:p>
      <w:pPr>
        <w:numPr>
          <w:ilvl w:val="0"/>
          <w:numId w:val="1014"/>
        </w:numPr>
        <w:pStyle w:val="Compact"/>
      </w:pPr>
      <w:r>
        <w:rPr>
          <w:bCs/>
          <w:b/>
        </w:rPr>
        <w:t xml:space="preserve">The studies exception (§ 99.31(a)(6))</w:t>
      </w:r>
      <w:r>
        <w:t xml:space="preserve"> </w:t>
      </w:r>
      <w:r>
        <w:t xml:space="preserve">— disclosure to an organisation conducting studies for or on behalf of the institution to develop, validate or administer predictive tests or improve instruction, under a</w:t>
      </w:r>
      <w:r>
        <w:t xml:space="preserve"> </w:t>
      </w:r>
      <w:r>
        <w:rPr>
          <w:bCs/>
          <w:b/>
        </w:rPr>
        <w:t xml:space="preserve">written agreement</w:t>
      </w:r>
      <w:r>
        <w:t xml:space="preserve"> </w:t>
      </w:r>
      <w:r>
        <w:t xml:space="preserve">specifying purpose, scope and duration, restricting use, requiring non-identification, and requiring</w:t>
      </w:r>
      <w:r>
        <w:t xml:space="preserve"> </w:t>
      </w:r>
      <w:r>
        <w:rPr>
          <w:bCs/>
          <w:b/>
        </w:rPr>
        <w:t xml:space="preserve">destruction</w:t>
      </w:r>
      <w:r>
        <w:t xml:space="preserve"> </w:t>
      </w:r>
      <w:r>
        <w:t xml:space="preserve">of all personally identifiable information with a specified deadline. Model validation and calibration studies fit comfortably; an indefinitely retained training corpus does not, because the destruction requirement is explicit.</w:t>
      </w:r>
      <w:r>
        <w:t xml:space="preserve"> </w:t>
      </w:r>
      <w:r>
        <w:rPr>
          <w:bCs/>
          <w:b/>
        </w:rPr>
        <w:t xml:space="preserve">This is the cleanest federal basis for a bounded calibration programme and it is underused.</w:t>
      </w:r>
    </w:p>
    <w:p>
      <w:pPr>
        <w:numPr>
          <w:ilvl w:val="0"/>
          <w:numId w:val="1014"/>
        </w:numPr>
        <w:pStyle w:val="Compact"/>
      </w:pPr>
      <w:r>
        <w:rPr>
          <w:bCs/>
          <w:b/>
        </w:rPr>
        <w:t xml:space="preserve">Consent (§ 99.30)</w:t>
      </w:r>
      <w:r>
        <w:t xml:space="preserve"> </w:t>
      </w:r>
      <w:r>
        <w:t xml:space="preserve">— impractical at scale.</w:t>
      </w:r>
    </w:p>
    <w:p>
      <w:pPr>
        <w:pStyle w:val="FirstParagraph"/>
      </w:pPr>
      <w:r>
        <w:rPr>
          <w:bCs/>
          <w:b/>
        </w:rPr>
        <w:t xml:space="preserve">The posture that follows: no training on customer data by default, with an opt-in studies agreement offered as a separate bounded instrument.</w:t>
      </w:r>
      <w:r>
        <w:t xml:space="preserve"> </w:t>
      </w:r>
      <w:r>
        <w:t xml:space="preserve">This is simultaneously the FERPA answer, the COPPA answer and the state-law answer — one consistent position rather than three.</w:t>
      </w:r>
    </w:p>
    <w:p>
      <w:pPr>
        <w:pStyle w:val="BodyText"/>
      </w:pPr>
      <w:r>
        <w:rPr>
          <w:bCs/>
          <w:b/>
        </w:rPr>
        <w:t xml:space="preserve">Enforcement.</w:t>
      </w:r>
      <w:r>
        <w:t xml:space="preserve"> </w:t>
      </w:r>
      <w:r>
        <w:t xml:space="preserve">FERPA has no private right of action (</w:t>
      </w:r>
      <w:r>
        <w:rPr>
          <w:iCs/>
          <w:i/>
        </w:rPr>
        <w:t xml:space="preserve">Gonzaga University v. Doe</w:t>
      </w:r>
      <w:r>
        <w:t xml:space="preserve">, 536 U.S. 273 (2002)). ED may withhold funds, issue a cease-and-desist, or terminate eligibility; and a</w:t>
      </w:r>
      <w:r>
        <w:t xml:space="preserve"> </w:t>
      </w:r>
      <w:r>
        <w:rPr>
          <w:bCs/>
          <w:b/>
        </w:rPr>
        <w:t xml:space="preserve">third party that improperly rediscloses may be barred from access to education records for at least five years</w:t>
      </w:r>
      <w:r>
        <w:t xml:space="preserve"> </w:t>
      </w:r>
      <w:r>
        <w:t xml:space="preserve">— the only FERPA sanction that lands on a vendor. In practice ED has never withdrawn funds and the five-year vendor ban has never been imposed.</w:t>
      </w:r>
      <w:r>
        <w:t xml:space="preserve"> </w:t>
      </w:r>
      <w:r>
        <w:rPr>
          <w:bCs/>
          <w:b/>
        </w:rPr>
        <w:t xml:space="preserve">The real risk ladder is therefore: contract and indemnity; state student-privacy statutes, which bind the vendor directly and do carry penalties; state consumer-protection law and FTC Act § 5; reputation; and procurement disqualification.</w:t>
      </w:r>
      <w:r>
        <w:t xml:space="preserve"> </w:t>
      </w:r>
      <w:r>
        <w:t xml:space="preserve">Note that ED’s Student Privacy Policy Office is still operating and still writing to vendors — it issued a letter to a named LMS provider in May 2026.</w:t>
      </w:r>
    </w:p>
    <w:bookmarkEnd w:id="75"/>
    <w:bookmarkStart w:id="76" w:name="Xb329462ad0ddb2c8b1017b8d37be0d8fcc1a540"/>
    <w:p>
      <w:pPr>
        <w:pStyle w:val="Heading3"/>
      </w:pPr>
      <w:r>
        <w:t xml:space="preserve">10.2 The federal posture on AI in education is promotional, not regulatory</w:t>
      </w:r>
    </w:p>
    <w:p>
      <w:pPr>
        <w:pStyle w:val="FirstParagraph"/>
      </w:pPr>
      <w:r>
        <w:rPr>
          <w:bCs/>
          <w:b/>
        </w:rPr>
        <w:t xml:space="preserve">There is no ED or SPPO guidance specific to AI and FERPA.</w:t>
      </w:r>
      <w:r>
        <w:t xml:space="preserve"> </w:t>
      </w:r>
      <w:r>
        <w:t xml:space="preserve">The complete SPPO guidance list (175 items, reviewed 11 September 2026) contains no AI-titled item. That is a genuine gap.</w:t>
      </w:r>
    </w:p>
    <w:p>
      <w:pPr>
        <w:pStyle w:val="BodyText"/>
      </w:pPr>
      <w:r>
        <w:t xml:space="preserve">The policy documents that exist are from the Office of Educational Technology —</w:t>
      </w:r>
      <w:r>
        <w:t xml:space="preserve"> </w:t>
      </w:r>
      <w:r>
        <w:rPr>
          <w:iCs/>
          <w:i/>
        </w:rPr>
        <w:t xml:space="preserve">Artificial Intelligence and the Future of Teaching and Learning</w:t>
      </w:r>
      <w:r>
        <w:t xml:space="preserve"> </w:t>
      </w:r>
      <w:r>
        <w:t xml:space="preserve">(May 2023) and</w:t>
      </w:r>
      <w:r>
        <w:t xml:space="preserve"> </w:t>
      </w:r>
      <w:r>
        <w:rPr>
          <w:iCs/>
          <w:i/>
        </w:rPr>
        <w:t xml:space="preserve">Designing for Education with Artificial Intelligence:</w:t>
      </w:r>
      <w:r>
        <w:rPr>
          <w:iCs/>
          <w:i/>
        </w:rPr>
        <w:t xml:space="preserve"> </w:t>
      </w:r>
      <w:r>
        <w:rPr>
          <w:bCs/>
          <w:b/>
          <w:iCs/>
          <w:i/>
        </w:rPr>
        <w:t xml:space="preserve">An Essential Guide for Developers</w:t>
      </w:r>
      <w:r>
        <w:t xml:space="preserve"> </w:t>
      </w:r>
      <w:r>
        <w:t xml:space="preserve">(July 2024; note the correct subtitle).</w:t>
      </w:r>
      <w:r>
        <w:t xml:space="preserve"> </w:t>
      </w:r>
      <w:r>
        <w:rPr>
          <w:bCs/>
          <w:b/>
        </w:rPr>
        <w:t xml:space="preserve">That office was eliminated in March 2025</w:t>
      </w:r>
      <w:r>
        <w:t xml:space="preserve">, in a reduction in force that cut ED’s workforce from about 4,133 to about 2,183.</w:t>
      </w:r>
      <w:r>
        <w:t xml:space="preserve"> </w:t>
      </w:r>
      <w:r>
        <w:rPr>
          <w:iCs/>
          <w:i/>
        </w:rPr>
        <w:t xml:space="preserve">(Closure reported in trade press; no ED announcement found.)</w:t>
      </w:r>
      <w:r>
        <w:t xml:space="preserve"> </w:t>
      </w:r>
      <w:r>
        <w:t xml:space="preserve">No successor guidance has appeared.</w:t>
      </w:r>
    </w:p>
    <w:p>
      <w:pPr>
        <w:pStyle w:val="BodyText"/>
      </w:pPr>
      <w:r>
        <w:rPr>
          <w:bCs/>
          <w:b/>
        </w:rPr>
        <w:t xml:space="preserve">EO 14277</w:t>
      </w:r>
      <w:r>
        <w:rPr>
          <w:bCs/>
          <w:b/>
        </w:rPr>
        <w:t xml:space="preserve"> </w:t>
      </w:r>
      <w:r>
        <w:rPr>
          <w:bCs/>
          <w:b/>
        </w:rPr>
        <w:t xml:space="preserve">“</w:t>
      </w:r>
      <w:r>
        <w:rPr>
          <w:bCs/>
          <w:b/>
        </w:rPr>
        <w:t xml:space="preserve">Advancing Artificial Intelligence Education for American Youth</w:t>
      </w:r>
      <w:r>
        <w:rPr>
          <w:bCs/>
          <w:b/>
        </w:rPr>
        <w:t xml:space="preserve">”</w:t>
      </w:r>
      <w:r>
        <w:t xml:space="preserve"> </w:t>
      </w:r>
      <w:r>
        <w:t xml:space="preserve">(23 April 2025) produced an ED</w:t>
      </w:r>
      <w:r>
        <w:t xml:space="preserve"> </w:t>
      </w:r>
      <w:r>
        <w:rPr>
          <w:bCs/>
          <w:b/>
        </w:rPr>
        <w:t xml:space="preserve">Dear Colleague Letter of 22 July 2025</w:t>
      </w:r>
      <w:r>
        <w:t xml:space="preserve"> </w:t>
      </w:r>
      <w:r>
        <w:t xml:space="preserve">on using federal grant funds for AI, and a</w:t>
      </w:r>
      <w:r>
        <w:t xml:space="preserve"> </w:t>
      </w:r>
      <w:r>
        <w:rPr>
          <w:bCs/>
          <w:b/>
        </w:rPr>
        <w:t xml:space="preserve">final supplemental priority published 13 April 2026, effective 13 May 2026</w:t>
      </w:r>
      <w:r>
        <w:t xml:space="preserve">. Both are educator-led in framing — AI should support teachers, students should</w:t>
      </w:r>
      <w:r>
        <w:t xml:space="preserve"> </w:t>
      </w:r>
      <w:r>
        <w:t xml:space="preserve">“</w:t>
      </w:r>
      <w:r>
        <w:t xml:space="preserve">learn with rather than exclusively from</w:t>
      </w:r>
      <w:r>
        <w:t xml:space="preserve">”</w:t>
      </w:r>
      <w:r>
        <w:t xml:space="preserve"> </w:t>
      </w:r>
      <w:r>
        <w:t xml:space="preserve">AI, systems must comply with FERPA.</w:t>
      </w:r>
      <w:r>
        <w:t xml:space="preserve"> </w:t>
      </w:r>
      <w:r>
        <w:rPr>
          <w:bCs/>
          <w:b/>
        </w:rPr>
        <w:t xml:space="preserve">Neither addresses AI grading of student work, identifies high-risk uses, or imposes any oversight, privacy or non-discrimination condition.</w:t>
      </w:r>
    </w:p>
    <w:p>
      <w:pPr>
        <w:pStyle w:val="BodyText"/>
      </w:pPr>
      <w:r>
        <w:rPr>
          <w:bCs/>
          <w:b/>
        </w:rPr>
        <w:t xml:space="preserve">A structural warning.</w:t>
      </w:r>
      <w:r>
        <w:t xml:space="preserve"> </w:t>
      </w:r>
      <w:r>
        <w:t xml:space="preserve">During November 2025 – June 2026 ED functions moved to other agencies by interagency agreement, and in June 2026</w:t>
      </w:r>
      <w:r>
        <w:t xml:space="preserve"> </w:t>
      </w:r>
      <w:r>
        <w:rPr>
          <w:bCs/>
          <w:b/>
        </w:rPr>
        <w:t xml:space="preserve">OCR enforcement reportedly moved to DOJ — including student-privacy complaints under FERPA and PPRA</w:t>
      </w:r>
      <w:r>
        <w:t xml:space="preserve">, with ED retaining the Student Privacy Policy Office and final authority on its case resolutions.</w:t>
      </w:r>
      <w:r>
        <w:t xml:space="preserve"> </w:t>
      </w:r>
      <w:r>
        <w:rPr>
          <w:iCs/>
          <w:i/>
        </w:rPr>
        <w:t xml:space="preserve">(Single secondary source, no effective date, parties said details were unresolved — this is the item most in need of re-verification.)</w:t>
      </w:r>
      <w:r>
        <w:t xml:space="preserve"> </w:t>
      </w:r>
      <w:r>
        <w:t xml:space="preserve">If it holds, the</w:t>
      </w:r>
      <w:r>
        <w:t xml:space="preserve"> </w:t>
      </w:r>
      <w:r>
        <w:rPr>
          <w:iCs/>
          <w:i/>
        </w:rPr>
        <w:t xml:space="preserve">character</w:t>
      </w:r>
      <w:r>
        <w:t xml:space="preserve"> </w:t>
      </w:r>
      <w:r>
        <w:t xml:space="preserve">of FERPA complaint handling changes materially: a complaint routed to DOJ’s Civil Rights Division is handled by litigators, not by a technical-assistance office whose standard outcome was voluntary compliance.</w:t>
      </w:r>
    </w:p>
    <w:bookmarkEnd w:id="76"/>
    <w:bookmarkStart w:id="77" w:name="ppra-a-cheap-risk-to-design-away"/>
    <w:p>
      <w:pPr>
        <w:pStyle w:val="Heading3"/>
      </w:pPr>
      <w:r>
        <w:t xml:space="preserve">10.3 PPRA — a cheap risk to design away</w:t>
      </w:r>
    </w:p>
    <w:p>
      <w:pPr>
        <w:pStyle w:val="FirstParagraph"/>
      </w:pPr>
      <w:r>
        <w:t xml:space="preserve">20 U.S.C. § 1232h(b) prohibits requiring a student to submit, without prior written parental consent, to a</w:t>
      </w:r>
      <w:r>
        <w:t xml:space="preserve"> </w:t>
      </w:r>
      <w:r>
        <w:rPr>
          <w:iCs/>
          <w:i/>
        </w:rPr>
        <w:t xml:space="preserve">“</w:t>
      </w:r>
      <w:r>
        <w:rPr>
          <w:iCs/>
          <w:i/>
        </w:rPr>
        <w:t xml:space="preserve">survey, analysis, or</w:t>
      </w:r>
      <w:r>
        <w:rPr>
          <w:iCs/>
          <w:i/>
        </w:rPr>
        <w:t xml:space="preserve"> </w:t>
      </w:r>
      <w:r>
        <w:rPr>
          <w:bCs/>
          <w:b/>
          <w:iCs/>
          <w:i/>
        </w:rPr>
        <w:t xml:space="preserve">evaluation</w:t>
      </w:r>
      <w:r>
        <w:rPr>
          <w:iCs/>
          <w:i/>
        </w:rPr>
        <w:t xml:space="preserve">”</w:t>
      </w:r>
      <w:r>
        <w:t xml:space="preserve"> </w:t>
      </w:r>
      <w:r>
        <w:t xml:space="preserve">revealing information on eight protected categories including political beliefs,</w:t>
      </w:r>
      <w:r>
        <w:t xml:space="preserve"> </w:t>
      </w:r>
      <w:r>
        <w:rPr>
          <w:bCs/>
          <w:b/>
        </w:rPr>
        <w:t xml:space="preserve">mental or psychological problems of the student or family</w:t>
      </w:r>
      <w:r>
        <w:t xml:space="preserve">, sex behaviour or attitudes, illegal or demeaning behaviour, critical appraisals of close family, privileged relationships,</w:t>
      </w:r>
      <w:r>
        <w:t xml:space="preserve"> </w:t>
      </w:r>
      <w:r>
        <w:rPr>
          <w:bCs/>
          <w:b/>
        </w:rPr>
        <w:t xml:space="preserve">religious practices or beliefs</w:t>
      </w:r>
      <w:r>
        <w:t xml:space="preserve">, and income.</w:t>
      </w:r>
    </w:p>
    <w:p>
      <w:pPr>
        <w:pStyle w:val="BodyText"/>
      </w:pPr>
      <w:r>
        <w:t xml:space="preserve">The word</w:t>
      </w:r>
      <w:r>
        <w:t xml:space="preserve"> </w:t>
      </w:r>
      <w:r>
        <w:rPr>
          <w:bCs/>
          <w:b/>
        </w:rPr>
        <w:t xml:space="preserve">“</w:t>
      </w:r>
      <w:r>
        <w:rPr>
          <w:bCs/>
          <w:b/>
        </w:rPr>
        <w:t xml:space="preserve">evaluation</w:t>
      </w:r>
      <w:r>
        <w:rPr>
          <w:bCs/>
          <w:b/>
        </w:rPr>
        <w:t xml:space="preserve">”</w:t>
      </w:r>
      <w:r>
        <w:t xml:space="preserve"> </w:t>
      </w:r>
      <w:r>
        <w:t xml:space="preserve">is the exposure. An LLM feedback engine that reads a free-text essay and outputs commentary characterising the student’s beliefs, family circumstances or emotional state is at least arguably such an evaluation.</w:t>
      </w:r>
      <w:r>
        <w:t xml:space="preserve"> </w:t>
      </w:r>
      <w:r>
        <w:rPr>
          <w:iCs/>
          <w:i/>
        </w:rPr>
        <w:t xml:space="preserve">(No PPRA enforcement action or guidance applying the statute to AI-generated feedback could be found — this is an untested reading, but it is the readily available theory for a complainant and it is cheap to design around.)</w:t>
      </w:r>
    </w:p>
    <w:p>
      <w:pPr>
        <w:pStyle w:val="BodyText"/>
      </w:pPr>
      <w:r>
        <w:rPr>
          <w:bCs/>
          <w:b/>
        </w:rPr>
        <w:t xml:space="preserve">Design rule: the provider must contractually undertake that the models do not infer or output anything about a student’s beliefs, family, mental state or the other protected categories, and that feedback is confined to the assessed academic construct.</w:t>
      </w:r>
      <w:r>
        <w:t xml:space="preserve"> </w:t>
      </w:r>
      <w:r>
        <w:t xml:space="preserve">That single warranty removes PPRA from the analysis.</w:t>
      </w:r>
      <w:r>
        <w:t xml:space="preserve"> </w:t>
      </w:r>
      <w:r>
        <w:rPr>
          <w:bCs/>
          <w:b/>
        </w:rPr>
        <w:t xml:space="preserve">Affect, wellbeing and risk-flagging features should not be deployed in the US</w:t>
      </w:r>
      <w:r>
        <w:t xml:space="preserve"> </w:t>
      </w:r>
      <w:r>
        <w:t xml:space="preserve">—</w:t>
      </w:r>
      <w:r>
        <w:t xml:space="preserve"> </w:t>
      </w:r>
      <w:r>
        <w:t xml:space="preserve">“</w:t>
      </w:r>
      <w:r>
        <w:t xml:space="preserve">this student may be distressed</w:t>
      </w:r>
      <w:r>
        <w:t xml:space="preserve">”</w:t>
      </w:r>
      <w:r>
        <w:t xml:space="preserve"> </w:t>
      </w:r>
      <w:r>
        <w:t xml:space="preserve">is squarely category (2), and the marginal value is low.</w:t>
      </w:r>
    </w:p>
    <w:bookmarkEnd w:id="77"/>
    <w:bookmarkStart w:id="78" w:name="coppa-as-amended-in-2025"/>
    <w:p>
      <w:pPr>
        <w:pStyle w:val="Heading3"/>
      </w:pPr>
      <w:r>
        <w:t xml:space="preserve">10.4 COPPA as amended in 2025</w:t>
      </w:r>
    </w:p>
    <w:p>
      <w:pPr>
        <w:pStyle w:val="FirstParagraph"/>
      </w:pPr>
      <w:r>
        <w:t xml:space="preserve">Announced 16 January 2025; published 22 April 2025 (90 FR 16916); effective 23 June 2025;</w:t>
      </w:r>
      <w:r>
        <w:t xml:space="preserve"> </w:t>
      </w:r>
      <w:r>
        <w:rPr>
          <w:bCs/>
          <w:b/>
        </w:rPr>
        <w:t xml:space="preserve">full compliance date 22 April 2026 — already passed.</w:t>
      </w:r>
      <w:r>
        <w:t xml:space="preserve"> </w:t>
      </w:r>
      <w:r>
        <w:t xml:space="preserve">Any US launch touching under-13s is in a post-compliance-date world with no transition allowance.</w:t>
      </w:r>
    </w:p>
    <w:p>
      <w:pPr>
        <w:pStyle w:val="BodyText"/>
      </w:pPr>
      <w:r>
        <w:t xml:space="preserve">Three changes matter:</w:t>
      </w:r>
    </w:p>
    <w:p>
      <w:pPr>
        <w:numPr>
          <w:ilvl w:val="0"/>
          <w:numId w:val="1015"/>
        </w:numPr>
        <w:pStyle w:val="Compact"/>
      </w:pPr>
      <w:r>
        <w:rPr>
          <w:bCs/>
          <w:b/>
        </w:rPr>
        <w:t xml:space="preserve">Separate consent for third-party disclosure (16 CFR § 312.5(a)(2)).</w:t>
      </w:r>
      <w:r>
        <w:t xml:space="preserve"> </w:t>
      </w:r>
      <w:r>
        <w:t xml:space="preserve">The Commission stated in the preamble:</w:t>
      </w:r>
      <w:r>
        <w:t xml:space="preserve"> </w:t>
      </w:r>
      <w:r>
        <w:rPr>
          <w:iCs/>
          <w:i/>
        </w:rPr>
        <w:t xml:space="preserve">“</w:t>
      </w:r>
      <w:r>
        <w:rPr>
          <w:iCs/>
          <w:i/>
        </w:rPr>
        <w:t xml:space="preserve">Disclosures of a child’s personal information to third parties … to train or otherwise develop artificial intelligence technologies, are not integral to the website or online service and would require consent.</w:t>
      </w:r>
      <w:r>
        <w:rPr>
          <w:iCs/>
          <w:i/>
        </w:rPr>
        <w:t xml:space="preserve">”</w:t>
      </w:r>
      <w:r>
        <w:t xml:space="preserve"> </w:t>
      </w:r>
      <w:r>
        <w:t xml:space="preserve">Precision matters about what this is: the words</w:t>
      </w:r>
      <w:r>
        <w:t xml:space="preserve"> </w:t>
      </w:r>
      <w:r>
        <w:t xml:space="preserve">“</w:t>
      </w:r>
      <w:r>
        <w:t xml:space="preserve">artificial intelligence</w:t>
      </w:r>
      <w:r>
        <w:t xml:space="preserve">”</w:t>
      </w:r>
      <w:r>
        <w:t xml:space="preserve"> </w:t>
      </w:r>
      <w:r>
        <w:t xml:space="preserve">appear nowhere in the rule text — it is the Commission’s</w:t>
      </w:r>
      <w:r>
        <w:t xml:space="preserve"> </w:t>
      </w:r>
      <w:r>
        <w:rPr>
          <w:bCs/>
          <w:b/>
        </w:rPr>
        <w:t xml:space="preserve">interpretation</w:t>
      </w:r>
      <w:r>
        <w:t xml:space="preserve"> </w:t>
      </w:r>
      <w:r>
        <w:t xml:space="preserve">of</w:t>
      </w:r>
      <w:r>
        <w:t xml:space="preserve"> </w:t>
      </w:r>
      <w:r>
        <w:t xml:space="preserve">“</w:t>
      </w:r>
      <w:r>
        <w:t xml:space="preserve">integral</w:t>
      </w:r>
      <w:r>
        <w:t xml:space="preserve">”</w:t>
      </w:r>
      <w:r>
        <w:t xml:space="preserve">, stated in the Statement of Basis and Purpose. It is framed as a</w:t>
      </w:r>
      <w:r>
        <w:t xml:space="preserve"> </w:t>
      </w:r>
      <w:r>
        <w:rPr>
          <w:bCs/>
          <w:b/>
        </w:rPr>
        <w:t xml:space="preserve">disclosure</w:t>
      </w:r>
      <w:r>
        <w:t xml:space="preserve"> </w:t>
      </w:r>
      <w:r>
        <w:t xml:space="preserve">rule, so an operator training its own model on data it lawfully collected is not obviously disclosing to a third party; the reading least favourable to a provider is that sending scripts to a third-party model API</w:t>
      </w:r>
      <w:r>
        <w:t xml:space="preserve"> </w:t>
      </w:r>
      <w:r>
        <w:rPr>
          <w:iCs/>
          <w:i/>
        </w:rPr>
        <w:t xml:space="preserve">is</w:t>
      </w:r>
      <w:r>
        <w:t xml:space="preserve"> </w:t>
      </w:r>
      <w:r>
        <w:t xml:space="preserve">such a disclosure.</w:t>
      </w:r>
      <w:r>
        <w:t xml:space="preserve"> </w:t>
      </w:r>
      <w:r>
        <w:rPr>
          <w:bCs/>
          <w:b/>
        </w:rPr>
        <w:t xml:space="preserve">No FTC statement resolving this could be found.</w:t>
      </w:r>
    </w:p>
    <w:p>
      <w:pPr>
        <w:numPr>
          <w:ilvl w:val="0"/>
          <w:numId w:val="1015"/>
        </w:numPr>
        <w:pStyle w:val="Compact"/>
      </w:pPr>
      <w:r>
        <w:rPr>
          <w:bCs/>
          <w:b/>
        </w:rPr>
        <w:t xml:space="preserve">Retention (§ 312.10) — this is the provision with teeth, and it is in the rule text.</w:t>
      </w:r>
      <w:r>
        <w:t xml:space="preserve"> </w:t>
      </w:r>
      <w:r>
        <w:rPr>
          <w:iCs/>
          <w:i/>
        </w:rPr>
        <w:t xml:space="preserve">“</w:t>
      </w:r>
      <w:r>
        <w:rPr>
          <w:iCs/>
          <w:i/>
        </w:rPr>
        <w:t xml:space="preserve">Personal information collected online from a child may not be retained indefinitely.</w:t>
      </w:r>
      <w:r>
        <w:rPr>
          <w:iCs/>
          <w:i/>
        </w:rPr>
        <w:t xml:space="preserve">”</w:t>
      </w:r>
      <w:r>
        <w:t xml:space="preserve"> </w:t>
      </w:r>
      <w:r>
        <w:t xml:space="preserve">A written, published retention policy stating purposes, business need and a deletion timeframe is mandatory. The Commission expressly declined to carve out indefinite retention for security, fraud prevention, record-keeping or service continuity.</w:t>
      </w:r>
      <w:r>
        <w:t xml:space="preserve"> </w:t>
      </w:r>
      <w:r>
        <w:rPr>
          <w:bCs/>
          <w:b/>
        </w:rPr>
        <w:t xml:space="preserve">This kills a permanent training corpus containing under-13 data</w:t>
      </w:r>
      <w:r>
        <w:t xml:space="preserve">, because a training set is by design retained indefinitely and cannot honestly be described as reasonably necessary for the purpose of grading one exam.</w:t>
      </w:r>
    </w:p>
    <w:p>
      <w:pPr>
        <w:numPr>
          <w:ilvl w:val="0"/>
          <w:numId w:val="1015"/>
        </w:numPr>
        <w:pStyle w:val="Compact"/>
      </w:pPr>
      <w:r>
        <w:rPr>
          <w:bCs/>
          <w:b/>
        </w:rPr>
        <w:t xml:space="preserve">Security (§ 312.8(b)–(c)):</w:t>
      </w:r>
      <w:r>
        <w:t xml:space="preserve"> </w:t>
      </w:r>
      <w:r>
        <w:t xml:space="preserve">a written information security programme with a designated coordinator, annual risk assessments, testing and annual evaluation; and</w:t>
      </w:r>
      <w:r>
        <w:t xml:space="preserve"> </w:t>
      </w:r>
      <w:r>
        <w:rPr>
          <w:bCs/>
          <w:b/>
        </w:rPr>
        <w:t xml:space="preserve">written assurances</w:t>
      </w:r>
      <w:r>
        <w:t xml:space="preserve"> </w:t>
      </w:r>
      <w:r>
        <w:t xml:space="preserve">from service providers and third parties before they collect or maintain children’s data.</w:t>
      </w:r>
    </w:p>
    <w:p>
      <w:pPr>
        <w:pStyle w:val="FirstParagraph"/>
      </w:pPr>
      <w:r>
        <w:rPr>
          <w:bCs/>
          <w:b/>
        </w:rPr>
        <w:t xml:space="preserve">The school-consent mechanism is a policy position, not a codified exception.</w:t>
      </w:r>
      <w:r>
        <w:t xml:space="preserve"> </w:t>
      </w:r>
      <w:r>
        <w:t xml:space="preserve">The FTC proposed one in 2024 and withdrew it to avoid conflicting with an anticipated ED FERPA rulemaking —</w:t>
      </w:r>
      <w:r>
        <w:t xml:space="preserve"> </w:t>
      </w:r>
      <w:r>
        <w:rPr>
          <w:bCs/>
          <w:b/>
        </w:rPr>
        <w:t xml:space="preserve">and no such rulemaking has been published</w:t>
      </w:r>
      <w:r>
        <w:t xml:space="preserve">. The result is a two-year stalemate: the FTC deferred to ED, ED was halved, and neither instrument exists.</w:t>
      </w:r>
      <w:r>
        <w:t xml:space="preserve"> </w:t>
      </w:r>
      <w:r>
        <w:rPr>
          <w:bCs/>
          <w:b/>
        </w:rPr>
        <w:t xml:space="preserve">The stalemate should be assumed to persist.</w:t>
      </w:r>
      <w:r>
        <w:t xml:space="preserve"> </w:t>
      </w:r>
      <w:r>
        <w:t xml:space="preserve">What governs is the FTC’s 2022 Policy Statement on Education Technology and COPPA: no mandatory over-collection; use only to provide the requested service; no commercial use; no retention for speculative future uses; security failures violate COPPA even absent a breach; and</w:t>
      </w:r>
      <w:r>
        <w:t xml:space="preserve"> </w:t>
      </w:r>
      <w:r>
        <w:rPr>
          <w:iCs/>
          <w:i/>
        </w:rPr>
        <w:t xml:space="preserve">“</w:t>
      </w:r>
      <w:r>
        <w:rPr>
          <w:iCs/>
          <w:i/>
        </w:rPr>
        <w:t xml:space="preserve">the responsibility for COPPA compliance is on businesses, not schools or parents.</w:t>
      </w:r>
      <w:r>
        <w:rPr>
          <w:iCs/>
          <w:i/>
        </w:rPr>
        <w:t xml:space="preserve">”</w:t>
      </w:r>
    </w:p>
    <w:p>
      <w:pPr>
        <w:pStyle w:val="BodyText"/>
      </w:pPr>
      <w:r>
        <w:rPr>
          <w:bCs/>
          <w:b/>
        </w:rPr>
        <w:t xml:space="preserve">The Edmodo order is the cautionary case</w:t>
      </w:r>
      <w:r>
        <w:t xml:space="preserve"> </w:t>
      </w:r>
      <w:r>
        <w:t xml:space="preserve">— $6m penalty suspended for inability to pay, and the company did not survive the reputational damage. Two order features matter</w:t>
      </w:r>
      <w:r>
        <w:t xml:space="preserve"> </w:t>
      </w:r>
      <w:r>
        <w:rPr>
          <w:iCs/>
          <w:i/>
        </w:rPr>
        <w:t xml:space="preserve">(secondary source; the order text could not be retrieved)</w:t>
      </w:r>
      <w:r>
        <w:t xml:space="preserve">:</w:t>
      </w:r>
      <w:r>
        <w:t xml:space="preserve"> </w:t>
      </w:r>
      <w:r>
        <w:rPr>
          <w:bCs/>
          <w:b/>
        </w:rPr>
        <w:t xml:space="preserve">algorithmic disgorgement</w:t>
      </w:r>
      <w:r>
        <w:t xml:space="preserve"> </w:t>
      </w:r>
      <w:r>
        <w:t xml:space="preserve">— deletion of models or algorithms developed using children’s data collected without valid consent or school authorisation, which is the sharpest available remedy against an AI grading vendor, since it destroys the asset rather than fining it; and a definition of</w:t>
      </w:r>
      <w:r>
        <w:t xml:space="preserve"> </w:t>
      </w:r>
      <w:r>
        <w:t xml:space="preserve">“</w:t>
      </w:r>
      <w:r>
        <w:t xml:space="preserve">School</w:t>
      </w:r>
      <w:r>
        <w:t xml:space="preserve">”</w:t>
      </w:r>
      <w:r>
        <w:t xml:space="preserve"> </w:t>
      </w:r>
      <w:r>
        <w:t xml:space="preserve">in the</w:t>
      </w:r>
      <w:r>
        <w:t xml:space="preserve"> </w:t>
      </w:r>
      <w:r>
        <w:rPr>
          <w:bCs/>
          <w:b/>
        </w:rPr>
        <w:t xml:space="preserve">singular</w:t>
      </w:r>
      <w:r>
        <w:t xml:space="preserve">, signalling FTC scepticism about diffuse</w:t>
      </w:r>
      <w:r>
        <w:t xml:space="preserve"> </w:t>
      </w:r>
      <w:r>
        <w:t xml:space="preserve">“</w:t>
      </w:r>
      <w:r>
        <w:t xml:space="preserve">the district said yes</w:t>
      </w:r>
      <w:r>
        <w:t xml:space="preserve">”</w:t>
      </w:r>
      <w:r>
        <w:t xml:space="preserve"> </w:t>
      </w:r>
      <w:r>
        <w:t xml:space="preserve">authorisation chains.</w:t>
      </w:r>
    </w:p>
    <w:bookmarkEnd w:id="78"/>
    <w:bookmarkStart w:id="79" w:name="X03e57c71f3eb9a17594b6a53729d7e8f615df91"/>
    <w:p>
      <w:pPr>
        <w:pStyle w:val="Heading3"/>
      </w:pPr>
      <w:r>
        <w:t xml:space="preserve">10.5 Civil rights — and where the real risk now sits</w:t>
      </w:r>
    </w:p>
    <w:p>
      <w:pPr>
        <w:pStyle w:val="FirstParagraph"/>
      </w:pPr>
      <w:r>
        <w:rPr>
          <w:bCs/>
          <w:b/>
        </w:rPr>
        <w:t xml:space="preserve">Disparate impact has narrowed federally; neither that narrowing nor its limits should be overstated.</w:t>
      </w:r>
      <w:r>
        <w:t xml:space="preserve"> </w:t>
      </w:r>
      <w:r>
        <w:t xml:space="preserve">EO 14281 (23 April 2025) directed agencies to deprioritise disparate-impact enforcement; ED executed it with a final rule published</w:t>
      </w:r>
      <w:r>
        <w:t xml:space="preserve"> </w:t>
      </w:r>
      <w:r>
        <w:rPr>
          <w:bCs/>
          <w:b/>
        </w:rPr>
        <w:t xml:space="preserve">24 July 2026</w:t>
      </w:r>
      <w:r>
        <w:t xml:space="preserve"> </w:t>
      </w:r>
      <w:r>
        <w:t xml:space="preserve">rescinding 34 CFR § 100.3(b)(2) and related Title VI provisions, issued without notice and comment in reliance on the grants exemption</w:t>
      </w:r>
      <w:r>
        <w:t xml:space="preserve"> </w:t>
      </w:r>
      <w:r>
        <w:rPr>
          <w:iCs/>
          <w:i/>
        </w:rPr>
        <w:t xml:space="preserve">(a procedural choice that is itself a litigation target; whether APA challenges are pending could not be verified)</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Survives</w:t>
            </w:r>
          </w:p>
        </w:tc>
        <w:tc>
          <w:tcPr/>
          <w:p>
            <w:pPr>
              <w:pStyle w:val="Compact"/>
              <w:jc w:val="left"/>
            </w:pPr>
            <w:r>
              <w:t xml:space="preserve">Weakened or gone</w:t>
            </w:r>
          </w:p>
        </w:tc>
      </w:tr>
      <w:tr>
        <w:tc>
          <w:tcPr/>
          <w:p>
            <w:pPr>
              <w:pStyle w:val="Compact"/>
              <w:jc w:val="left"/>
            </w:pPr>
            <w:r>
              <w:rPr>
                <w:bCs/>
                <w:b/>
              </w:rPr>
              <w:t xml:space="preserve">Intentional</w:t>
            </w:r>
            <w:r>
              <w:t xml:space="preserve"> </w:t>
            </w:r>
            <w:r>
              <w:t xml:space="preserve">discrimination under Title VI — statutory</w:t>
            </w:r>
          </w:p>
        </w:tc>
        <w:tc>
          <w:tcPr/>
          <w:p>
            <w:pPr>
              <w:pStyle w:val="Compact"/>
              <w:jc w:val="left"/>
            </w:pPr>
            <w:r>
              <w:t xml:space="preserve">ED-administered Title VI</w:t>
            </w:r>
            <w:r>
              <w:t xml:space="preserve"> </w:t>
            </w:r>
            <w:r>
              <w:rPr>
                <w:bCs/>
                <w:b/>
              </w:rPr>
              <w:t xml:space="preserve">disparate-impact</w:t>
            </w:r>
            <w:r>
              <w:t xml:space="preserve"> </w:t>
            </w:r>
            <w:r>
              <w:t xml:space="preserve">regulatory liability</w:t>
            </w:r>
          </w:p>
        </w:tc>
      </w:tr>
      <w:tr>
        <w:tc>
          <w:tcPr/>
          <w:p>
            <w:pPr>
              <w:pStyle w:val="Compact"/>
              <w:jc w:val="left"/>
            </w:pPr>
            <w:r>
              <w:rPr>
                <w:bCs/>
                <w:b/>
              </w:rPr>
              <w:t xml:space="preserve">Section 504 / ADA</w:t>
            </w:r>
            <w:r>
              <w:t xml:space="preserve"> </w:t>
            </w:r>
            <w:r>
              <w:t xml:space="preserve">— effects-based by statutory design; failure to accommodate and methods-of-administration claims do not depend on intent</w:t>
            </w:r>
          </w:p>
        </w:tc>
        <w:tc>
          <w:tcPr/>
          <w:p>
            <w:pPr>
              <w:pStyle w:val="Compact"/>
              <w:jc w:val="left"/>
            </w:pPr>
            <w:r>
              <w:t xml:space="preserve">federal enforcement priority for impact claims generally</w:t>
            </w:r>
          </w:p>
        </w:tc>
      </w:tr>
      <w:tr>
        <w:tc>
          <w:tcPr/>
          <w:p>
            <w:pPr>
              <w:pStyle w:val="Compact"/>
              <w:jc w:val="left"/>
            </w:pPr>
            <w:r>
              <w:t xml:space="preserve">Title IX disparate-impact analysis (separate regulations)</w:t>
            </w:r>
          </w:p>
        </w:tc>
        <w:tc>
          <w:tcPr/>
          <w:p>
            <w:pPr>
              <w:pStyle w:val="Compact"/>
              <w:jc w:val="left"/>
            </w:pPr>
            <w:r>
              <w:t xml:space="preserve">—</w:t>
            </w:r>
          </w:p>
        </w:tc>
      </w:tr>
      <w:tr>
        <w:tc>
          <w:tcPr/>
          <w:p>
            <w:pPr>
              <w:pStyle w:val="Compact"/>
              <w:jc w:val="left"/>
            </w:pPr>
            <w:r>
              <w:rPr>
                <w:bCs/>
                <w:b/>
              </w:rPr>
              <w:t xml:space="preserve">State</w:t>
            </w:r>
            <w:r>
              <w:t xml:space="preserve"> </w:t>
            </w:r>
            <w:r>
              <w:t xml:space="preserve">civil-rights and AI statutes</w:t>
            </w:r>
          </w:p>
        </w:tc>
        <w:tc>
          <w:tcPr/>
          <w:p>
            <w:pPr>
              <w:pStyle w:val="Compact"/>
              <w:jc w:val="left"/>
            </w:pPr>
            <w:r>
              <w:t xml:space="preserve">—</w:t>
            </w:r>
          </w:p>
        </w:tc>
      </w:tr>
    </w:tbl>
    <w:p>
      <w:pPr>
        <w:pStyle w:val="BodyText"/>
      </w:pPr>
      <w:r>
        <w:rPr>
          <w:bCs/>
          <w:b/>
        </w:rPr>
        <w:t xml:space="preserve">Bias risk has not gone away.</w:t>
      </w:r>
      <w:r>
        <w:t xml:space="preserve"> </w:t>
      </w:r>
      <w:r>
        <w:t xml:space="preserve">The disability route is untouched and is the more likely vector for an AI marking tool; state law is expanding; and reputational and procurement risk are indifferent to doctrine. A district that sees a subgroup error-rate gap drops the vendor whether or not anyone would investigate.</w:t>
      </w:r>
    </w:p>
    <w:p>
      <w:pPr>
        <w:pStyle w:val="BodyText"/>
      </w:pPr>
      <w:r>
        <w:rPr>
          <w:bCs/>
          <w:b/>
        </w:rPr>
        <w:t xml:space="preserve">ED OCR’s</w:t>
      </w:r>
      <w:r>
        <w:rPr>
          <w:bCs/>
          <w:b/>
        </w:rPr>
        <w:t xml:space="preserve"> </w:t>
      </w:r>
      <w:r>
        <w:rPr>
          <w:iCs/>
          <w:i/>
          <w:bCs/>
          <w:b/>
        </w:rPr>
        <w:t xml:space="preserve">Avoiding the Discriminatory Use of Artificial Intelligence</w:t>
      </w:r>
      <w:r>
        <w:rPr>
          <w:bCs/>
          <w:b/>
        </w:rPr>
        <w:t xml:space="preserve"> </w:t>
      </w:r>
      <w:r>
        <w:rPr>
          <w:bCs/>
          <w:b/>
        </w:rPr>
        <w:t xml:space="preserve">(November 2024, revised January 2025) has been formally rescinded</w:t>
      </w:r>
      <w:r>
        <w:t xml:space="preserve"> </w:t>
      </w:r>
      <w:r>
        <w:rPr>
          <w:iCs/>
          <w:i/>
        </w:rPr>
        <w:t xml:space="preserve">(date and instrument of rescission could not be established)</w:t>
      </w:r>
      <w:r>
        <w:t xml:space="preserve">. It remains the most useful single document available, because rescission removes its status as guidance but not its value as a map of how a complaint would be framed. Its Example 1 describes this scenario directly: a tool with</w:t>
      </w:r>
      <w:r>
        <w:t xml:space="preserve"> </w:t>
      </w:r>
      <w:r>
        <w:rPr>
          <w:iCs/>
          <w:i/>
        </w:rPr>
        <w:t xml:space="preserve">“</w:t>
      </w:r>
      <w:r>
        <w:rPr>
          <w:iCs/>
          <w:i/>
        </w:rPr>
        <w:t xml:space="preserve">a low error rate for evaluating essays written by native English speakers</w:t>
      </w:r>
      <w:r>
        <w:rPr>
          <w:iCs/>
          <w:i/>
        </w:rPr>
        <w:t xml:space="preserve">”</w:t>
      </w:r>
      <w:r>
        <w:t xml:space="preserve"> </w:t>
      </w:r>
      <w:r>
        <w:t xml:space="preserve">but</w:t>
      </w:r>
      <w:r>
        <w:t xml:space="preserve"> </w:t>
      </w:r>
      <w:r>
        <w:rPr>
          <w:iCs/>
          <w:i/>
        </w:rPr>
        <w:t xml:space="preserve">“</w:t>
      </w:r>
      <w:r>
        <w:rPr>
          <w:iCs/>
          <w:i/>
        </w:rPr>
        <w:t xml:space="preserve">a high error rate when evaluating essays written by non-native English speakers</w:t>
      </w:r>
      <w:r>
        <w:rPr>
          <w:iCs/>
          <w:i/>
        </w:rPr>
        <w:t xml:space="preserve">”</w:t>
      </w:r>
      <w:r>
        <w:t xml:space="preserve">. The through-line across its examples is that liability arises not from using AI but from deferring to the output, failing to audit for subgroup error rates, and ignoring complaints.</w:t>
      </w:r>
    </w:p>
    <w:p>
      <w:pPr>
        <w:pStyle w:val="BodyText"/>
      </w:pPr>
      <w:r>
        <w:rPr>
          <w:bCs/>
          <w:b/>
        </w:rPr>
        <w:t xml:space="preserve">Accommodations are a build requirement, not a policy question.</w:t>
      </w:r>
      <w:r>
        <w:t xml:space="preserve"> </w:t>
      </w:r>
      <w:r>
        <w:t xml:space="preserve">IDEA confidentiality rules layer on top of FERPA. Substantively: extended time is irrelevant to marking; a scribe or word processor changes the artefact from handwriting to type, and</w:t>
      </w:r>
      <w:r>
        <w:t xml:space="preserve"> </w:t>
      </w:r>
      <w:r>
        <w:rPr>
          <w:bCs/>
          <w:b/>
        </w:rPr>
        <w:t xml:space="preserve">typed scripts must not be scored differently</w:t>
      </w:r>
      <w:r>
        <w:t xml:space="preserve">; spelling and grammar waivers mean</w:t>
      </w:r>
      <w:r>
        <w:t xml:space="preserve"> </w:t>
      </w:r>
      <w:r>
        <w:rPr>
          <w:bCs/>
          <w:b/>
        </w:rPr>
        <w:t xml:space="preserve">the rubric must be modifiable per student</w:t>
      </w:r>
      <w:r>
        <w:t xml:space="preserve">; and alternative or reduced-length response formats must be handled.</w:t>
      </w:r>
      <w:r>
        <w:t xml:space="preserve"> </w:t>
      </w:r>
      <w:r>
        <w:rPr>
          <w:bCs/>
          <w:b/>
        </w:rPr>
        <w:t xml:space="preserve">A system that applies one rubric to every script cannot implement a 504 plan.</w:t>
      </w:r>
      <w:r>
        <w:t xml:space="preserve"> </w:t>
      </w:r>
      <w:r>
        <w:t xml:space="preserve">Such a system must accept a per-student rubric-modification flag and must evidence that it applied it.</w:t>
      </w:r>
    </w:p>
    <w:bookmarkEnd w:id="79"/>
    <w:bookmarkStart w:id="80" w:name="Xf579736357128516123e06c13a7955e77006d3c"/>
    <w:p>
      <w:pPr>
        <w:pStyle w:val="Heading3"/>
      </w:pPr>
      <w:r>
        <w:t xml:space="preserve">10.6 What the evidence on scoring bias actually shows</w:t>
      </w:r>
    </w:p>
    <w:p>
      <w:pPr>
        <w:pStyle w:val="FirstParagraph"/>
      </w:pPr>
      <w:r>
        <w:t xml:space="preserve">Two studies were verified, and they should be read carefully rather than quoted loosely.</w:t>
      </w:r>
    </w:p>
    <w:p>
      <w:pPr>
        <w:numPr>
          <w:ilvl w:val="0"/>
          <w:numId w:val="1016"/>
        </w:numPr>
        <w:pStyle w:val="Compact"/>
      </w:pPr>
      <w:r>
        <w:rPr>
          <w:bCs/>
          <w:b/>
        </w:rPr>
        <w:t xml:space="preserve">Li, Qunhan &amp; Mao (2026),</w:t>
      </w:r>
      <w:r>
        <w:rPr>
          <w:bCs/>
          <w:b/>
        </w:rPr>
        <w:t xml:space="preserve"> </w:t>
      </w:r>
      <w:r>
        <w:rPr>
          <w:iCs/>
          <w:i/>
          <w:bCs/>
          <w:b/>
        </w:rPr>
        <w:t xml:space="preserve">Scientific Reports</w:t>
      </w:r>
      <w:r>
        <w:rPr>
          <w:bCs/>
          <w:b/>
        </w:rPr>
        <w:t xml:space="preserve"> </w:t>
      </w:r>
      <w:r>
        <w:rPr>
          <w:bCs/>
          <w:b/>
        </w:rPr>
        <w:t xml:space="preserve">16:17412</w:t>
      </w:r>
      <w:r>
        <w:t xml:space="preserve"> </w:t>
      </w:r>
      <w:r>
        <w:t xml:space="preserve">— meta-analysis of human versus AI scoring in English language assessments. The pooled effect is not significant (d = −0.144, p = .38)</w:t>
      </w:r>
      <w:r>
        <w:t xml:space="preserve"> </w:t>
      </w:r>
      <w:r>
        <w:rPr>
          <w:bCs/>
          <w:b/>
        </w:rPr>
        <w:t xml:space="preserve">but I² = 99.95%</w:t>
      </w:r>
      <w:r>
        <w:t xml:space="preserve">, so the null aggregate conceals enormous between-study variance. In sub-groups,</w:t>
      </w:r>
      <w:r>
        <w:t xml:space="preserve"> </w:t>
      </w:r>
      <w:r>
        <w:rPr>
          <w:bCs/>
          <w:b/>
        </w:rPr>
        <w:t xml:space="preserve">large language models showed the largest discrepancy (d = −1.14, k = 5)</w:t>
      </w:r>
      <w:r>
        <w:t xml:space="preserve"> </w:t>
      </w:r>
      <w:r>
        <w:t xml:space="preserve">with human scores significantly higher, while purpose-built NLP systems showed minimal difference; at CEFR B1–C1</w:t>
      </w:r>
      <w:r>
        <w:t xml:space="preserve"> </w:t>
      </w:r>
      <w:r>
        <w:rPr>
          <w:bCs/>
          <w:b/>
        </w:rPr>
        <w:t xml:space="preserve">AI scored significantly higher than humans</w:t>
      </w:r>
      <w:r>
        <w:t xml:space="preserve">. The operational reading is not</w:t>
      </w:r>
      <w:r>
        <w:t xml:space="preserve"> </w:t>
      </w:r>
      <w:r>
        <w:t xml:space="preserve">“</w:t>
      </w:r>
      <w:r>
        <w:t xml:space="preserve">LLMs are biased against non-native speakers</w:t>
      </w:r>
      <w:r>
        <w:t xml:space="preserve">”</w:t>
      </w:r>
      <w:r>
        <w:t xml:space="preserve"> </w:t>
      </w:r>
      <w:r>
        <w:t xml:space="preserve">but something more useful:</w:t>
      </w:r>
      <w:r>
        <w:t xml:space="preserve"> </w:t>
      </w:r>
      <w:r>
        <w:rPr>
          <w:bCs/>
          <w:b/>
        </w:rPr>
        <w:t xml:space="preserve">the direction and magnitude of LLM–human divergence is not stable across proficiency levels</w:t>
      </w:r>
      <w:r>
        <w:t xml:space="preserve">, which is exactly the pattern that produces differential accuracy across an EL/non-EL split without any protected attribute being an input.</w:t>
      </w:r>
    </w:p>
    <w:p>
      <w:pPr>
        <w:numPr>
          <w:ilvl w:val="0"/>
          <w:numId w:val="1016"/>
        </w:numPr>
        <w:pStyle w:val="Compact"/>
      </w:pPr>
      <w:r>
        <w:rPr>
          <w:bCs/>
          <w:b/>
        </w:rPr>
        <w:t xml:space="preserve">Guo et al. (2025), arXiv:2505.10643</w:t>
      </w:r>
      <w:r>
        <w:t xml:space="preserve"> </w:t>
      </w:r>
      <w:r>
        <w:t xml:space="preserve">— BERT fine-tuned on California Science Test constructed responses.</w:t>
      </w:r>
      <w:r>
        <w:t xml:space="preserve"> </w:t>
      </w:r>
      <w:r>
        <w:rPr>
          <w:bCs/>
          <w:b/>
        </w:rPr>
        <w:t xml:space="preserve">Bias is a function of training-data scale and composition</w:t>
      </w:r>
      <w:r>
        <w:t xml:space="preserve">: at ~30,000 English-learner responses no significant model differences; at ~200, significant accuracy differences emerged, and mean score gaps distorted when training composition deviated from real-world proportions.</w:t>
      </w:r>
      <w:r>
        <w:t xml:space="preserve"> </w:t>
      </w:r>
      <w:r>
        <w:rPr>
          <w:bCs/>
          <w:b/>
        </w:rPr>
        <w:t xml:space="preserve">This is the most actionable finding available: EL bias is largely a data-sufficiency and representativeness problem, and it is measurable and fixable.</w:t>
      </w:r>
      <w:r>
        <w:t xml:space="preserve"> </w:t>
      </w:r>
      <w:r>
        <w:t xml:space="preserve">It supports a concrete commitment — representative calibration data per deployment context, and per-subgroup accuracy reporting.</w:t>
      </w:r>
    </w:p>
    <w:p>
      <w:pPr>
        <w:pStyle w:val="FirstParagraph"/>
      </w:pPr>
      <w:r>
        <w:rPr>
          <w:iCs/>
          <w:i/>
        </w:rPr>
        <w:t xml:space="preserve">(Bridgeman, Trapani &amp; Attali (2012), the canonical ETS e-rater subgroup study, could not be read — the publisher returned an error. Do not attribute specific subgroup findings to it.)</w:t>
      </w:r>
    </w:p>
    <w:p>
      <w:pPr>
        <w:pStyle w:val="BodyText"/>
      </w:pPr>
      <w:r>
        <w:rPr>
          <w:bCs/>
          <w:b/>
        </w:rPr>
        <w:t xml:space="preserve">An unfilled evidence gap.</w:t>
      </w:r>
      <w:r>
        <w:t xml:space="preserve"> </w:t>
      </w:r>
      <w:r>
        <w:rPr>
          <w:bCs/>
          <w:b/>
        </w:rPr>
        <w:t xml:space="preserve">No published study of bias in AI scoring of</w:t>
      </w:r>
      <w:r>
        <w:rPr>
          <w:bCs/>
          <w:b/>
        </w:rPr>
        <w:t xml:space="preserve"> </w:t>
      </w:r>
      <w:r>
        <w:rPr>
          <w:iCs/>
          <w:i/>
          <w:bCs/>
          <w:b/>
        </w:rPr>
        <w:t xml:space="preserve">handwritten</w:t>
      </w:r>
      <w:r>
        <w:rPr>
          <w:bCs/>
          <w:b/>
        </w:rPr>
        <w:t xml:space="preserve"> </w:t>
      </w:r>
      <w:r>
        <w:rPr>
          <w:bCs/>
          <w:b/>
        </w:rPr>
        <w:t xml:space="preserve">scripts specifically could be found.</w:t>
      </w:r>
      <w:r>
        <w:t xml:space="preserve"> </w:t>
      </w:r>
      <w:r>
        <w:t xml:space="preserve">All the evidence concerns typed or transcribed text. A system that inserts an OCR/HTR stage before scoring adds a further variable, and</w:t>
      </w:r>
      <w:r>
        <w:t xml:space="preserve"> </w:t>
      </w:r>
      <w:r>
        <w:rPr>
          <w:bCs/>
          <w:b/>
        </w:rPr>
        <w:t xml:space="preserve">transcription error is itself a plausible bias vector</w:t>
      </w:r>
      <w:r>
        <w:t xml:space="preserve">: handwriting legibility correlates with fine-motor disability, dysgraphia, age and instruction quality, and a recogniser trained predominantly on one population’s handwriting will transcribe others worse. A student whose script transcribes at 92% character accuracy and one whose transcribes at 98% are not being assessed on the same artefact.</w:t>
      </w:r>
      <w:r>
        <w:t xml:space="preserve"> </w:t>
      </w:r>
      <w:r>
        <w:rPr>
          <w:bCs/>
          <w:b/>
        </w:rPr>
        <w:t xml:space="preserve">Mitigation: measure and report transcription accuracy by subgroup; route low-confidence transcriptions to the teacher with the original image; never score a script whose transcription confidence falls below a threshold.</w:t>
      </w:r>
      <w:r>
        <w:t xml:space="preserve"> </w:t>
      </w:r>
      <w:r>
        <w:t xml:space="preserve">This remains an open research gap.</w:t>
      </w:r>
    </w:p>
    <w:bookmarkEnd w:id="80"/>
    <w:bookmarkStart w:id="81" w:name="higher-education-accessibility-liability"/>
    <w:p>
      <w:pPr>
        <w:pStyle w:val="Heading3"/>
      </w:pPr>
      <w:r>
        <w:t xml:space="preserve">10.7 Higher education, accessibility, liability</w:t>
      </w:r>
    </w:p>
    <w:p>
      <w:pPr>
        <w:pStyle w:val="FirstParagraph"/>
      </w:pPr>
      <w:r>
        <w:rPr>
          <w:bCs/>
          <w:b/>
        </w:rPr>
        <w:t xml:space="preserve">“</w:t>
      </w:r>
      <w:r>
        <w:rPr>
          <w:bCs/>
          <w:b/>
        </w:rPr>
        <w:t xml:space="preserve">Regular and substantive interaction</w:t>
      </w:r>
      <w:r>
        <w:rPr>
          <w:bCs/>
          <w:b/>
        </w:rPr>
        <w:t xml:space="preserve">”</w:t>
      </w:r>
      <w:r>
        <w:rPr>
          <w:bCs/>
          <w:b/>
        </w:rPr>
        <w:t xml:space="preserve"> </w:t>
      </w:r>
      <w:r>
        <w:rPr>
          <w:bCs/>
          <w:b/>
        </w:rPr>
        <w:t xml:space="preserve">(34 CFR § 600.2).</w:t>
      </w:r>
      <w:r>
        <w:t xml:space="preserve"> </w:t>
      </w:r>
      <w:r>
        <w:t xml:space="preserve">Distance education must support regular and substantive interaction with</w:t>
      </w:r>
      <w:r>
        <w:t xml:space="preserve"> </w:t>
      </w:r>
      <w:r>
        <w:rPr>
          <w:bCs/>
          <w:b/>
        </w:rPr>
        <w:t xml:space="preserve">an instructor</w:t>
      </w:r>
      <w:r>
        <w:t xml:space="preserve">, defined as</w:t>
      </w:r>
      <w:r>
        <w:t xml:space="preserve"> </w:t>
      </w:r>
      <w:r>
        <w:rPr>
          <w:iCs/>
          <w:i/>
        </w:rPr>
        <w:t xml:space="preserve">“</w:t>
      </w:r>
      <w:r>
        <w:rPr>
          <w:iCs/>
          <w:i/>
        </w:rPr>
        <w:t xml:space="preserve">an individual</w:t>
      </w:r>
      <w:r>
        <w:rPr>
          <w:iCs/>
          <w:i/>
        </w:rPr>
        <w:t xml:space="preserve">”</w:t>
      </w:r>
      <w:r>
        <w:t xml:space="preserve"> </w:t>
      </w:r>
      <w:r>
        <w:t xml:space="preserve">meeting the accrediting agency’s qualifications; substantive interaction requires at least two of five activities, of which item (2) is</w:t>
      </w:r>
      <w:r>
        <w:t xml:space="preserve"> </w:t>
      </w:r>
      <w:r>
        <w:rPr>
          <w:iCs/>
          <w:i/>
        </w:rPr>
        <w:t xml:space="preserve">“</w:t>
      </w:r>
      <w:r>
        <w:rPr>
          <w:iCs/>
          <w:i/>
        </w:rPr>
        <w:t xml:space="preserve">assessing or providing feedback on a student’s coursework</w:t>
      </w:r>
      <w:r>
        <w:rPr>
          <w:iCs/>
          <w:i/>
        </w:rPr>
        <w:t xml:space="preserve">”</w:t>
      </w:r>
      <w:r>
        <w:t xml:space="preserve"> </w:t>
      </w:r>
      <w:r>
        <w:t xml:space="preserve">— precisely the activity at issue. A course failing this test is a</w:t>
      </w:r>
      <w:r>
        <w:t xml:space="preserve"> </w:t>
      </w:r>
      <w:r>
        <w:rPr>
          <w:bCs/>
          <w:b/>
        </w:rPr>
        <w:t xml:space="preserve">correspondence course</w:t>
      </w:r>
      <w:r>
        <w:t xml:space="preserve">, which is Title IV-restricted.</w:t>
      </w:r>
      <w:r>
        <w:t xml:space="preserve"> </w:t>
      </w:r>
      <w:r>
        <w:rPr>
          <w:bCs/>
          <w:b/>
        </w:rPr>
        <w:t xml:space="preserve">A design in which the teacher reviews and decides satisfies the test, because the feedback that reaches the student is the instructor’s, adopted with AI assistance. The risk is entirely in configuration and marketing:</w:t>
      </w:r>
      <w:r>
        <w:t xml:space="preserve"> </w:t>
      </w:r>
      <w:r>
        <w:t xml:space="preserve">never a configuration delivering AI feedback to students without instructor review in a distance course, and never marketing copy claiming that the system</w:t>
      </w:r>
      <w:r>
        <w:t xml:space="preserve"> </w:t>
      </w:r>
      <w:r>
        <w:t xml:space="preserve">“</w:t>
      </w:r>
      <w:r>
        <w:t xml:space="preserve">replaces</w:t>
      </w:r>
      <w:r>
        <w:t xml:space="preserve">”</w:t>
      </w:r>
      <w:r>
        <w:t xml:space="preserve"> </w:t>
      </w:r>
      <w:r>
        <w:t xml:space="preserve">instructor grading.</w:t>
      </w:r>
      <w:r>
        <w:t xml:space="preserve"> </w:t>
      </w:r>
      <w:r>
        <w:rPr>
          <w:iCs/>
          <w:i/>
        </w:rPr>
        <w:t xml:space="preserve">(MSCHE’s July 2025 AI accreditation policy and the C-RAC October 2025 statement could not be fetched; both should be obtained before any conclusion is finalised for the US higher-education segment.)</w:t>
      </w:r>
    </w:p>
    <w:p>
      <w:pPr>
        <w:pStyle w:val="BodyText"/>
      </w:pPr>
      <w:r>
        <w:rPr>
          <w:bCs/>
          <w:b/>
        </w:rPr>
        <w:t xml:space="preserve">Accessibility.</w:t>
      </w:r>
      <w:r>
        <w:t xml:space="preserve"> </w:t>
      </w:r>
      <w:r>
        <w:t xml:space="preserve">Section 508 binds federal agencies, not districts or universities — but many state procurement statutes adopt it by reference, so a VPAT will be demanded in practice. The operative mandate for the deploying institution is the</w:t>
      </w:r>
      <w:r>
        <w:t xml:space="preserve"> </w:t>
      </w:r>
      <w:r>
        <w:rPr>
          <w:bCs/>
          <w:b/>
        </w:rPr>
        <w:t xml:space="preserve">ADA Title II web rule (28 CFR Part 35 Subpart H, final rule 24 April 2024), standard WCAG 2.1 Level A and AA</w:t>
      </w:r>
      <w:r>
        <w:t xml:space="preserve">, with compliance dates extended by an interim final rule of 20 April 2026 to</w:t>
      </w:r>
      <w:r>
        <w:t xml:space="preserve"> </w:t>
      </w:r>
      <w:r>
        <w:rPr>
          <w:bCs/>
          <w:b/>
        </w:rPr>
        <w:t xml:space="preserve">26 April 2027</w:t>
      </w:r>
      <w:r>
        <w:t xml:space="preserve"> </w:t>
      </w:r>
      <w:r>
        <w:t xml:space="preserve">for public entities of 50,000+ and</w:t>
      </w:r>
      <w:r>
        <w:t xml:space="preserve"> </w:t>
      </w:r>
      <w:r>
        <w:rPr>
          <w:bCs/>
          <w:b/>
        </w:rPr>
        <w:t xml:space="preserve">26 April 2028</w:t>
      </w:r>
      <w:r>
        <w:t xml:space="preserve"> </w:t>
      </w:r>
      <w:r>
        <w:t xml:space="preserve">for smaller entities and special district governments — which is what most school districts are. The clause that matters: a public entity remains responsible</w:t>
      </w:r>
      <w:r>
        <w:t xml:space="preserve"> </w:t>
      </w:r>
      <w:r>
        <w:rPr>
          <w:iCs/>
          <w:i/>
        </w:rPr>
        <w:t xml:space="preserve">“</w:t>
      </w:r>
      <w:r>
        <w:rPr>
          <w:iCs/>
          <w:i/>
        </w:rPr>
        <w:t xml:space="preserve">even if it outsources the accessibility work to somebody else</w:t>
      </w:r>
      <w:r>
        <w:rPr>
          <w:iCs/>
          <w:i/>
        </w:rPr>
        <w:t xml:space="preserve">”</w:t>
      </w:r>
      <w:r>
        <w:t xml:space="preserve">, so districts will push the obligation into the contract. Two system-specific traps:</w:t>
      </w:r>
      <w:r>
        <w:t xml:space="preserve"> </w:t>
      </w:r>
      <w:r>
        <w:rPr>
          <w:bCs/>
          <w:b/>
        </w:rPr>
        <w:t xml:space="preserve">scanned script images are non-text content</w:t>
      </w:r>
      <w:r>
        <w:t xml:space="preserve"> </w:t>
      </w:r>
      <w:r>
        <w:t xml:space="preserve">and need alternatives for a blind or low-vision reviewer; and colour-coded confidence or annotation overlays must not convey information by colour alone.</w:t>
      </w:r>
    </w:p>
    <w:p>
      <w:pPr>
        <w:pStyle w:val="BodyText"/>
      </w:pPr>
      <w:r>
        <w:rPr>
          <w:bCs/>
          <w:b/>
        </w:rPr>
        <w:t xml:space="preserve">Liability.</w:t>
      </w:r>
      <w:r>
        <w:t xml:space="preserve"> </w:t>
      </w:r>
      <w:r>
        <w:t xml:space="preserve">There is no federal AI liability statute; claims will be sought in state common law — negligence (the plaintiff’s best facts being a known, measurable subgroup error rate that was not disclosed), products liability (unsettled as to whether AI software is a product), misrepresentation and state consumer-protection law (overclaiming accuracy is the most likely first claim and the cheapest to avoid), and breach of contract and indemnity (the realistic primary exposure).</w:t>
      </w:r>
      <w:r>
        <w:t xml:space="preserve"> </w:t>
      </w:r>
      <w:r>
        <w:rPr>
          <w:bCs/>
          <w:b/>
        </w:rPr>
        <w:t xml:space="preserve">The damages profile in this field is unusual: a mis-scored exam is a small individual harm with a potentially large class, because one calibration error affects every script in a cohort.</w:t>
      </w:r>
      <w:r>
        <w:t xml:space="preserve"> </w:t>
      </w:r>
      <w:r>
        <w:t xml:space="preserve">The claim that bites is educational detriment — a grade that changed a placement, a graduation or an admission — hard to value individually, easy to aggregate. Insurance implication: technology errors-and-omissions cover with an explicit AI endorsement, confirmed to respond to claims arising from model</w:t>
      </w:r>
      <w:r>
        <w:t xml:space="preserve"> </w:t>
      </w:r>
      <w:r>
        <w:rPr>
          <w:iCs/>
          <w:i/>
        </w:rPr>
        <w:t xml:space="preserve">output</w:t>
      </w:r>
      <w:r>
        <w:t xml:space="preserve"> </w:t>
      </w:r>
      <w:r>
        <w:t xml:space="preserve">and not only from security incidents.</w:t>
      </w:r>
      <w:r>
        <w:t xml:space="preserve"> </w:t>
      </w:r>
      <w:r>
        <w:rPr>
          <w:iCs/>
          <w:i/>
        </w:rPr>
        <w:t xml:space="preserve">(The AI E&amp;O insurance market was not researched; flagged.)</w:t>
      </w:r>
    </w:p>
    <w:bookmarkEnd w:id="81"/>
    <w:bookmarkEnd w:id="82"/>
    <w:bookmarkStart w:id="91" w:name="united-states-the-50-state-layer"/>
    <w:p>
      <w:pPr>
        <w:pStyle w:val="Heading2"/>
      </w:pPr>
      <w:r>
        <w:t xml:space="preserve">11. United States — the 50-state layer</w:t>
      </w:r>
    </w:p>
    <w:bookmarkStart w:id="83" w:name="X9086513c948cfe75aff1bc093029098bfded187"/>
    <w:p>
      <w:pPr>
        <w:pStyle w:val="Heading3"/>
      </w:pPr>
      <w:r>
        <w:t xml:space="preserve">11.1 Five layers, three of which shape system design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Binding force</w:t>
            </w:r>
          </w:p>
        </w:tc>
        <w:tc>
          <w:tcPr/>
          <w:p>
            <w:pPr>
              <w:pStyle w:val="Compact"/>
              <w:jc w:val="left"/>
            </w:pPr>
            <w:r>
              <w:t xml:space="preserve">Impact on system design</w:t>
            </w:r>
          </w:p>
        </w:tc>
      </w:tr>
      <w:tr>
        <w:tc>
          <w:tcPr/>
          <w:p>
            <w:pPr>
              <w:pStyle w:val="Compact"/>
              <w:jc w:val="left"/>
            </w:pPr>
            <w:r>
              <w:t xml:space="preserve">K-12 student-privacy vendor statutes (~40 states)</w:t>
            </w:r>
          </w:p>
        </w:tc>
        <w:tc>
          <w:tcPr/>
          <w:p>
            <w:pPr>
              <w:pStyle w:val="Compact"/>
              <w:jc w:val="left"/>
            </w:pPr>
            <w:r>
              <w:t xml:space="preserve">direct statutory liability as an</w:t>
            </w:r>
            <w:r>
              <w:t xml:space="preserve"> </w:t>
            </w:r>
            <w:r>
              <w:t xml:space="preserve">“</w:t>
            </w:r>
            <w:r>
              <w:t xml:space="preserve">operator</w:t>
            </w:r>
            <w:r>
              <w:t xml:space="preserve">”</w:t>
            </w:r>
            <w:r>
              <w:t xml:space="preserve"> </w:t>
            </w:r>
            <w:r>
              <w:t xml:space="preserve">in most; contract flow-down in the rest</w:t>
            </w:r>
          </w:p>
        </w:tc>
        <w:tc>
          <w:tcPr/>
          <w:p>
            <w:pPr>
              <w:pStyle w:val="Compact"/>
              <w:jc w:val="left"/>
            </w:pPr>
            <w:r>
              <w:rPr>
                <w:bCs/>
                <w:b/>
              </w:rPr>
              <w:t xml:space="preserve">High</w:t>
            </w:r>
            <w:r>
              <w:t xml:space="preserve"> </w:t>
            </w:r>
            <w:r>
              <w:t xml:space="preserve">— data use, retention, deletion, security, breach clocks, public posting</w:t>
            </w:r>
          </w:p>
        </w:tc>
      </w:tr>
      <w:tr>
        <w:tc>
          <w:tcPr/>
          <w:p>
            <w:pPr>
              <w:pStyle w:val="Compact"/>
              <w:jc w:val="left"/>
            </w:pPr>
            <w:r>
              <w:t xml:space="preserve">Comprehensive consumer privacy laws (20 in force)</w:t>
            </w:r>
          </w:p>
        </w:tc>
        <w:tc>
          <w:tcPr/>
          <w:p>
            <w:pPr>
              <w:pStyle w:val="Compact"/>
              <w:jc w:val="left"/>
            </w:pPr>
            <w:r>
              <w:t xml:space="preserve">largely disapplied for K-12 by FERPA data-level exemptions</w:t>
            </w:r>
          </w:p>
        </w:tc>
        <w:tc>
          <w:tcPr/>
          <w:p>
            <w:pPr>
              <w:pStyle w:val="Compact"/>
              <w:jc w:val="left"/>
            </w:pPr>
            <w:r>
              <w:t xml:space="preserve">Low for K-12;</w:t>
            </w:r>
            <w:r>
              <w:t xml:space="preserve"> </w:t>
            </w:r>
            <w:r>
              <w:rPr>
                <w:bCs/>
                <w:b/>
              </w:rPr>
              <w:t xml:space="preserve">real for higher education and corporate</w:t>
            </w:r>
          </w:p>
        </w:tc>
      </w:tr>
      <w:tr>
        <w:tc>
          <w:tcPr/>
          <w:p>
            <w:pPr>
              <w:pStyle w:val="Compact"/>
              <w:jc w:val="left"/>
            </w:pPr>
            <w:r>
              <w:t xml:space="preserve">State AI statutes</w:t>
            </w:r>
          </w:p>
        </w:tc>
        <w:tc>
          <w:tcPr/>
          <w:p>
            <w:pPr>
              <w:pStyle w:val="Compact"/>
              <w:jc w:val="left"/>
            </w:pPr>
            <w:r>
              <w:t xml:space="preserve">two bite: California’s ADMT regulations and Colorado SB 26-189, both naming education</w:t>
            </w:r>
          </w:p>
        </w:tc>
        <w:tc>
          <w:tcPr/>
          <w:p>
            <w:pPr>
              <w:pStyle w:val="Compact"/>
              <w:jc w:val="left"/>
            </w:pPr>
            <w:r>
              <w:rPr>
                <w:bCs/>
                <w:b/>
              </w:rPr>
              <w:t xml:space="preserve">Highest</w:t>
            </w:r>
          </w:p>
        </w:tc>
      </w:tr>
      <w:tr>
        <w:tc>
          <w:tcPr/>
          <w:p>
            <w:pPr>
              <w:pStyle w:val="Compact"/>
              <w:jc w:val="left"/>
            </w:pPr>
            <w:r>
              <w:t xml:space="preserve">State education-agency AI guidance (~35 states)</w:t>
            </w:r>
          </w:p>
        </w:tc>
        <w:tc>
          <w:tcPr/>
          <w:p>
            <w:pPr>
              <w:pStyle w:val="Compact"/>
              <w:jc w:val="left"/>
            </w:pPr>
            <w:r>
              <w:t xml:space="preserve">not law, but procurement gospel</w:t>
            </w:r>
          </w:p>
        </w:tc>
        <w:tc>
          <w:tcPr/>
          <w:p>
            <w:pPr>
              <w:pStyle w:val="Compact"/>
              <w:jc w:val="left"/>
            </w:pPr>
            <w:r>
              <w:rPr>
                <w:bCs/>
                <w:b/>
              </w:rPr>
              <w:t xml:space="preserve">High in procurement</w:t>
            </w:r>
          </w:p>
        </w:tc>
      </w:tr>
      <w:tr>
        <w:tc>
          <w:tcPr/>
          <w:p>
            <w:pPr>
              <w:pStyle w:val="Compact"/>
              <w:jc w:val="left"/>
            </w:pPr>
            <w:r>
              <w:t xml:space="preserve">SDPC National DPA</w:t>
            </w:r>
          </w:p>
        </w:tc>
        <w:tc>
          <w:tcPr/>
          <w:p>
            <w:pPr>
              <w:pStyle w:val="Compact"/>
              <w:jc w:val="left"/>
            </w:pPr>
            <w:r>
              <w:t xml:space="preserve">contractual</w:t>
            </w:r>
          </w:p>
        </w:tc>
        <w:tc>
          <w:tcPr/>
          <w:p>
            <w:pPr>
              <w:pStyle w:val="Compact"/>
              <w:jc w:val="left"/>
            </w:pPr>
            <w:r>
              <w:rPr>
                <w:bCs/>
                <w:b/>
              </w:rPr>
              <w:t xml:space="preserve">High operationally</w:t>
            </w:r>
          </w:p>
        </w:tc>
      </w:tr>
    </w:tbl>
    <w:bookmarkEnd w:id="83"/>
    <w:bookmarkStart w:id="84" w:name="the-three-corrections-that-matter-most"/>
    <w:p>
      <w:pPr>
        <w:pStyle w:val="Heading3"/>
      </w:pPr>
      <w:r>
        <w:t xml:space="preserve">11.2 The three corrections that matter most</w:t>
      </w:r>
    </w:p>
    <w:p>
      <w:pPr>
        <w:pStyle w:val="FirstParagraph"/>
      </w:pPr>
      <w:r>
        <w:rPr>
          <w:bCs/>
          <w:b/>
        </w:rPr>
        <w:t xml:space="preserve">1. Colorado SB 24-205 — the law most preparation was directed at — is dead. It is not a basis to build to.</w:t>
      </w:r>
      <w:r>
        <w:t xml:space="preserve"> </w:t>
      </w:r>
      <w:r>
        <w:t xml:space="preserve">It never took effect and was never enforced. Chronology: signed May 2024 (effective 1 February 2026); pushed to 30 June 2026 by SB 25B-004 in the August 2025 special session;</w:t>
      </w:r>
      <w:r>
        <w:t xml:space="preserve"> </w:t>
      </w:r>
      <w:r>
        <w:rPr>
          <w:bCs/>
          <w:b/>
        </w:rPr>
        <w:t xml:space="preserve">xAI sued</w:t>
      </w:r>
      <w:r>
        <w:t xml:space="preserve"> </w:t>
      </w:r>
      <w:r>
        <w:t xml:space="preserve">on 9 April 2026 (D. Colo. No. 1:26-cv-01515);</w:t>
      </w:r>
      <w:r>
        <w:t xml:space="preserve"> </w:t>
      </w:r>
      <w:r>
        <w:rPr>
          <w:bCs/>
          <w:b/>
        </w:rPr>
        <w:t xml:space="preserve">DOJ intervened as plaintiff on 24 April 2026</w:t>
      </w:r>
      <w:r>
        <w:t xml:space="preserve">; a federal magistrate blocked enforcement on 27 April 2026; and</w:t>
      </w:r>
      <w:r>
        <w:t xml:space="preserve"> </w:t>
      </w:r>
      <w:r>
        <w:rPr>
          <w:bCs/>
          <w:b/>
        </w:rPr>
        <w:t xml:space="preserve">SB 26-189 was signed on 14 May 2026, repealing and replacing it</w:t>
      </w:r>
      <w:r>
        <w:t xml:space="preserve">.</w:t>
      </w:r>
    </w:p>
    <w:p>
      <w:pPr>
        <w:pStyle w:val="BodyText"/>
      </w:pPr>
      <w:r>
        <w:rPr>
          <w:bCs/>
          <w:b/>
        </w:rPr>
        <w:t xml:space="preserve">2. Federal preemption has not happened, and the patchwork persists.</w:t>
      </w:r>
      <w:r>
        <w:t xml:space="preserve"> </w:t>
      </w:r>
      <w:r>
        <w:t xml:space="preserve">The 2025 congressional moratorium was stripped in a 99–1 Senate vote.</w:t>
      </w:r>
      <w:r>
        <w:t xml:space="preserve"> </w:t>
      </w:r>
      <w:r>
        <w:rPr>
          <w:bCs/>
          <w:b/>
        </w:rPr>
        <w:t xml:space="preserve">EO 14365 (11 December 2025)</w:t>
      </w:r>
      <w:r>
        <w:t xml:space="preserve"> </w:t>
      </w:r>
      <w:r>
        <w:t xml:space="preserve">directed an AI Litigation Task Force, a Commerce evaluation of state AI laws (due 11 March 2026,</w:t>
      </w:r>
      <w:r>
        <w:t xml:space="preserve"> </w:t>
      </w:r>
      <w:r>
        <w:rPr>
          <w:bCs/>
          <w:b/>
        </w:rPr>
        <w:t xml:space="preserve">not published</w:t>
      </w:r>
      <w:r>
        <w:t xml:space="preserve"> </w:t>
      </w:r>
      <w:r>
        <w:t xml:space="preserve">as of at least April 2026), BEAD funding conditions, an FCC proceeding and draft preemption legislation. Output so far: no statute, no published Commerce list, one intervention in someone else’s lawsuit, and a non-binding March 2026 framework.</w:t>
      </w:r>
      <w:r>
        <w:t xml:space="preserve"> </w:t>
      </w:r>
      <w:r>
        <w:rPr>
          <w:bCs/>
          <w:b/>
        </w:rPr>
        <w:t xml:space="preserve">Critically, the EO’s own legislative recommendation preserves carve-outs for child-safety protections — and state student-privacy statutes are exactly the laws that most constrain a provider in this field and are least likely to be preempted.</w:t>
      </w:r>
      <w:r>
        <w:t xml:space="preserve"> </w:t>
      </w:r>
      <w:r>
        <w:t xml:space="preserve">Compliance with the student-privacy layer is required unconditionally; the AI layer is volatile, and ADMT controls must remain configurable.</w:t>
      </w:r>
    </w:p>
    <w:p>
      <w:pPr>
        <w:pStyle w:val="BodyText"/>
      </w:pPr>
      <w:r>
        <w:rPr>
          <w:bCs/>
          <w:b/>
        </w:rPr>
        <w:t xml:space="preserve">3. Two AI statutes bite, and both name education.</w:t>
      </w:r>
    </w:p>
    <w:p>
      <w:pPr>
        <w:pStyle w:val="BodyText"/>
      </w:pPr>
      <w:r>
        <w:rPr>
          <w:bCs/>
          <w:b/>
        </w:rPr>
        <w:t xml:space="preserve">California — the CPPA ADMT regulations.</w:t>
      </w:r>
      <w:r>
        <w:t xml:space="preserve"> </w:t>
      </w:r>
      <w:r>
        <w:t xml:space="preserve">Approved 23 September 2025; most provisions effective 1 January 2026;</w:t>
      </w:r>
      <w:r>
        <w:t xml:space="preserve"> </w:t>
      </w:r>
      <w:r>
        <w:rPr>
          <w:bCs/>
          <w:b/>
        </w:rPr>
        <w:t xml:space="preserve">ADMT compliance from 1 January 2027</w:t>
      </w:r>
      <w:r>
        <w:t xml:space="preserve">. A</w:t>
      </w:r>
      <w:r>
        <w:t xml:space="preserve"> </w:t>
      </w:r>
      <w:r>
        <w:t xml:space="preserve">“</w:t>
      </w:r>
      <w:r>
        <w:t xml:space="preserve">significant decision</w:t>
      </w:r>
      <w:r>
        <w:t xml:space="preserve">”</w:t>
      </w:r>
      <w:r>
        <w:t xml:space="preserve"> </w:t>
      </w:r>
      <w:r>
        <w:t xml:space="preserve">expressly includes</w:t>
      </w:r>
      <w:r>
        <w:t xml:space="preserve"> </w:t>
      </w:r>
      <w:r>
        <w:rPr>
          <w:iCs/>
          <w:i/>
        </w:rPr>
        <w:t xml:space="preserve">“</w:t>
      </w:r>
      <w:r>
        <w:rPr>
          <w:iCs/>
          <w:i/>
        </w:rPr>
        <w:t xml:space="preserve">education enrollment or opportunities</w:t>
      </w:r>
      <w:r>
        <w:rPr>
          <w:iCs/>
          <w:i/>
        </w:rPr>
        <w:t xml:space="preserve">”</w:t>
      </w:r>
      <w:r>
        <w:t xml:space="preserve">.</w:t>
      </w:r>
      <w:r>
        <w:t xml:space="preserve"> </w:t>
      </w:r>
      <w:r>
        <w:rPr>
          <w:bCs/>
          <w:b/>
        </w:rPr>
        <w:t xml:space="preserve">The safe harbour is the central legal mechanism:</w:t>
      </w:r>
      <w:r>
        <w:t xml:space="preserve"> </w:t>
      </w:r>
      <w:r>
        <w:t xml:space="preserve">human decision-making is not substantially replaced where the reviewer (i) knows how to interpret the output, (ii) reviews and analyses it together with other relevant information, and (iii) has authority to make or change the decision.</w:t>
      </w:r>
      <w:r>
        <w:t xml:space="preserve"> </w:t>
      </w:r>
      <w:r>
        <w:rPr>
          <w:bCs/>
          <w:b/>
        </w:rPr>
        <w:t xml:space="preserve">If all three hold, the processing falls outside the ADMT rules entirely.</w:t>
      </w:r>
      <w:r>
        <w:t xml:space="preserve"> </w:t>
      </w:r>
      <w:r>
        <w:t xml:space="preserve">If they do not, pre-use notice, opt-out or meaningful appeal within 15 business days, and an access right to a plain-language explanation attach.</w:t>
      </w:r>
      <w:r>
        <w:t xml:space="preserve"> </w:t>
      </w:r>
      <w:r>
        <w:rPr>
          <w:bCs/>
          <w:b/>
        </w:rPr>
        <w:t xml:space="preserve">But note: two risk-assessment triggers apply even inside the safe harbour — training on student data, and inferring characteristics in an education context. The California risk assessment must be treated as unavoidable.</w:t>
      </w:r>
      <w:r>
        <w:t xml:space="preserve"> </w:t>
      </w:r>
      <w:r>
        <w:t xml:space="preserve">(First assessments for pre-existing activities due 31 December 2027; first submission 1 April 2028. CCPA revenue and volume thresholds may place a small provider out of scope initially and in scope after growth — this must be modelled.)</w:t>
      </w:r>
    </w:p>
    <w:p>
      <w:pPr>
        <w:pStyle w:val="BodyText"/>
      </w:pPr>
      <w:r>
        <w:rPr>
          <w:bCs/>
          <w:b/>
        </w:rPr>
        <w:t xml:space="preserve">Colorado SB 26-189 (ADMTA), effective 1 January 2027.</w:t>
      </w:r>
      <w:r>
        <w:t xml:space="preserve"> </w:t>
      </w:r>
      <w:r>
        <w:t xml:space="preserve">“</w:t>
      </w:r>
      <w:r>
        <w:t xml:space="preserve">Consequential decision</w:t>
      </w:r>
      <w:r>
        <w:t xml:space="preserve">”</w:t>
      </w:r>
      <w:r>
        <w:t xml:space="preserve"> </w:t>
      </w:r>
      <w:r>
        <w:t xml:space="preserve">expressly includes education. The</w:t>
      </w:r>
      <w:r>
        <w:t xml:space="preserve"> </w:t>
      </w:r>
      <w:r>
        <w:rPr>
          <w:bCs/>
          <w:b/>
        </w:rPr>
        <w:t xml:space="preserve">developer</w:t>
      </w:r>
      <w:r>
        <w:t xml:space="preserve"> </w:t>
      </w:r>
      <w:r>
        <w:t xml:space="preserve">must supply deployers with documentation of intended uses, known harmful uses and limitations, categories of personal data used in training, and</w:t>
      </w:r>
      <w:r>
        <w:t xml:space="preserve"> </w:t>
      </w:r>
      <w:r>
        <w:rPr>
          <w:bCs/>
          <w:b/>
        </w:rPr>
        <w:t xml:space="preserve">instructions for implementing human oversight</w:t>
      </w:r>
      <w:r>
        <w:t xml:space="preserve">; notify of material modifications; and retain records for at least three years. The</w:t>
      </w:r>
      <w:r>
        <w:t xml:space="preserve"> </w:t>
      </w:r>
      <w:r>
        <w:rPr>
          <w:bCs/>
          <w:b/>
        </w:rPr>
        <w:t xml:space="preserve">school as deployer</w:t>
      </w:r>
      <w:r>
        <w:t xml:space="preserve"> </w:t>
      </w:r>
      <w:r>
        <w:t xml:space="preserve">must give pre-use notice, must within</w:t>
      </w:r>
      <w:r>
        <w:t xml:space="preserve"> </w:t>
      </w:r>
      <w:r>
        <w:rPr>
          <w:bCs/>
          <w:b/>
        </w:rPr>
        <w:t xml:space="preserve">30 days of an adverse outcome</w:t>
      </w:r>
      <w:r>
        <w:t xml:space="preserve"> </w:t>
      </w:r>
      <w:r>
        <w:t xml:space="preserve">provide a plain-language description of the decision, the technology’s role in it, and the consumer’s rights including human review and reconsideration, and must establish a</w:t>
      </w:r>
      <w:r>
        <w:t xml:space="preserve"> </w:t>
      </w:r>
      <w:r>
        <w:rPr>
          <w:bCs/>
          <w:b/>
        </w:rPr>
        <w:t xml:space="preserve">meaningful human review process</w:t>
      </w:r>
      <w:r>
        <w:t xml:space="preserve"> </w:t>
      </w:r>
      <w:r>
        <w:t xml:space="preserve">accessible to users with disabilities and limited English proficiency. Compared with the repealed Act, the impact assessments, risk-management programme mandate and AG notification duty are gone; the model is now notice-based. Enforcement is AG-exclusive, up to $20,000 per violation, with a 60-day cure sunsetting 1 January 2030 and no private right of action.</w:t>
      </w:r>
      <w:r>
        <w:t xml:space="preserve"> </w:t>
      </w:r>
      <w:r>
        <w:rPr>
          <w:bCs/>
          <w:b/>
        </w:rPr>
        <w:t xml:space="preserve">A system that generates scores or rankings does not fall within the exemption for tools that merely summarise; full developer-duty coverage applies.</w:t>
      </w:r>
      <w:r>
        <w:t xml:space="preserve"> </w:t>
      </w:r>
      <w:r>
        <w:rPr>
          <w:iCs/>
          <w:i/>
        </w:rPr>
        <w:t xml:space="preserve">(Commentators expect SB 26-189 to be challenged as well.)</w:t>
      </w:r>
    </w:p>
    <w:bookmarkEnd w:id="84"/>
    <w:bookmarkStart w:id="85" w:name="X105453c72c9c0e20429993071a7ea8df345f840"/>
    <w:p>
      <w:pPr>
        <w:pStyle w:val="Heading3"/>
      </w:pPr>
      <w:r>
        <w:t xml:space="preserve">11.3 The student-privacy statutes that actually change design</w:t>
      </w:r>
    </w:p>
    <w:p>
      <w:pPr>
        <w:pStyle w:val="FirstParagraph"/>
      </w:pPr>
      <w:r>
        <w:t xml:space="preserve">Roughly forty states impose something; about eight impose obligations a generic agreement and a SOC 2 report will not satisfy.</w:t>
      </w:r>
    </w:p>
    <w:p>
      <w:pPr>
        <w:numPr>
          <w:ilvl w:val="0"/>
          <w:numId w:val="1017"/>
        </w:numPr>
        <w:pStyle w:val="Compact"/>
      </w:pPr>
      <w:r>
        <w:rPr>
          <w:bCs/>
          <w:b/>
        </w:rPr>
        <w:t xml:space="preserve">New York — Education Law § 2-d and 8 NYCRR Part 121. The strictest regime in the country, and the one that in practice sets the baseline for a provider operating across states.</w:t>
      </w:r>
      <w:r>
        <w:t xml:space="preserve"> </w:t>
      </w:r>
      <w:r>
        <w:t xml:space="preserve">A third-party contractor must adopt and</w:t>
      </w:r>
      <w:r>
        <w:t xml:space="preserve"> </w:t>
      </w:r>
      <w:r>
        <w:rPr>
          <w:bCs/>
          <w:b/>
        </w:rPr>
        <w:t xml:space="preserve">submit a Data Security and Privacy Plan to each agency</w:t>
      </w:r>
      <w:r>
        <w:t xml:space="preserve">; align safeguards to the</w:t>
      </w:r>
      <w:r>
        <w:t xml:space="preserve"> </w:t>
      </w:r>
      <w:r>
        <w:rPr>
          <w:bCs/>
          <w:b/>
        </w:rPr>
        <w:t xml:space="preserve">NIST Cybersecurity Framework v1.1</w:t>
      </w:r>
      <w:r>
        <w:t xml:space="preserve"> </w:t>
      </w:r>
      <w:r>
        <w:t xml:space="preserve">(note: v1.1, not CSF 2.0 — a crosswalk must be maintained); complete the Parents’ Bill of Rights supplemental information covering purposes, subcontractor accountability, duration and disposition, accuracy challenges, storage and</w:t>
      </w:r>
      <w:r>
        <w:t xml:space="preserve"> </w:t>
      </w:r>
      <w:r>
        <w:rPr>
          <w:bCs/>
          <w:b/>
        </w:rPr>
        <w:t xml:space="preserve">encryption in motion and at rest</w:t>
      </w:r>
      <w:r>
        <w:t xml:space="preserve">; and</w:t>
      </w:r>
      <w:r>
        <w:t xml:space="preserve"> </w:t>
      </w:r>
      <w:r>
        <w:rPr>
          <w:bCs/>
          <w:b/>
        </w:rPr>
        <w:t xml:space="preserve">notify the agency of a breach within 7 calendar days</w:t>
      </w:r>
      <w:r>
        <w:t xml:space="preserve">, bearing the notification costs. Penalties run to $10,000 for subsequent violations plus a</w:t>
      </w:r>
      <w:r>
        <w:t xml:space="preserve"> </w:t>
      </w:r>
      <w:r>
        <w:rPr>
          <w:bCs/>
          <w:b/>
        </w:rPr>
        <w:t xml:space="preserve">ban on receiving student data for up to five years</w:t>
      </w:r>
      <w:r>
        <w:t xml:space="preserve"> </w:t>
      </w:r>
      <w:r>
        <w:t xml:space="preserve">— the debarment, not the fine, is the commercially material sanction. Compliance requires a repeatable per-agency plan and an incident process capable of meeting the 7-day clock as a default.</w:t>
      </w:r>
    </w:p>
    <w:p>
      <w:pPr>
        <w:numPr>
          <w:ilvl w:val="0"/>
          <w:numId w:val="1017"/>
        </w:numPr>
        <w:pStyle w:val="Compact"/>
      </w:pPr>
      <w:r>
        <w:rPr>
          <w:bCs/>
          <w:b/>
        </w:rPr>
        <w:t xml:space="preserve">Connecticut — Conn. Gen. Stat. §§ 10-234aa ff.</w:t>
      </w:r>
      <w:r>
        <w:t xml:space="preserve"> </w:t>
      </w:r>
      <w:r>
        <w:t xml:space="preserve">Ten mandatory contract terms, including that student data is</w:t>
      </w:r>
      <w:r>
        <w:t xml:space="preserve"> </w:t>
      </w:r>
      <w:r>
        <w:rPr>
          <w:bCs/>
          <w:b/>
        </w:rPr>
        <w:t xml:space="preserve">not the property of the contractor</w:t>
      </w:r>
      <w:r>
        <w:t xml:space="preserve"> </w:t>
      </w:r>
      <w:r>
        <w:t xml:space="preserve">and that Connecticut law governs. The unusual part: the board must</w:t>
      </w:r>
      <w:r>
        <w:t xml:space="preserve"> </w:t>
      </w:r>
      <w:r>
        <w:rPr>
          <w:bCs/>
          <w:b/>
        </w:rPr>
        <w:t xml:space="preserve">post the contract on its website within five business days of execution</w:t>
      </w:r>
      <w:r>
        <w:t xml:space="preserve">.</w:t>
      </w:r>
      <w:r>
        <w:t xml:space="preserve"> </w:t>
      </w:r>
      <w:r>
        <w:rPr>
          <w:bCs/>
          <w:b/>
        </w:rPr>
        <w:t xml:space="preserve">Contracts with Connecticut boards therefore become public documents within a week of execution.</w:t>
      </w:r>
      <w:r>
        <w:t xml:space="preserve"> </w:t>
      </w:r>
      <w:r>
        <w:t xml:space="preserve">From 1 July 2026 Connecticut’s consumer privacy law also extends the opt-out to</w:t>
      </w:r>
      <w:r>
        <w:t xml:space="preserve"> </w:t>
      </w:r>
      <w:r>
        <w:rPr>
          <w:iCs/>
          <w:i/>
        </w:rPr>
        <w:t xml:space="preserve">“</w:t>
      </w:r>
      <w:r>
        <w:rPr>
          <w:iCs/>
          <w:i/>
        </w:rPr>
        <w:t xml:space="preserve">any automated decision</w:t>
      </w:r>
      <w:r>
        <w:rPr>
          <w:iCs/>
          <w:i/>
        </w:rPr>
        <w:t xml:space="preserve">”</w:t>
      </w:r>
      <w:r>
        <w:t xml:space="preserve">, not merely solely-automated ones —</w:t>
      </w:r>
      <w:r>
        <w:t xml:space="preserve"> </w:t>
      </w:r>
      <w:r>
        <w:rPr>
          <w:bCs/>
          <w:b/>
        </w:rPr>
        <w:t xml:space="preserve">the provision that defeats the standard</w:t>
      </w:r>
      <w:r>
        <w:rPr>
          <w:bCs/>
          <w:b/>
        </w:rPr>
        <w:t xml:space="preserve"> </w:t>
      </w:r>
      <w:r>
        <w:rPr>
          <w:bCs/>
          <w:b/>
        </w:rPr>
        <w:t xml:space="preserve">“</w:t>
      </w:r>
      <w:r>
        <w:rPr>
          <w:bCs/>
          <w:b/>
        </w:rPr>
        <w:t xml:space="preserve">there is a human in the loop</w:t>
      </w:r>
      <w:r>
        <w:rPr>
          <w:bCs/>
          <w:b/>
        </w:rPr>
        <w:t xml:space="preserve">”</w:t>
      </w:r>
      <w:r>
        <w:rPr>
          <w:bCs/>
          <w:b/>
        </w:rPr>
        <w:t xml:space="preserve"> </w:t>
      </w:r>
      <w:r>
        <w:rPr>
          <w:bCs/>
          <w:b/>
        </w:rPr>
        <w:t xml:space="preserve">argument</w:t>
      </w:r>
      <w:r>
        <w:t xml:space="preserve"> </w:t>
      </w:r>
      <w:r>
        <w:t xml:space="preserve">— and adds a right to contest profiling and profiling impact assessments.</w:t>
      </w:r>
      <w:r>
        <w:t xml:space="preserve"> </w:t>
      </w:r>
      <w:r>
        <w:rPr>
          <w:bCs/>
          <w:b/>
        </w:rPr>
        <w:t xml:space="preserve">Connecticut is the most operationally demanding single state.</w:t>
      </w:r>
    </w:p>
    <w:p>
      <w:pPr>
        <w:numPr>
          <w:ilvl w:val="0"/>
          <w:numId w:val="1017"/>
        </w:numPr>
        <w:pStyle w:val="Compact"/>
      </w:pPr>
      <w:r>
        <w:rPr>
          <w:bCs/>
          <w:b/>
        </w:rPr>
        <w:t xml:space="preserve">Illinois — SOPPA, 105 ILCS 85.</w:t>
      </w:r>
      <w:r>
        <w:t xml:space="preserve"> </w:t>
      </w:r>
      <w:r>
        <w:t xml:space="preserve">Written agreement</w:t>
      </w:r>
      <w:r>
        <w:t xml:space="preserve"> </w:t>
      </w:r>
      <w:r>
        <w:rPr>
          <w:bCs/>
          <w:b/>
        </w:rPr>
        <w:t xml:space="preserve">before</w:t>
      </w:r>
      <w:r>
        <w:t xml:space="preserve"> </w:t>
      </w:r>
      <w:r>
        <w:t xml:space="preserve">receiving covered information; a statement that the provider acts as a school official under FERPA; allocation of breach investigation and remediation costs;</w:t>
      </w:r>
      <w:r>
        <w:t xml:space="preserve"> </w:t>
      </w:r>
      <w:r>
        <w:rPr>
          <w:bCs/>
          <w:b/>
        </w:rPr>
        <w:t xml:space="preserve">30-day</w:t>
      </w:r>
      <w:r>
        <w:t xml:space="preserve"> </w:t>
      </w:r>
      <w:r>
        <w:t xml:space="preserve">breach notice to the school; public posting of the agreement; and an</w:t>
      </w:r>
      <w:r>
        <w:t xml:space="preserve"> </w:t>
      </w:r>
      <w:r>
        <w:rPr>
          <w:bCs/>
          <w:b/>
        </w:rPr>
        <w:t xml:space="preserve">annual published list of third parties and affiliates</w:t>
      </w:r>
      <w:r>
        <w:t xml:space="preserve"> </w:t>
      </w:r>
      <w:r>
        <w:t xml:space="preserve">receiving student data — so a third-party model API becomes publicly listed. ISSRA separately carries a</w:t>
      </w:r>
      <w:r>
        <w:t xml:space="preserve"> </w:t>
      </w:r>
      <w:r>
        <w:rPr>
          <w:bCs/>
          <w:b/>
        </w:rPr>
        <w:t xml:space="preserve">private right of action</w:t>
      </w:r>
      <w:r>
        <w:t xml:space="preserve">, which is rare in this field.</w:t>
      </w:r>
    </w:p>
    <w:p>
      <w:pPr>
        <w:numPr>
          <w:ilvl w:val="0"/>
          <w:numId w:val="1017"/>
        </w:numPr>
        <w:pStyle w:val="Compact"/>
      </w:pPr>
      <w:r>
        <w:rPr>
          <w:bCs/>
          <w:b/>
        </w:rPr>
        <w:t xml:space="preserve">Colorado Student Data Transparency and Security Act.</w:t>
      </w:r>
      <w:r>
        <w:t xml:space="preserve"> </w:t>
      </w:r>
      <w:r>
        <w:t xml:space="preserve">Publish data elements, learning purposes and sharing practices in layperson-accessible form; notify districts before material policy changes; no sale, targeted advertising or unauthorised profiles; maintain an information security programme; notify of misuse</w:t>
      </w:r>
      <w:r>
        <w:t xml:space="preserve"> </w:t>
      </w:r>
      <w:r>
        <w:rPr>
          <w:bCs/>
          <w:b/>
        </w:rPr>
        <w:t xml:space="preserve">“</w:t>
      </w:r>
      <w:r>
        <w:rPr>
          <w:bCs/>
          <w:b/>
        </w:rPr>
        <w:t xml:space="preserve">as soon as possible</w:t>
      </w:r>
      <w:r>
        <w:rPr>
          <w:bCs/>
          <w:b/>
        </w:rPr>
        <w:t xml:space="preserve">”</w:t>
      </w:r>
      <w:r>
        <w:rPr>
          <w:bCs/>
          <w:b/>
        </w:rPr>
        <w:t xml:space="preserve"> </w:t>
      </w:r>
      <w:r>
        <w:rPr>
          <w:bCs/>
          <w:b/>
        </w:rPr>
        <w:t xml:space="preserve">regardless of severity</w:t>
      </w:r>
      <w:r>
        <w:t xml:space="preserve">;</w:t>
      </w:r>
      <w:r>
        <w:t xml:space="preserve"> </w:t>
      </w:r>
      <w:r>
        <w:rPr>
          <w:bCs/>
          <w:b/>
        </w:rPr>
        <w:t xml:space="preserve">facilitate correction of factually inaccurate student PII</w:t>
      </w:r>
      <w:r>
        <w:t xml:space="preserve">; bind and remain liable for subcontractors; and destroy all student PII on termination with written confirmation.</w:t>
      </w:r>
      <w:r>
        <w:t xml:space="preserve"> </w:t>
      </w:r>
      <w:r>
        <w:rPr>
          <w:bCs/>
          <w:b/>
        </w:rPr>
        <w:t xml:space="preserve">The correction duty is directly on point: Colorado independently requires a mechanism to correct a wrong AI-derived data point, before any AI statute applies.</w:t>
      </w:r>
    </w:p>
    <w:p>
      <w:pPr>
        <w:numPr>
          <w:ilvl w:val="0"/>
          <w:numId w:val="1017"/>
        </w:numPr>
        <w:pStyle w:val="Compact"/>
      </w:pPr>
      <w:r>
        <w:rPr>
          <w:bCs/>
          <w:b/>
        </w:rPr>
        <w:t xml:space="preserve">California — SOPIPA (Bus. &amp; Prof. Code § 22584) binds the operator directly, with no contract required</w:t>
      </w:r>
      <w:r>
        <w:t xml:space="preserve">, prohibiting targeted advertising, non-school-purpose profiling and sale, and permitting de-identified data to be used</w:t>
      </w:r>
      <w:r>
        <w:t xml:space="preserve"> </w:t>
      </w:r>
      <w:r>
        <w:rPr>
          <w:bCs/>
          <w:b/>
        </w:rPr>
        <w:t xml:space="preserve">only</w:t>
      </w:r>
      <w:r>
        <w:t xml:space="preserve"> </w:t>
      </w:r>
      <w:r>
        <w:t xml:space="preserve">to improve educational products, demonstrate effectiveness and develop educational services.</w:t>
      </w:r>
      <w:r>
        <w:t xml:space="preserve"> </w:t>
      </w:r>
      <w:r>
        <w:rPr>
          <w:bCs/>
          <w:b/>
        </w:rPr>
        <w:t xml:space="preserve">AB 1584 (Educ. Code § 49073.1)</w:t>
      </w:r>
      <w:r>
        <w:t xml:space="preserve"> </w:t>
      </w:r>
      <w:r>
        <w:t xml:space="preserve">governs the LEA contract.</w:t>
      </w:r>
      <w:r>
        <w:t xml:space="preserve"> </w:t>
      </w:r>
      <w:r>
        <w:rPr>
          <w:bCs/>
          <w:b/>
        </w:rPr>
        <w:t xml:space="preserve">The SOPIPA carve-out is the training-data answer in California: product improvement on</w:t>
      </w:r>
      <w:r>
        <w:rPr>
          <w:bCs/>
          <w:b/>
        </w:rPr>
        <w:t xml:space="preserve"> </w:t>
      </w:r>
      <w:r>
        <w:rPr>
          <w:iCs/>
          <w:i/>
          <w:bCs/>
          <w:b/>
        </w:rPr>
        <w:t xml:space="preserve">de-identified</w:t>
      </w:r>
      <w:r>
        <w:rPr>
          <w:bCs/>
          <w:b/>
        </w:rPr>
        <w:t xml:space="preserve"> </w:t>
      </w:r>
      <w:r>
        <w:rPr>
          <w:bCs/>
          <w:b/>
        </w:rPr>
        <w:t xml:space="preserve">data only, documented — never a general model trained on identifiable student work.</w:t>
      </w:r>
      <w:r>
        <w:t xml:space="preserve"> </w:t>
      </w:r>
      <w:r>
        <w:t xml:space="preserve">California also has</w:t>
      </w:r>
      <w:r>
        <w:t xml:space="preserve"> </w:t>
      </w:r>
      <w:r>
        <w:rPr>
          <w:bCs/>
          <w:b/>
        </w:rPr>
        <w:t xml:space="preserve">no data-level FERPA exemption</w:t>
      </w:r>
      <w:r>
        <w:t xml:space="preserve"> </w:t>
      </w:r>
      <w:r>
        <w:t xml:space="preserve">in its comprehensive law, which makes this analysis matter more there than anywhere else.</w:t>
      </w:r>
    </w:p>
    <w:p>
      <w:pPr>
        <w:numPr>
          <w:ilvl w:val="0"/>
          <w:numId w:val="1017"/>
        </w:numPr>
        <w:pStyle w:val="Compact"/>
      </w:pPr>
      <w:r>
        <w:rPr>
          <w:bCs/>
          <w:b/>
        </w:rPr>
        <w:t xml:space="preserve">Texas — Educ. Code ch. 32, Subchapter D, §§ 32.151–32.156</w:t>
      </w:r>
      <w:r>
        <w:t xml:space="preserve"> </w:t>
      </w:r>
      <w:r>
        <w:t xml:space="preserve">(not Subchapter C).</w:t>
      </w:r>
      <w:r>
        <w:t xml:space="preserve"> </w:t>
      </w:r>
      <w:r>
        <w:t xml:space="preserve">“</w:t>
      </w:r>
      <w:r>
        <w:t xml:space="preserve">Covered information</w:t>
      </w:r>
      <w:r>
        <w:t xml:space="preserve">”</w:t>
      </w:r>
      <w:r>
        <w:t xml:space="preserve"> </w:t>
      </w:r>
      <w:r>
        <w:t xml:space="preserve">expressly includes grades, test results, educational records, biometric information and photographs — capturing scanned scripts and derived scores squarely. HB 18 (2023) layers TEA standards and parental consent.</w:t>
      </w:r>
    </w:p>
    <w:p>
      <w:pPr>
        <w:numPr>
          <w:ilvl w:val="0"/>
          <w:numId w:val="1017"/>
        </w:numPr>
        <w:pStyle w:val="Compact"/>
      </w:pPr>
      <w:r>
        <w:rPr>
          <w:bCs/>
          <w:b/>
        </w:rPr>
        <w:t xml:space="preserve">Ohio — SB 29</w:t>
      </w:r>
      <w:r>
        <w:t xml:space="preserve"> </w:t>
      </w:r>
      <w:r>
        <w:t xml:space="preserve">(in force October 2024): records are solely district property; internal access restricted; commercial dissemination prohibited;</w:t>
      </w:r>
      <w:r>
        <w:t xml:space="preserve"> </w:t>
      </w:r>
      <w:r>
        <w:rPr>
          <w:bCs/>
          <w:b/>
        </w:rPr>
        <w:t xml:space="preserve">delete, destroy or return within 90 days of termination</w:t>
      </w:r>
      <w:r>
        <w:t xml:space="preserve">; and</w:t>
      </w:r>
      <w:r>
        <w:t xml:space="preserve"> </w:t>
      </w:r>
      <w:r>
        <w:rPr>
          <w:bCs/>
          <w:b/>
        </w:rPr>
        <w:t xml:space="preserve">parent breach notice within 72 hours — the tightest clock in the country, which sets the effective floor for an incident-response SLA.</w:t>
      </w:r>
      <w:r>
        <w:t xml:space="preserve"> </w:t>
      </w:r>
      <w:r>
        <w:t xml:space="preserve">Separately, ORC § 3301.24(B) made Ohio the first state to require every district to adopt a formal AI-use policy,</w:t>
      </w:r>
      <w:r>
        <w:t xml:space="preserve"> </w:t>
      </w:r>
      <w:r>
        <w:rPr>
          <w:bCs/>
          <w:b/>
        </w:rPr>
        <w:t xml:space="preserve">by 1 July 2026</w:t>
      </w:r>
      <w:r>
        <w:t xml:space="preserve">.</w:t>
      </w:r>
    </w:p>
    <w:p>
      <w:pPr>
        <w:numPr>
          <w:ilvl w:val="0"/>
          <w:numId w:val="1017"/>
        </w:numPr>
        <w:pStyle w:val="Compact"/>
      </w:pPr>
      <w:r>
        <w:rPr>
          <w:bCs/>
          <w:b/>
        </w:rPr>
        <w:t xml:space="preserve">Utah — HB 55 (2026), effective 1 July 2026</w:t>
      </w:r>
      <w:r>
        <w:t xml:space="preserve">, the most vendor-hostile new student-privacy law: LEAs must notify vendors of covered violations and allow remedy;</w:t>
      </w:r>
      <w:r>
        <w:t xml:space="preserve"> </w:t>
      </w:r>
      <w:r>
        <w:rPr>
          <w:bCs/>
          <w:b/>
        </w:rPr>
        <w:t xml:space="preserve">if the vendor fails to remediate, the LEA must terminate within 30 days</w:t>
      </w:r>
      <w:r>
        <w:t xml:space="preserve">; and</w:t>
      </w:r>
      <w:r>
        <w:t xml:space="preserve"> </w:t>
      </w:r>
      <w:r>
        <w:rPr>
          <w:bCs/>
          <w:b/>
        </w:rPr>
        <w:t xml:space="preserve">contracts may not impose a termination fee, damages or other financial liability on the LEA</w:t>
      </w:r>
      <w:r>
        <w:t xml:space="preserve"> </w:t>
      </w:r>
      <w:r>
        <w:t xml:space="preserve">for a statutorily required termination.</w:t>
      </w:r>
      <w:r>
        <w:t xml:space="preserve"> </w:t>
      </w:r>
      <w:r>
        <w:rPr>
          <w:bCs/>
          <w:b/>
        </w:rPr>
        <w:t xml:space="preserve">Utah agreements must therefore carry a no-penalty statutory termination right, and liquidated damages and minimum terms must be checked against it.</w:t>
      </w:r>
    </w:p>
    <w:p>
      <w:pPr>
        <w:numPr>
          <w:ilvl w:val="0"/>
          <w:numId w:val="1017"/>
        </w:numPr>
        <w:pStyle w:val="Compact"/>
      </w:pPr>
      <w:r>
        <w:t xml:space="preserve">Also worth naming:</w:t>
      </w:r>
      <w:r>
        <w:t xml:space="preserve"> </w:t>
      </w:r>
      <w:r>
        <w:rPr>
          <w:bCs/>
          <w:b/>
        </w:rPr>
        <w:t xml:space="preserve">Georgia</w:t>
      </w:r>
      <w:r>
        <w:t xml:space="preserve"> </w:t>
      </w:r>
      <w:r>
        <w:t xml:space="preserve">(45-day deletion on request),</w:t>
      </w:r>
      <w:r>
        <w:t xml:space="preserve"> </w:t>
      </w:r>
      <w:r>
        <w:rPr>
          <w:bCs/>
          <w:b/>
        </w:rPr>
        <w:t xml:space="preserve">Washington</w:t>
      </w:r>
      <w:r>
        <w:t xml:space="preserve"> </w:t>
      </w:r>
      <w:r>
        <w:t xml:space="preserve">(RCW ch. 28A.604),</w:t>
      </w:r>
      <w:r>
        <w:t xml:space="preserve"> </w:t>
      </w:r>
      <w:r>
        <w:rPr>
          <w:bCs/>
          <w:b/>
        </w:rPr>
        <w:t xml:space="preserve">Louisiana</w:t>
      </w:r>
      <w:r>
        <w:t xml:space="preserve"> </w:t>
      </w:r>
      <w:r>
        <w:t xml:space="preserve">(R.S. 17:3914, which carries penalties — most of these statutes do not), and</w:t>
      </w:r>
      <w:r>
        <w:t xml:space="preserve"> </w:t>
      </w:r>
      <w:r>
        <w:rPr>
          <w:bCs/>
          <w:b/>
        </w:rPr>
        <w:t xml:space="preserve">DC</w:t>
      </w:r>
      <w:r>
        <w:t xml:space="preserve"> </w:t>
      </w:r>
      <w:r>
        <w:t xml:space="preserve">(§ 38-831.02, full operator duties).</w:t>
      </w:r>
    </w:p>
    <w:p>
      <w:pPr>
        <w:pStyle w:val="FirstParagraph"/>
      </w:pPr>
      <w:r>
        <w:rPr>
          <w:bCs/>
          <w:b/>
        </w:rPr>
        <w:t xml:space="preserve">The higher-education gap is a genuine and counter-intuitive risk.</w:t>
      </w:r>
      <w:r>
        <w:t xml:space="preserve"> </w:t>
      </w:r>
      <w:r>
        <w:t xml:space="preserve">Almost every state student-privacy operator statute is limited to K-12 by its</w:t>
      </w:r>
      <w:r>
        <w:t xml:space="preserve"> </w:t>
      </w:r>
      <w:r>
        <w:t xml:space="preserve">“</w:t>
      </w:r>
      <w:r>
        <w:t xml:space="preserve">school purpose</w:t>
      </w:r>
      <w:r>
        <w:t xml:space="preserve">”</w:t>
      </w:r>
      <w:r>
        <w:t xml:space="preserve"> </w:t>
      </w:r>
      <w:r>
        <w:t xml:space="preserve">definition. Higher-education deployments therefore fall</w:t>
      </w:r>
      <w:r>
        <w:t xml:space="preserve"> </w:t>
      </w:r>
      <w:r>
        <w:rPr>
          <w:bCs/>
          <w:b/>
        </w:rPr>
        <w:t xml:space="preserve">outside</w:t>
      </w:r>
      <w:r>
        <w:t xml:space="preserve"> </w:t>
      </w:r>
      <w:r>
        <w:t xml:space="preserve">that protective-but-predictable regime and</w:t>
      </w:r>
      <w:r>
        <w:t xml:space="preserve"> </w:t>
      </w:r>
      <w:r>
        <w:rPr>
          <w:bCs/>
          <w:b/>
        </w:rPr>
        <w:t xml:space="preserve">inside</w:t>
      </w:r>
      <w:r>
        <w:t xml:space="preserve"> </w:t>
      </w:r>
      <w:r>
        <w:t xml:space="preserve">the comprehensive consumer privacy laws — where the FERPA data-level exemption may not save a vendor that is not itself the covered institution, and the nonprofit exemption protects the university, not the provider.</w:t>
      </w:r>
      <w:r>
        <w:t xml:space="preserve"> </w:t>
      </w:r>
      <w:r>
        <w:rPr>
          <w:bCs/>
          <w:b/>
        </w:rPr>
        <w:t xml:space="preserve">This inverts the usual risk picture: higher education is the</w:t>
      </w:r>
      <w:r>
        <w:rPr>
          <w:bCs/>
          <w:b/>
        </w:rPr>
        <w:t xml:space="preserve"> </w:t>
      </w:r>
      <w:r>
        <w:rPr>
          <w:iCs/>
          <w:i/>
          <w:bCs/>
          <w:b/>
        </w:rPr>
        <w:t xml:space="preserve">more</w:t>
      </w:r>
      <w:r>
        <w:rPr>
          <w:bCs/>
          <w:b/>
        </w:rPr>
        <w:t xml:space="preserve"> </w:t>
      </w:r>
      <w:r>
        <w:rPr>
          <w:bCs/>
          <w:b/>
        </w:rPr>
        <w:t xml:space="preserve">exposed line under the comprehensive-privacy and profiling regimes. It requires its own analysis before deployment.</w:t>
      </w:r>
    </w:p>
    <w:bookmarkEnd w:id="85"/>
    <w:bookmarkStart w:id="86" w:name="X18ea0dc7defd1b7221eb092647ef717a95c1b12"/>
    <w:p>
      <w:pPr>
        <w:pStyle w:val="Heading3"/>
      </w:pPr>
      <w:r>
        <w:t xml:space="preserve">11.4 Comprehensive privacy laws — in force on 11 September 2026</w:t>
      </w:r>
    </w:p>
    <w:p>
      <w:pPr>
        <w:pStyle w:val="FirstParagraph"/>
      </w:pPr>
      <w:r>
        <w:t xml:space="preserve">Twenty states: California (1 Jan 2020), Virginia (1 Jan 2023), Colorado (1 Jul 2023), Connecticut (1 Jul 2023), Utah (31 Dec 2023), Texas (1 Jul 2024), Oregon (1 Jul 2024), Florida (1 Jul 2024, &gt;$1bn revenue only), Montana (1 Oct 2024), Delaware (1 Jan 2025), Iowa (1 Jan 2025), Nebraska (1 Jan 2025), New Hampshire (1 Jan 2025), New Jersey (15 Jan 2025), Tennessee (1 Jul 2025), Minnesota (31 Jul 2025), Maryland (1 Oct 2025), Indiana (1 Jan 2026), Kentucky (1 Jan 2026), Rhode Island (1 Jan 2026). Enacted but not yet in force: Louisiana and Oklahoma (1 Jan 2027), Alabama (1 May 2027), Vermont (1 Jan 2028).</w:t>
      </w:r>
    </w:p>
    <w:p>
      <w:pPr>
        <w:pStyle w:val="BodyText"/>
      </w:pPr>
      <w:r>
        <w:rPr>
          <w:bCs/>
          <w:b/>
        </w:rPr>
        <w:t xml:space="preserve">Seventeen of nineteen analysed carry a FERPA/education-records data-level exemption</w:t>
      </w:r>
      <w:r>
        <w:t xml:space="preserve">, so data processed in the school-official capacity falls outside.</w:t>
      </w:r>
      <w:r>
        <w:t xml:space="preserve"> </w:t>
      </w:r>
      <w:r>
        <w:rPr>
          <w:bCs/>
          <w:b/>
        </w:rPr>
        <w:t xml:space="preserve">The two exceptions are California and New Jersey.</w:t>
      </w:r>
      <w:r>
        <w:t xml:space="preserve"> </w:t>
      </w:r>
      <w:r>
        <w:t xml:space="preserve">Three qualifications: the nonprofit exemption protects the school, not the provider, and seven states have none at all; the FERPA exemption is data-level, so teacher accounts, administrator contacts, prospects and website visitors are fully in scope everywhere; and higher education and corporate training are where the exemption fails.</w:t>
      </w:r>
    </w:p>
    <w:p>
      <w:pPr>
        <w:pStyle w:val="BodyText"/>
      </w:pPr>
      <w:r>
        <w:t xml:space="preserve">The provisions that would bite if the exemption failed:</w:t>
      </w:r>
      <w:r>
        <w:t xml:space="preserve"> </w:t>
      </w:r>
      <w:r>
        <w:rPr>
          <w:bCs/>
          <w:b/>
        </w:rPr>
        <w:t xml:space="preserve">Minnesota’s</w:t>
      </w:r>
      <w:r>
        <w:t xml:space="preserve"> </w:t>
      </w:r>
      <w:r>
        <w:t xml:space="preserve">explanation right (question the result, be informed of the reason, review the data, request correction);</w:t>
      </w:r>
      <w:r>
        <w:t xml:space="preserve"> </w:t>
      </w:r>
      <w:r>
        <w:rPr>
          <w:bCs/>
          <w:b/>
        </w:rPr>
        <w:t xml:space="preserve">Connecticut’s</w:t>
      </w:r>
      <w:r>
        <w:t xml:space="preserve"> </w:t>
      </w:r>
      <w:r>
        <w:t xml:space="preserve">“</w:t>
      </w:r>
      <w:r>
        <w:t xml:space="preserve">any automated decision</w:t>
      </w:r>
      <w:r>
        <w:t xml:space="preserve">”</w:t>
      </w:r>
      <w:r>
        <w:t xml:space="preserve"> </w:t>
      </w:r>
      <w:r>
        <w:t xml:space="preserve">opt-out from 1 July 2026;</w:t>
      </w:r>
      <w:r>
        <w:t xml:space="preserve"> </w:t>
      </w:r>
      <w:r>
        <w:rPr>
          <w:bCs/>
          <w:b/>
        </w:rPr>
        <w:t xml:space="preserve">Vermont’s</w:t>
      </w:r>
      <w:r>
        <w:t xml:space="preserve"> </w:t>
      </w:r>
      <w:r>
        <w:t xml:space="preserve">2028 questioning right and profiling impact assessment; and</w:t>
      </w:r>
      <w:r>
        <w:t xml:space="preserve"> </w:t>
      </w:r>
      <w:r>
        <w:rPr>
          <w:bCs/>
          <w:b/>
        </w:rPr>
        <w:t xml:space="preserve">Colorado’s</w:t>
      </w:r>
      <w:r>
        <w:t xml:space="preserve"> </w:t>
      </w:r>
      <w:r>
        <w:t xml:space="preserve">profiling opt-out.</w:t>
      </w:r>
      <w:r>
        <w:t xml:space="preserve"> </w:t>
      </w:r>
      <w:r>
        <w:rPr>
          <w:bCs/>
          <w:b/>
        </w:rPr>
        <w:t xml:space="preserve">Iowa</w:t>
      </w:r>
      <w:r>
        <w:t xml:space="preserve"> </w:t>
      </w:r>
      <w:r>
        <w:t xml:space="preserve">— no profiling opt-out, no assessment duty — is the floor.</w:t>
      </w:r>
    </w:p>
    <w:p>
      <w:pPr>
        <w:pStyle w:val="BodyText"/>
      </w:pPr>
      <w:r>
        <w:rPr>
          <w:iCs/>
          <w:i/>
        </w:rPr>
        <w:t xml:space="preserve">(Two corrections worth recording: Illinois has no comprehensive consumer privacy law, only BIPA and SOPPA; and the claimed Arkansas comprehensive law is not listed by the IAPP tracker and should be treated as not in force. Arkansas does have a children-and-teens online privacy act with changes effective 1 July 2026.)</w:t>
      </w:r>
    </w:p>
    <w:bookmarkEnd w:id="86"/>
    <w:bookmarkStart w:id="87" w:name="X328342c4c983c956cca68b9b08dfde3fe25f688"/>
    <w:p>
      <w:pPr>
        <w:pStyle w:val="Heading3"/>
      </w:pPr>
      <w:r>
        <w:t xml:space="preserve">11.5 Biometrics — handwriting is safe, faces are not</w:t>
      </w:r>
    </w:p>
    <w:p>
      <w:pPr>
        <w:pStyle w:val="FirstParagraph"/>
      </w:pPr>
      <w:r>
        <w:rPr>
          <w:bCs/>
          <w:b/>
        </w:rPr>
        <w:t xml:space="preserve">Illinois BIPA does not reach handwriting.</w:t>
      </w:r>
      <w:r>
        <w:t xml:space="preserve"> </w:t>
      </w:r>
      <w:r>
        <w:t xml:space="preserve">The definition of</w:t>
      </w:r>
      <w:r>
        <w:t xml:space="preserve"> </w:t>
      </w:r>
      <w:r>
        <w:t xml:space="preserve">“</w:t>
      </w:r>
      <w:r>
        <w:t xml:space="preserve">biometric identifier</w:t>
      </w:r>
      <w:r>
        <w:t xml:space="preserve">”</w:t>
      </w:r>
      <w:r>
        <w:t xml:space="preserve"> </w:t>
      </w:r>
      <w:r>
        <w:t xml:space="preserve">is a closed list —</w:t>
      </w:r>
      <w:r>
        <w:t xml:space="preserve"> </w:t>
      </w:r>
      <w:r>
        <w:rPr>
          <w:iCs/>
          <w:i/>
        </w:rPr>
        <w:t xml:space="preserve">“</w:t>
      </w:r>
      <w:r>
        <w:rPr>
          <w:iCs/>
          <w:i/>
        </w:rPr>
        <w:t xml:space="preserve">a retina or iris scan, fingerprint, voiceprint, or scan of hand or face geometry</w:t>
      </w:r>
      <w:r>
        <w:rPr>
          <w:iCs/>
          <w:i/>
        </w:rPr>
        <w:t xml:space="preserve">”</w:t>
      </w:r>
      <w:r>
        <w:t xml:space="preserve"> </w:t>
      </w:r>
      <w:r>
        <w:t xml:space="preserve">— and it</w:t>
      </w:r>
      <w:r>
        <w:t xml:space="preserve"> </w:t>
      </w:r>
      <w:r>
        <w:rPr>
          <w:bCs/>
          <w:b/>
        </w:rPr>
        <w:t xml:space="preserve">expressly excludes</w:t>
      </w:r>
      <w:r>
        <w:rPr>
          <w:bCs/>
          <w:b/>
        </w:rPr>
        <w:t xml:space="preserve"> </w:t>
      </w:r>
      <w:r>
        <w:rPr>
          <w:bCs/>
          <w:b/>
        </w:rPr>
        <w:t xml:space="preserve">“</w:t>
      </w:r>
      <w:r>
        <w:rPr>
          <w:bCs/>
          <w:b/>
        </w:rPr>
        <w:t xml:space="preserve">writing samples, written signatures, photographs</w:t>
      </w:r>
      <w:r>
        <w:rPr>
          <w:bCs/>
          <w:b/>
        </w:rPr>
        <w:t xml:space="preserve">”</w:t>
      </w:r>
      <w:r>
        <w:t xml:space="preserve">. A scanned handwritten script is doubly excluded. Handwriting-based author identification is also outside BIPA, because excluded inputs cannot generate covered outputs. Washington’s statute likewise excludes photographs and data generated from them; Texas CUBI is AG-enforced only.</w:t>
      </w:r>
    </w:p>
    <w:p>
      <w:pPr>
        <w:pStyle w:val="BodyText"/>
      </w:pPr>
      <w:r>
        <w:rPr>
          <w:bCs/>
          <w:b/>
        </w:rPr>
        <w:t xml:space="preserve">The exposure is face capture.</w:t>
      </w:r>
      <w:r>
        <w:t xml:space="preserve"> </w:t>
      </w:r>
      <w:r>
        <w:t xml:space="preserve">Where remote proctoring, selfie identity verification or any face-geometry processing is added, the system falls squarely inside BIPA —</w:t>
      </w:r>
      <w:r>
        <w:t xml:space="preserve"> </w:t>
      </w:r>
      <w:r>
        <w:rPr>
          <w:iCs/>
          <w:i/>
        </w:rPr>
        <w:t xml:space="preserve">“</w:t>
      </w:r>
      <w:r>
        <w:rPr>
          <w:iCs/>
          <w:i/>
        </w:rPr>
        <w:t xml:space="preserve">scan of … face geometry</w:t>
      </w:r>
      <w:r>
        <w:rPr>
          <w:iCs/>
          <w:i/>
        </w:rPr>
        <w:t xml:space="preserve">”</w:t>
      </w:r>
      <w:r>
        <w:t xml:space="preserve"> </w:t>
      </w:r>
      <w:r>
        <w:t xml:space="preserve">is expressly listed, and</w:t>
      </w:r>
      <w:r>
        <w:t xml:space="preserve"> </w:t>
      </w:r>
      <w:r>
        <w:rPr>
          <w:bCs/>
          <w:b/>
        </w:rPr>
        <w:t xml:space="preserve">BIPA carries a private right of action with statutory damages and no injury requirement, the single largest litigation exposure in US privacy law. The proportionate response is a hard architectural prohibition on face-geometry processing, enforced in code rather than stated as a policy.</w:t>
      </w:r>
    </w:p>
    <w:bookmarkEnd w:id="87"/>
    <w:bookmarkStart w:id="88" w:name="X294ad546d2bccbff708c789fcd3512af9bea59d"/>
    <w:p>
      <w:pPr>
        <w:pStyle w:val="Heading3"/>
      </w:pPr>
      <w:r>
        <w:t xml:space="preserve">11.6 State AI-in-education statutes — what actually passed</w:t>
      </w:r>
    </w:p>
    <w:p>
      <w:pPr>
        <w:pStyle w:val="FirstParagraph"/>
      </w:pPr>
      <w:r>
        <w:t xml:space="preserve">134 bills were tracked across 31 states in the 2026 session; roughly ten were enacted.</w:t>
      </w:r>
    </w:p>
    <w:p>
      <w:pPr>
        <w:pStyle w:val="BodyText"/>
      </w:pPr>
      <w:r>
        <w:rPr>
          <w:bCs/>
          <w:b/>
        </w:rPr>
        <w:t xml:space="preserve">The one directly on grading: Oklahoma SB 1734, the Oklahoma Responsible Technology in Schools Act.</w:t>
      </w:r>
      <w:r>
        <w:t xml:space="preserve"> </w:t>
      </w:r>
      <w:r>
        <w:t xml:space="preserve">Signed 12 May 2026; behavioural requirements effective</w:t>
      </w:r>
      <w:r>
        <w:t xml:space="preserve"> </w:t>
      </w:r>
      <w:r>
        <w:rPr>
          <w:bCs/>
          <w:b/>
        </w:rPr>
        <w:t xml:space="preserve">1 July 2026</w:t>
      </w:r>
      <w:r>
        <w:t xml:space="preserve">; district AI policy required before the 2027-28 school year. As reported:</w:t>
      </w:r>
      <w:r>
        <w:t xml:space="preserve"> </w:t>
      </w:r>
      <w:r>
        <w:rPr>
          <w:bCs/>
          <w:b/>
        </w:rPr>
        <w:t xml:space="preserve">AI may not be the primary basis for grading, discipline, placement, promotion, retention or other high-stakes educational decisions</w:t>
      </w:r>
      <w:r>
        <w:t xml:space="preserve">;</w:t>
      </w:r>
      <w:r>
        <w:t xml:space="preserve"> </w:t>
      </w:r>
      <w:r>
        <w:rPr>
          <w:bCs/>
          <w:b/>
        </w:rPr>
        <w:t xml:space="preserve">AI output must be reviewed by an educator before it is used for instruction, feedback, assessment or a decision affecting a student</w:t>
      </w:r>
      <w:r>
        <w:t xml:space="preserve">; AI may be used instructionally only through educator-directed use with real-time oversight; an</w:t>
      </w:r>
      <w:r>
        <w:t xml:space="preserve"> </w:t>
      </w:r>
      <w:r>
        <w:rPr>
          <w:bCs/>
          <w:b/>
        </w:rPr>
        <w:t xml:space="preserve">annual family disclosure</w:t>
      </w:r>
      <w:r>
        <w:t xml:space="preserve"> </w:t>
      </w:r>
      <w:r>
        <w:t xml:space="preserve">must identify every AI vendor operating in the school and what student data each collects; and parents may</w:t>
      </w:r>
      <w:r>
        <w:t xml:space="preserve"> </w:t>
      </w:r>
      <w:r>
        <w:rPr>
          <w:bCs/>
          <w:b/>
        </w:rPr>
        <w:t xml:space="preserve">opt out</w:t>
      </w:r>
      <w:r>
        <w:t xml:space="preserve"> </w:t>
      </w:r>
      <w:r>
        <w:t xml:space="preserve">of student-facing AI tools without penalty, with alternative core instruction. Non-compliant districts risk programme eligibility and accreditation scrutiny.</w:t>
      </w:r>
      <w:r>
        <w:t xml:space="preserve"> </w:t>
      </w:r>
      <w:r>
        <w:rPr>
          <w:iCs/>
          <w:i/>
        </w:rPr>
        <w:t xml:space="preserve">(The enrolled text could not be retrieved; the provisions are consistently reported across four independent secondary sources but the exact statutory wording is unverified. The enrolled PDF should be obtained before the provisions are quoted in a contract or memorandum.)</w:t>
      </w:r>
    </w:p>
    <w:p>
      <w:pPr>
        <w:pStyle w:val="BodyText"/>
      </w:pPr>
      <w:r>
        <w:t xml:space="preserve">Other 2026 enactments, none reaching grading as directly:</w:t>
      </w:r>
      <w:r>
        <w:t xml:space="preserve"> </w:t>
      </w:r>
      <w:r>
        <w:rPr>
          <w:bCs/>
          <w:b/>
        </w:rPr>
        <w:t xml:space="preserve">Idaho SB 1227</w:t>
      </w:r>
      <w:r>
        <w:t xml:space="preserve"> </w:t>
      </w:r>
      <w:r>
        <w:t xml:space="preserve">(AI may not replace human teachers);</w:t>
      </w:r>
      <w:r>
        <w:t xml:space="preserve"> </w:t>
      </w:r>
      <w:r>
        <w:rPr>
          <w:bCs/>
          <w:b/>
        </w:rPr>
        <w:t xml:space="preserve">Maryland SB 720</w:t>
      </w:r>
      <w:r>
        <w:t xml:space="preserve"> </w:t>
      </w:r>
      <w:r>
        <w:t xml:space="preserve">(district AI policy within 120 days of state guidance, plus an AI coordinator);</w:t>
      </w:r>
      <w:r>
        <w:t xml:space="preserve"> </w:t>
      </w:r>
      <w:r>
        <w:rPr>
          <w:bCs/>
          <w:b/>
        </w:rPr>
        <w:t xml:space="preserve">Virginia HB 1186</w:t>
      </w:r>
      <w:r>
        <w:t xml:space="preserve">, effective 1 July 2026 (board policies aligned to state guidance, which must address FERPA, COPPA, bias and</w:t>
      </w:r>
      <w:r>
        <w:t xml:space="preserve"> </w:t>
      </w:r>
      <w:r>
        <w:rPr>
          <w:bCs/>
          <w:b/>
        </w:rPr>
        <w:t xml:space="preserve">high-stakes decisions</w:t>
      </w:r>
      <w:r>
        <w:t xml:space="preserve">);</w:t>
      </w:r>
      <w:r>
        <w:t xml:space="preserve"> </w:t>
      </w:r>
      <w:r>
        <w:rPr>
          <w:bCs/>
          <w:b/>
        </w:rPr>
        <w:t xml:space="preserve">Utah HB 273</w:t>
      </w:r>
      <w:r>
        <w:t xml:space="preserve"> </w:t>
      </w:r>
      <w:r>
        <w:t xml:space="preserve">(LEA model policies on classroom technology and AI) and HB 218 (AI literacy);</w:t>
      </w:r>
      <w:r>
        <w:t xml:space="preserve"> </w:t>
      </w:r>
      <w:r>
        <w:rPr>
          <w:bCs/>
          <w:b/>
        </w:rPr>
        <w:t xml:space="preserve">North Carolina</w:t>
      </w:r>
      <w:r>
        <w:t xml:space="preserve"> </w:t>
      </w:r>
      <w:r>
        <w:t xml:space="preserve">(state model policy due 31 December 2026, district policies 30 June 2027);</w:t>
      </w:r>
      <w:r>
        <w:t xml:space="preserve"> </w:t>
      </w:r>
      <w:r>
        <w:rPr>
          <w:bCs/>
          <w:b/>
        </w:rPr>
        <w:t xml:space="preserve">Tennessee</w:t>
      </w:r>
      <w:r>
        <w:t xml:space="preserve"> </w:t>
      </w:r>
      <w:r>
        <w:t xml:space="preserve">(district AI policies and annual reporting).</w:t>
      </w:r>
      <w:r>
        <w:t xml:space="preserve"> </w:t>
      </w:r>
      <w:r>
        <w:rPr>
          <w:iCs/>
          <w:i/>
        </w:rPr>
        <w:t xml:space="preserve">(Alabama HB 329, Hawaii SB 2212 and West Virginia HB 5205 are listed as enacted but their scope could not be verified.)</w:t>
      </w:r>
    </w:p>
    <w:p>
      <w:pPr>
        <w:pStyle w:val="BodyText"/>
      </w:pPr>
      <w:r>
        <w:rPr>
          <w:bCs/>
          <w:b/>
        </w:rPr>
        <w:t xml:space="preserve">Two failed bills to track, because they will return.</w:t>
      </w:r>
      <w:r>
        <w:t xml:space="preserve"> </w:t>
      </w:r>
      <w:r>
        <w:rPr>
          <w:bCs/>
          <w:b/>
        </w:rPr>
        <w:t xml:space="preserve">Illinois SB 3735</w:t>
      </w:r>
      <w:r>
        <w:t xml:space="preserve"> </w:t>
      </w:r>
      <w:r>
        <w:t xml:space="preserve">died in committee on 22 May 2026; it would have created a</w:t>
      </w:r>
      <w:r>
        <w:t xml:space="preserve"> </w:t>
      </w:r>
      <w:r>
        <w:rPr>
          <w:bCs/>
          <w:b/>
        </w:rPr>
        <w:t xml:space="preserve">student right to opt out of AI-generated grades</w:t>
      </w:r>
      <w:r>
        <w:t xml:space="preserve">, banned district purchase of student biometric systems, and</w:t>
      </w:r>
      <w:r>
        <w:t xml:space="preserve"> </w:t>
      </w:r>
      <w:r>
        <w:rPr>
          <w:bCs/>
          <w:b/>
        </w:rPr>
        <w:t xml:space="preserve">restricted vendors from training AI models on educational data</w:t>
      </w:r>
      <w:r>
        <w:t xml:space="preserve">.</w:t>
      </w:r>
      <w:r>
        <w:t xml:space="preserve"> </w:t>
      </w:r>
      <w:r>
        <w:rPr>
          <w:bCs/>
          <w:b/>
        </w:rPr>
        <w:t xml:space="preserve">It is the most far-reaching of the 2026 bills for any provider that trains models on educational data.</w:t>
      </w:r>
      <w:r>
        <w:t xml:space="preserve"> </w:t>
      </w:r>
      <w:r>
        <w:rPr>
          <w:bCs/>
          <w:b/>
        </w:rPr>
        <w:t xml:space="preserve">South Carolina H.5253</w:t>
      </w:r>
      <w:r>
        <w:t xml:space="preserve"> </w:t>
      </w:r>
      <w:r>
        <w:t xml:space="preserve">is in committee,</w:t>
      </w:r>
      <w:r>
        <w:t xml:space="preserve"> </w:t>
      </w:r>
      <w:r>
        <w:rPr>
          <w:bCs/>
          <w:b/>
        </w:rPr>
        <w:t xml:space="preserve">not enacted</w:t>
      </w:r>
      <w:r>
        <w:t xml:space="preserve"> </w:t>
      </w:r>
      <w:r>
        <w:t xml:space="preserve">despite one tracker listing it as passed</w:t>
      </w:r>
      <w:r>
        <w:t xml:space="preserve"> </w:t>
      </w:r>
      <w:r>
        <w:rPr>
          <w:iCs/>
          <w:i/>
        </w:rPr>
        <w:t xml:space="preserve">(the legislature’s own page shows it introduced 24 February 2026 and unsigned — primary source wins)</w:t>
      </w:r>
      <w:r>
        <w:t xml:space="preserve">; its text is a good predictor of the drafting trend:</w:t>
      </w:r>
      <w:r>
        <w:t xml:space="preserve"> </w:t>
      </w:r>
      <w:r>
        <w:rPr>
          <w:iCs/>
          <w:i/>
        </w:rPr>
        <w:t xml:space="preserve">“</w:t>
      </w:r>
      <w:r>
        <w:rPr>
          <w:iCs/>
          <w:i/>
        </w:rPr>
        <w:t xml:space="preserve">Artificial intelligence shall not replace a licensed teacher in providing core academic instruction or assigning final grades.</w:t>
      </w:r>
      <w:r>
        <w:rPr>
          <w:iCs/>
          <w:i/>
        </w:rPr>
        <w:t xml:space="preserve">”</w:t>
      </w:r>
      <w:r>
        <w:t xml:space="preserve"> </w:t>
      </w:r>
      <w:r>
        <w:t xml:space="preserve">Also pending:</w:t>
      </w:r>
      <w:r>
        <w:t xml:space="preserve"> </w:t>
      </w:r>
      <w:r>
        <w:rPr>
          <w:bCs/>
          <w:b/>
        </w:rPr>
        <w:t xml:space="preserve">California AB 1159</w:t>
      </w:r>
      <w:r>
        <w:t xml:space="preserve"> </w:t>
      </w:r>
      <w:r>
        <w:t xml:space="preserve">(would prohibit using student data for AI training) and</w:t>
      </w:r>
      <w:r>
        <w:t xml:space="preserve"> </w:t>
      </w:r>
      <w:r>
        <w:rPr>
          <w:bCs/>
          <w:b/>
        </w:rPr>
        <w:t xml:space="preserve">Vermont HB 650</w:t>
      </w:r>
      <w:r>
        <w:t xml:space="preserve"> </w:t>
      </w:r>
      <w:r>
        <w:t xml:space="preserve">(EdTech provider registration and privacy certification — registration regimes are expensive). And a</w:t>
      </w:r>
      <w:r>
        <w:t xml:space="preserve"> </w:t>
      </w:r>
      <w:r>
        <w:rPr>
          <w:bCs/>
          <w:b/>
        </w:rPr>
        <w:t xml:space="preserve">Florida State Board of Education rule</w:t>
      </w:r>
      <w:r>
        <w:t xml:space="preserve"> </w:t>
      </w:r>
      <w:r>
        <w:t xml:space="preserve">was scheduled for a vote on</w:t>
      </w:r>
      <w:r>
        <w:t xml:space="preserve"> </w:t>
      </w:r>
      <w:r>
        <w:rPr>
          <w:bCs/>
          <w:b/>
        </w:rPr>
        <w:t xml:space="preserve">16 September 2026</w:t>
      </w:r>
      <w:r>
        <w:t xml:space="preserve">, five days after 11 September 2026: for K-12 it would require parental notice when AI instructional tools are approved and a parental opt-out; for the state colleges, institutional AI policies covering academic integrity, assignments and</w:t>
      </w:r>
      <w:r>
        <w:t xml:space="preserve"> </w:t>
      </w:r>
      <w:r>
        <w:rPr>
          <w:bCs/>
          <w:b/>
        </w:rPr>
        <w:t xml:space="preserve">grading</w:t>
      </w:r>
      <w:r>
        <w:t xml:space="preserve">.</w:t>
      </w:r>
      <w:r>
        <w:t xml:space="preserve"> </w:t>
      </w:r>
      <w:r>
        <w:rPr>
          <w:bCs/>
          <w:b/>
        </w:rPr>
        <w:t xml:space="preserve">That outcome requires checking.</w:t>
      </w:r>
    </w:p>
    <w:bookmarkEnd w:id="88"/>
    <w:bookmarkStart w:id="89" w:name="state-education-agency-guidance"/>
    <w:p>
      <w:pPr>
        <w:pStyle w:val="Heading3"/>
      </w:pPr>
      <w:r>
        <w:t xml:space="preserve">11.7 State education-agency guidance</w:t>
      </w:r>
    </w:p>
    <w:p>
      <w:pPr>
        <w:pStyle w:val="FirstParagraph"/>
      </w:pPr>
      <w:r>
        <w:t xml:space="preserve">Approximately</w:t>
      </w:r>
      <w:r>
        <w:t xml:space="preserve"> </w:t>
      </w:r>
      <w:r>
        <w:rPr>
          <w:bCs/>
          <w:b/>
        </w:rPr>
        <w:t xml:space="preserve">35 states plus DC and Puerto Rico</w:t>
      </w:r>
      <w:r>
        <w:t xml:space="preserve"> </w:t>
      </w:r>
      <w:r>
        <w:t xml:space="preserve">have issued AI guidance</w:t>
      </w:r>
      <w:r>
        <w:t xml:space="preserve"> </w:t>
      </w:r>
      <w:r>
        <w:rPr>
          <w:iCs/>
          <w:i/>
        </w:rPr>
        <w:t xml:space="preserve">(counts differ across trackers — 35, 34, 27, 26+ — because</w:t>
      </w:r>
      <w:r>
        <w:rPr>
          <w:iCs/>
          <w:i/>
        </w:rPr>
        <w:t xml:space="preserve"> </w:t>
      </w:r>
      <w:r>
        <w:rPr>
          <w:iCs/>
          <w:i/>
        </w:rPr>
        <w:t xml:space="preserve">“</w:t>
      </w:r>
      <w:r>
        <w:rPr>
          <w:iCs/>
          <w:i/>
        </w:rPr>
        <w:t xml:space="preserve">guidance</w:t>
      </w:r>
      <w:r>
        <w:rPr>
          <w:iCs/>
          <w:i/>
        </w:rPr>
        <w:t xml:space="preserve">”</w:t>
      </w:r>
      <w:r>
        <w:rPr>
          <w:iCs/>
          <w:i/>
        </w:rPr>
        <w:t xml:space="preserve"> </w:t>
      </w:r>
      <w:r>
        <w:rPr>
          <w:iCs/>
          <w:i/>
        </w:rPr>
        <w:t xml:space="preserve">is defined differently;</w:t>
      </w:r>
      <w:r>
        <w:rPr>
          <w:iCs/>
          <w:i/>
        </w:rPr>
        <w:t xml:space="preserve"> </w:t>
      </w:r>
      <w:r>
        <w:rPr>
          <w:iCs/>
          <w:i/>
        </w:rPr>
        <w:t xml:space="preserve">“</w:t>
      </w:r>
      <w:r>
        <w:rPr>
          <w:iCs/>
          <w:i/>
        </w:rPr>
        <w:t xml:space="preserve">approximately 35</w:t>
      </w:r>
      <w:r>
        <w:rPr>
          <w:iCs/>
          <w:i/>
        </w:rPr>
        <w:t xml:space="preserve">”</w:t>
      </w:r>
      <w:r>
        <w:rPr>
          <w:iCs/>
          <w:i/>
        </w:rPr>
        <w:t xml:space="preserve"> </w:t>
      </w:r>
      <w:r>
        <w:rPr>
          <w:iCs/>
          <w:i/>
        </w:rPr>
        <w:t xml:space="preserve">with a cited tracker is preferable to a hard number)</w:t>
      </w:r>
      <w:r>
        <w:t xml:space="preserve">. It is not law. It is procurement gospel, and it converges on one rule.</w:t>
      </w:r>
    </w:p>
    <w:p>
      <w:pPr>
        <w:pStyle w:val="BodyText"/>
      </w:pPr>
      <w:r>
        <w:rPr>
          <w:bCs/>
          <w:b/>
        </w:rPr>
        <w:t xml:space="preserve">Georgia is the most explicit, and its line runs directly through this use case.</w:t>
      </w:r>
      <w:r>
        <w:t xml:space="preserve"> </w:t>
      </w:r>
      <w:r>
        <w:rPr>
          <w:iCs/>
          <w:i/>
        </w:rPr>
        <w:t xml:space="preserve">Leveraging AI in the K-12 Setting</w:t>
      </w:r>
      <w:r>
        <w:t xml:space="preserve"> </w:t>
      </w:r>
      <w:r>
        <w:t xml:space="preserve">(January 2025) lists as</w:t>
      </w:r>
      <w:r>
        <w:t xml:space="preserve"> </w:t>
      </w:r>
      <w:r>
        <w:rPr>
          <w:bCs/>
          <w:b/>
        </w:rPr>
        <w:t xml:space="preserve">not recommended</w:t>
      </w:r>
      <w:r>
        <w:t xml:space="preserve">:</w:t>
      </w:r>
      <w:r>
        <w:t xml:space="preserve"> </w:t>
      </w:r>
      <w:r>
        <w:rPr>
          <w:iCs/>
          <w:i/>
        </w:rPr>
        <w:t xml:space="preserve">“</w:t>
      </w:r>
      <w:r>
        <w:rPr>
          <w:iCs/>
          <w:i/>
        </w:rPr>
        <w:t xml:space="preserve">Grade student assignments or projects that are</w:t>
      </w:r>
      <w:r>
        <w:rPr>
          <w:iCs/>
          <w:i/>
        </w:rPr>
        <w:t xml:space="preserve"> </w:t>
      </w:r>
      <w:r>
        <w:rPr>
          <w:bCs/>
          <w:b/>
          <w:iCs/>
          <w:i/>
        </w:rPr>
        <w:t xml:space="preserve">subjective</w:t>
      </w:r>
      <w:r>
        <w:rPr>
          <w:iCs/>
          <w:i/>
        </w:rPr>
        <w:t xml:space="preserve">”</w:t>
      </w:r>
      <w:r>
        <w:t xml:space="preserve"> </w:t>
      </w:r>
      <w:r>
        <w:t xml:space="preserve">and</w:t>
      </w:r>
      <w:r>
        <w:t xml:space="preserve"> </w:t>
      </w:r>
      <w:r>
        <w:rPr>
          <w:iCs/>
          <w:i/>
        </w:rPr>
        <w:t xml:space="preserve">“</w:t>
      </w:r>
      <w:r>
        <w:rPr>
          <w:iCs/>
          <w:i/>
        </w:rPr>
        <w:t xml:space="preserve">Evaluate educators</w:t>
      </w:r>
      <w:r>
        <w:rPr>
          <w:iCs/>
          <w:i/>
        </w:rPr>
        <w:t xml:space="preserve">”</w:t>
      </w:r>
      <w:r>
        <w:t xml:space="preserve">; and as</w:t>
      </w:r>
      <w:r>
        <w:t xml:space="preserve"> </w:t>
      </w:r>
      <w:r>
        <w:rPr>
          <w:bCs/>
          <w:b/>
        </w:rPr>
        <w:t xml:space="preserve">acceptable</w:t>
      </w:r>
      <w:r>
        <w:t xml:space="preserve">:</w:t>
      </w:r>
      <w:r>
        <w:t xml:space="preserve"> </w:t>
      </w:r>
      <w:r>
        <w:rPr>
          <w:iCs/>
          <w:i/>
        </w:rPr>
        <w:t xml:space="preserve">“</w:t>
      </w:r>
      <w:r>
        <w:rPr>
          <w:iCs/>
          <w:i/>
        </w:rPr>
        <w:t xml:space="preserve">Grade multiple choice exams</w:t>
      </w:r>
      <w:r>
        <w:rPr>
          <w:iCs/>
          <w:i/>
        </w:rPr>
        <w:t xml:space="preserve">”</w:t>
      </w:r>
      <w:r>
        <w:t xml:space="preserve">,</w:t>
      </w:r>
      <w:r>
        <w:t xml:space="preserve"> </w:t>
      </w:r>
      <w:r>
        <w:rPr>
          <w:iCs/>
          <w:i/>
        </w:rPr>
        <w:t xml:space="preserve">“</w:t>
      </w:r>
      <w:r>
        <w:rPr>
          <w:iCs/>
          <w:i/>
        </w:rPr>
        <w:t xml:space="preserve">Assist in the development of a rubric for an assignment</w:t>
      </w:r>
      <w:r>
        <w:rPr>
          <w:iCs/>
          <w:i/>
        </w:rPr>
        <w:t xml:space="preserve">”</w:t>
      </w:r>
      <w:r>
        <w:t xml:space="preserve">,</w:t>
      </w:r>
      <w:r>
        <w:t xml:space="preserve"> </w:t>
      </w:r>
      <w:r>
        <w:rPr>
          <w:iCs/>
          <w:i/>
        </w:rPr>
        <w:t xml:space="preserve">“</w:t>
      </w:r>
      <w:r>
        <w:rPr>
          <w:iCs/>
          <w:i/>
        </w:rPr>
        <w:t xml:space="preserve">Provide feedback on a non-graded assignment/project</w:t>
      </w:r>
      <w:r>
        <w:rPr>
          <w:iCs/>
          <w:i/>
        </w:rPr>
        <w:t xml:space="preserve">”</w:t>
      </w:r>
      <w:r>
        <w:t xml:space="preserve"> </w:t>
      </w:r>
      <w:r>
        <w:t xml:space="preserve">— with the governing principle that</w:t>
      </w:r>
      <w:r>
        <w:t xml:space="preserve"> </w:t>
      </w:r>
      <w:r>
        <w:rPr>
          <w:iCs/>
          <w:i/>
        </w:rPr>
        <w:t xml:space="preserve">“</w:t>
      </w:r>
      <w:r>
        <w:rPr>
          <w:iCs/>
          <w:i/>
        </w:rPr>
        <w:t xml:space="preserve">Final decision-making should always involve human judgment.</w:t>
      </w:r>
      <w:r>
        <w:rPr>
          <w:iCs/>
          <w:i/>
        </w:rPr>
        <w:t xml:space="preserve">”</w:t>
      </w:r>
    </w:p>
    <w:p>
      <w:pPr>
        <w:pStyle w:val="BodyText"/>
      </w:pPr>
      <w:r>
        <w:t xml:space="preserve">Handwritten free-response exams are subjective grading.</w:t>
      </w:r>
      <w:r>
        <w:t xml:space="preserve"> </w:t>
      </w:r>
      <w:r>
        <w:rPr>
          <w:bCs/>
          <w:b/>
        </w:rPr>
        <w:t xml:space="preserve">Read literally, Georgia’s guidance does not recommend AI grading of that kind of work. It is the sharpest point of friction between state guidance and AI-assisted grading of free-response scripts.</w:t>
      </w:r>
      <w:r>
        <w:t xml:space="preserve"> </w:t>
      </w:r>
      <w:r>
        <w:t xml:space="preserve">A deployment in which the system</w:t>
      </w:r>
      <w:r>
        <w:t xml:space="preserve"> </w:t>
      </w:r>
      <w:r>
        <w:rPr>
          <w:iCs/>
          <w:i/>
        </w:rPr>
        <w:t xml:space="preserve">proposes</w:t>
      </w:r>
      <w:r>
        <w:t xml:space="preserve"> </w:t>
      </w:r>
      <w:r>
        <w:t xml:space="preserve">and the teacher</w:t>
      </w:r>
      <w:r>
        <w:t xml:space="preserve"> </w:t>
      </w:r>
      <w:r>
        <w:rPr>
          <w:iCs/>
          <w:i/>
        </w:rPr>
        <w:t xml:space="preserve">decides</w:t>
      </w:r>
      <w:r>
        <w:t xml:space="preserve"> </w:t>
      </w:r>
      <w:r>
        <w:t xml:space="preserve">— a rubric-application and feedback assistant with a human grader, rather than an AI grader — is distinguishable, and the distinction must be demonstrable in how the system actually operates.</w:t>
      </w:r>
    </w:p>
    <w:p>
      <w:pPr>
        <w:pStyle w:val="BodyText"/>
      </w:pPr>
      <w:r>
        <w:t xml:space="preserve">Other representative positions:</w:t>
      </w:r>
      <w:r>
        <w:t xml:space="preserve"> </w:t>
      </w:r>
      <w:r>
        <w:rPr>
          <w:bCs/>
          <w:b/>
        </w:rPr>
        <w:t xml:space="preserve">DC (OSSE, 2 September 2026)</w:t>
      </w:r>
      <w:r>
        <w:t xml:space="preserve"> </w:t>
      </w:r>
      <w:r>
        <w:t xml:space="preserve">places AI-assisted grading in a</w:t>
      </w:r>
      <w:r>
        <w:t xml:space="preserve"> </w:t>
      </w:r>
      <w:r>
        <w:t xml:space="preserve">“</w:t>
      </w:r>
      <w:r>
        <w:t xml:space="preserve">use with caution</w:t>
      </w:r>
      <w:r>
        <w:t xml:space="preserve">”</w:t>
      </w:r>
      <w:r>
        <w:t xml:space="preserve"> </w:t>
      </w:r>
      <w:r>
        <w:t xml:space="preserve">band requiring substantial human oversight, and</w:t>
      </w:r>
      <w:r>
        <w:t xml:space="preserve"> </w:t>
      </w:r>
      <w:r>
        <w:rPr>
          <w:bCs/>
          <w:b/>
        </w:rPr>
        <w:t xml:space="preserve">prohibits AI outright for IEP determinations and discipline</w:t>
      </w:r>
      <w:r>
        <w:t xml:space="preserve"> </w:t>
      </w:r>
      <w:r>
        <w:rPr>
          <w:iCs/>
          <w:i/>
        </w:rPr>
        <w:t xml:space="preserve">(reported via news coverage; the OSSE document should be obtained before it is quoted)</w:t>
      </w:r>
      <w:r>
        <w:t xml:space="preserve">;</w:t>
      </w:r>
      <w:r>
        <w:t xml:space="preserve"> </w:t>
      </w:r>
      <w:r>
        <w:rPr>
          <w:bCs/>
          <w:b/>
        </w:rPr>
        <w:t xml:space="preserve">Alabama</w:t>
      </w:r>
      <w:r>
        <w:t xml:space="preserve"> </w:t>
      </w:r>
      <w:r>
        <w:t xml:space="preserve">mandates</w:t>
      </w:r>
      <w:r>
        <w:t xml:space="preserve"> </w:t>
      </w:r>
      <w:r>
        <w:rPr>
          <w:iCs/>
          <w:i/>
        </w:rPr>
        <w:t xml:space="preserve">“</w:t>
      </w:r>
      <w:r>
        <w:rPr>
          <w:iCs/>
          <w:i/>
        </w:rPr>
        <w:t xml:space="preserve">human verification of AI-generated content and grading</w:t>
      </w:r>
      <w:r>
        <w:rPr>
          <w:iCs/>
          <w:i/>
        </w:rPr>
        <w:t xml:space="preserve">”</w:t>
      </w:r>
      <w:r>
        <w:t xml:space="preserve">;</w:t>
      </w:r>
      <w:r>
        <w:t xml:space="preserve"> </w:t>
      </w:r>
      <w:r>
        <w:rPr>
          <w:bCs/>
          <w:b/>
        </w:rPr>
        <w:t xml:space="preserve">Vermont</w:t>
      </w:r>
      <w:r>
        <w:t xml:space="preserve"> </w:t>
      </w:r>
      <w:r>
        <w:t xml:space="preserve">requires educators to review all outputs;</w:t>
      </w:r>
      <w:r>
        <w:t xml:space="preserve"> </w:t>
      </w:r>
      <w:r>
        <w:rPr>
          <w:bCs/>
          <w:b/>
        </w:rPr>
        <w:t xml:space="preserve">North Carolina</w:t>
      </w:r>
      <w:r>
        <w:t xml:space="preserve"> </w:t>
      </w:r>
      <w:r>
        <w:t xml:space="preserve">and</w:t>
      </w:r>
      <w:r>
        <w:t xml:space="preserve"> </w:t>
      </w:r>
      <w:r>
        <w:rPr>
          <w:bCs/>
          <w:b/>
        </w:rPr>
        <w:t xml:space="preserve">Maine</w:t>
      </w:r>
      <w:r>
        <w:t xml:space="preserve"> </w:t>
      </w:r>
      <w:r>
        <w:t xml:space="preserve">require that AI enhance rather than replace professional judgment;</w:t>
      </w:r>
      <w:r>
        <w:t xml:space="preserve"> </w:t>
      </w:r>
      <w:r>
        <w:rPr>
          <w:bCs/>
          <w:b/>
        </w:rPr>
        <w:t xml:space="preserve">Massachusetts</w:t>
      </w:r>
      <w:r>
        <w:t xml:space="preserve"> </w:t>
      </w:r>
      <w:r>
        <w:t xml:space="preserve">is transparency-focused and notably</w:t>
      </w:r>
      <w:r>
        <w:t xml:space="preserve"> </w:t>
      </w:r>
      <w:r>
        <w:rPr>
          <w:bCs/>
          <w:b/>
        </w:rPr>
        <w:t xml:space="preserve">rejects AI detection tools</w:t>
      </w:r>
      <w:r>
        <w:t xml:space="preserve">, which is relevant to any system bundling originality detection;</w:t>
      </w:r>
      <w:r>
        <w:t xml:space="preserve"> </w:t>
      </w:r>
      <w:r>
        <w:rPr>
          <w:bCs/>
          <w:b/>
        </w:rPr>
        <w:t xml:space="preserve">Washington</w:t>
      </w:r>
      <w:r>
        <w:t xml:space="preserve"> </w:t>
      </w:r>
      <w:r>
        <w:t xml:space="preserve">frames a</w:t>
      </w:r>
      <w:r>
        <w:t xml:space="preserve"> </w:t>
      </w:r>
      <w:r>
        <w:t xml:space="preserve">“</w:t>
      </w:r>
      <w:r>
        <w:t xml:space="preserve">Human–AI–Human</w:t>
      </w:r>
      <w:r>
        <w:t xml:space="preserve">”</w:t>
      </w:r>
      <w:r>
        <w:t xml:space="preserve"> </w:t>
      </w:r>
      <w:r>
        <w:t xml:space="preserve">model.</w:t>
      </w:r>
    </w:p>
    <w:p>
      <w:pPr>
        <w:pStyle w:val="BodyText"/>
      </w:pPr>
      <w:r>
        <w:rPr>
          <w:bCs/>
          <w:b/>
        </w:rPr>
        <w:t xml:space="preserve">The consistent finding across every tracker reviewed: no state permits AI as the sole determinant of a grade.</w:t>
      </w:r>
      <w:r>
        <w:t xml:space="preserve"> </w:t>
      </w:r>
      <w:r>
        <w:t xml:space="preserve">That is now statutory in Oklahoma and, on the current pattern, will be in three or four more states within two legislative sessions.</w:t>
      </w:r>
    </w:p>
    <w:bookmarkEnd w:id="89"/>
    <w:bookmarkStart w:id="90" w:name="the-50-state-matrix"/>
    <w:p>
      <w:pPr>
        <w:pStyle w:val="Heading3"/>
      </w:pPr>
      <w:r>
        <w:t xml:space="preserve">11.8 The 50-state matrix</w:t>
      </w:r>
    </w:p>
    <w:p>
      <w:pPr>
        <w:pStyle w:val="FirstParagraph"/>
      </w:pPr>
      <w:r>
        <w:t xml:space="preserve">Reading notes. Column 1 is compiled principally from the FPF/Student Privacy Compass state-laws chart and a vendor-published aggregator, cross-checked against primary statute text only for the states discussed in §11.3; entries marked</w:t>
      </w:r>
      <w:r>
        <w:t xml:space="preserve"> </w:t>
      </w:r>
      <w:r>
        <w:rPr>
          <w:bCs/>
          <w:b/>
        </w:rPr>
        <w:t xml:space="preserve">(agg.)</w:t>
      </w:r>
      <w:r>
        <w:t xml:space="preserve"> </w:t>
      </w:r>
      <w:r>
        <w:t xml:space="preserve">are</w:t>
      </w:r>
      <w:r>
        <w:t xml:space="preserve"> </w:t>
      </w:r>
      <w:r>
        <w:rPr>
          <w:bCs/>
          <w:b/>
        </w:rPr>
        <w:t xml:space="preserve">not independently verified against the statute and should not be relied upon without pulling the section</w:t>
      </w:r>
      <w:r>
        <w:t xml:space="preserve">. Column 2 means in force on 11 September 2026. Column 4 follows the AI for Education state tracker; the count differs across trackers because</w:t>
      </w:r>
      <w:r>
        <w:t xml:space="preserve"> </w:t>
      </w:r>
      <w:r>
        <w:t xml:space="preserve">“</w:t>
      </w:r>
      <w:r>
        <w:t xml:space="preserve">guidance</w:t>
      </w:r>
      <w:r>
        <w:t xml:space="preserve">”</w:t>
      </w:r>
      <w:r>
        <w:t xml:space="preserve"> </w:t>
      </w:r>
      <w:r>
        <w:t xml:space="preserve">is defined differently, so treat it as approximate.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State</w:t>
            </w:r>
          </w:p>
        </w:tc>
        <w:tc>
          <w:tcPr/>
          <w:p>
            <w:pPr>
              <w:pStyle w:val="Compact"/>
              <w:jc w:val="left"/>
            </w:pPr>
            <w:r>
              <w:t xml:space="preserve">Student-privacy vendor statute</w:t>
            </w:r>
          </w:p>
        </w:tc>
        <w:tc>
          <w:tcPr/>
          <w:p>
            <w:pPr>
              <w:pStyle w:val="Compact"/>
              <w:jc w:val="left"/>
            </w:pPr>
            <w:r>
              <w:t xml:space="preserve">Comprehensive privacy law in force</w:t>
            </w:r>
          </w:p>
        </w:tc>
        <w:tc>
          <w:tcPr/>
          <w:p>
            <w:pPr>
              <w:pStyle w:val="Compact"/>
              <w:jc w:val="left"/>
            </w:pPr>
            <w:r>
              <w:t xml:space="preserve">AI statute relevant to AI-supported grading</w:t>
            </w:r>
          </w:p>
        </w:tc>
        <w:tc>
          <w:tcPr/>
          <w:p>
            <w:pPr>
              <w:pStyle w:val="Compact"/>
              <w:jc w:val="left"/>
            </w:pPr>
            <w:r>
              <w:t xml:space="preserve">State education-agency AI guidance</w:t>
            </w:r>
          </w:p>
        </w:tc>
      </w:tr>
      <w:tr>
        <w:tc>
          <w:tcPr/>
          <w:p>
            <w:pPr>
              <w:pStyle w:val="Compact"/>
              <w:jc w:val="left"/>
            </w:pPr>
            <w:r>
              <w:t xml:space="preserve">Alabama</w:t>
            </w:r>
          </w:p>
        </w:tc>
        <w:tc>
          <w:tcPr/>
          <w:p>
            <w:pPr>
              <w:pStyle w:val="Compact"/>
              <w:jc w:val="left"/>
            </w:pPr>
            <w:r>
              <w:t xml:space="preserve">none specific — COPPA/FERPA only (agg.)</w:t>
            </w:r>
          </w:p>
        </w:tc>
        <w:tc>
          <w:tcPr/>
          <w:p>
            <w:pPr>
              <w:pStyle w:val="Compact"/>
              <w:jc w:val="left"/>
            </w:pPr>
            <w:r>
              <w:t xml:space="preserve">no (enacted; eff. 1 May 2027)</w:t>
            </w:r>
          </w:p>
        </w:tc>
        <w:tc>
          <w:tcPr/>
          <w:p>
            <w:pPr>
              <w:pStyle w:val="Compact"/>
              <w:jc w:val="left"/>
            </w:pPr>
            <w:r>
              <w:t xml:space="preserve">HB 329 (2026, enacted; scope unverified)</w:t>
            </w:r>
          </w:p>
        </w:tc>
        <w:tc>
          <w:tcPr/>
          <w:p>
            <w:pPr>
              <w:pStyle w:val="Compact"/>
              <w:jc w:val="left"/>
            </w:pPr>
            <w:r>
              <w:t xml:space="preserve">Y — requires</w:t>
            </w:r>
            <w:r>
              <w:t xml:space="preserve"> </w:t>
            </w:r>
            <w:r>
              <w:t xml:space="preserve">“</w:t>
            </w:r>
            <w:r>
              <w:t xml:space="preserve">human verification of AI-generated content and grading</w:t>
            </w:r>
            <w:r>
              <w:t xml:space="preserve">”</w:t>
            </w:r>
          </w:p>
        </w:tc>
      </w:tr>
      <w:tr>
        <w:tc>
          <w:tcPr/>
          <w:p>
            <w:pPr>
              <w:pStyle w:val="Compact"/>
              <w:jc w:val="left"/>
            </w:pPr>
            <w:r>
              <w:t xml:space="preserve">Alaska</w:t>
            </w:r>
          </w:p>
        </w:tc>
        <w:tc>
          <w:tcPr/>
          <w:p>
            <w:pPr>
              <w:pStyle w:val="Compact"/>
              <w:jc w:val="left"/>
            </w:pPr>
            <w:r>
              <w:t xml:space="preserve">none specific — breach law only (agg.)</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Arizona</w:t>
            </w:r>
          </w:p>
        </w:tc>
        <w:tc>
          <w:tcPr/>
          <w:p>
            <w:pPr>
              <w:pStyle w:val="Compact"/>
              <w:jc w:val="left"/>
            </w:pPr>
            <w:r>
              <w:t xml:space="preserve">A.R.S. § 15-1046 (operator: no targeted ads, no sale, no profiling)</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Arkansas</w:t>
            </w:r>
          </w:p>
        </w:tc>
        <w:tc>
          <w:tcPr/>
          <w:p>
            <w:pPr>
              <w:pStyle w:val="Compact"/>
              <w:jc w:val="left"/>
            </w:pPr>
            <w:r>
              <w:t xml:space="preserve">Act 1196 (2015); Student Data Vendor Security Act, Ark. Code §§ 6-18-2601–2608</w:t>
            </w:r>
          </w:p>
        </w:tc>
        <w:tc>
          <w:tcPr/>
          <w:p>
            <w:pPr>
              <w:pStyle w:val="Compact"/>
              <w:jc w:val="left"/>
            </w:pPr>
            <w:r>
              <w:rPr>
                <w:bCs/>
                <w:b/>
              </w:rPr>
              <w:t xml:space="preserve">no — claimed comprehensive law unverified; treat as not in force</w:t>
            </w:r>
          </w:p>
        </w:tc>
        <w:tc>
          <w:tcPr/>
          <w:p>
            <w:pPr>
              <w:pStyle w:val="Compact"/>
              <w:jc w:val="left"/>
            </w:pPr>
            <w:r>
              <w:t xml:space="preserve">none</w:t>
            </w:r>
          </w:p>
        </w:tc>
        <w:tc>
          <w:tcPr/>
          <w:p>
            <w:pPr>
              <w:pStyle w:val="Compact"/>
              <w:jc w:val="left"/>
            </w:pPr>
            <w:r>
              <w:t xml:space="preserve">N</w:t>
            </w:r>
          </w:p>
        </w:tc>
      </w:tr>
      <w:tr>
        <w:tc>
          <w:tcPr/>
          <w:p>
            <w:pPr>
              <w:pStyle w:val="Compact"/>
              <w:jc w:val="left"/>
            </w:pPr>
            <w:r>
              <w:t xml:space="preserve">California</w:t>
            </w:r>
          </w:p>
        </w:tc>
        <w:tc>
          <w:tcPr/>
          <w:p>
            <w:pPr>
              <w:pStyle w:val="Compact"/>
              <w:jc w:val="left"/>
            </w:pPr>
            <w:r>
              <w:rPr>
                <w:bCs/>
                <w:b/>
              </w:rPr>
              <w:t xml:space="preserve">SOPIPA, Bus. &amp; Prof. Code § 22584; AB 1584, Educ. Code § 49073.1</w:t>
            </w:r>
          </w:p>
        </w:tc>
        <w:tc>
          <w:tcPr/>
          <w:p>
            <w:pPr>
              <w:pStyle w:val="Compact"/>
              <w:jc w:val="left"/>
            </w:pPr>
            <w:r>
              <w:rPr>
                <w:bCs/>
                <w:b/>
              </w:rPr>
              <w:t xml:space="preserve">yes — CCPA/CPRA, 1 Jan 2020</w:t>
            </w:r>
          </w:p>
        </w:tc>
        <w:tc>
          <w:tcPr/>
          <w:p>
            <w:pPr>
              <w:pStyle w:val="Compact"/>
              <w:jc w:val="left"/>
            </w:pPr>
            <w:r>
              <w:rPr>
                <w:bCs/>
                <w:b/>
              </w:rPr>
              <w:t xml:space="preserve">CPPA ADMT regs (compliance 1 Jan 2027)</w:t>
            </w:r>
            <w:r>
              <w:t xml:space="preserve">; AB 2013 (1 Jan 2026); SB 942/AB 853</w:t>
            </w:r>
          </w:p>
        </w:tc>
        <w:tc>
          <w:tcPr/>
          <w:p>
            <w:pPr>
              <w:pStyle w:val="Compact"/>
              <w:jc w:val="left"/>
            </w:pPr>
            <w:r>
              <w:t xml:space="preserve">Y — human oversight; SB 1288 model policy expressly non-mandatory</w:t>
            </w:r>
          </w:p>
        </w:tc>
      </w:tr>
      <w:tr>
        <w:tc>
          <w:tcPr/>
          <w:p>
            <w:pPr>
              <w:pStyle w:val="Compact"/>
              <w:jc w:val="left"/>
            </w:pPr>
            <w:r>
              <w:t xml:space="preserve">Colorado</w:t>
            </w:r>
          </w:p>
        </w:tc>
        <w:tc>
          <w:tcPr/>
          <w:p>
            <w:pPr>
              <w:pStyle w:val="Compact"/>
              <w:jc w:val="left"/>
            </w:pPr>
            <w:r>
              <w:rPr>
                <w:bCs/>
                <w:b/>
              </w:rPr>
              <w:t xml:space="preserve">Student Data Transparency and Security Act, C.R.S. § 22-16-101 ff.</w:t>
            </w:r>
          </w:p>
        </w:tc>
        <w:tc>
          <w:tcPr/>
          <w:p>
            <w:pPr>
              <w:pStyle w:val="Compact"/>
              <w:jc w:val="left"/>
            </w:pPr>
            <w:r>
              <w:t xml:space="preserve">yes — CPA, 1 Jul 2023 (profiling opt-out)</w:t>
            </w:r>
          </w:p>
        </w:tc>
        <w:tc>
          <w:tcPr/>
          <w:p>
            <w:pPr>
              <w:pStyle w:val="Compact"/>
              <w:jc w:val="left"/>
            </w:pPr>
            <w:r>
              <w:rPr>
                <w:bCs/>
                <w:b/>
              </w:rPr>
              <w:t xml:space="preserve">SB 26-189 (ADMTA), eff. 1 Jan 2027 — education is a consequential decision. SB 24-205 repealed</w:t>
            </w:r>
          </w:p>
        </w:tc>
        <w:tc>
          <w:tcPr/>
          <w:p>
            <w:pPr>
              <w:pStyle w:val="Compact"/>
              <w:jc w:val="left"/>
            </w:pPr>
            <w:r>
              <w:t xml:space="preserve">Y (general)</w:t>
            </w:r>
          </w:p>
        </w:tc>
      </w:tr>
      <w:tr>
        <w:tc>
          <w:tcPr/>
          <w:p>
            <w:pPr>
              <w:pStyle w:val="Compact"/>
              <w:jc w:val="left"/>
            </w:pPr>
            <w:r>
              <w:t xml:space="preserve">Connecticut</w:t>
            </w:r>
          </w:p>
        </w:tc>
        <w:tc>
          <w:tcPr/>
          <w:p>
            <w:pPr>
              <w:pStyle w:val="Compact"/>
              <w:jc w:val="left"/>
            </w:pPr>
            <w:r>
              <w:rPr>
                <w:bCs/>
                <w:b/>
              </w:rPr>
              <w:t xml:space="preserve">Conn. Gen. Stat. §§ 10-234aa–10-234ff</w:t>
            </w:r>
            <w:r>
              <w:t xml:space="preserve"> </w:t>
            </w:r>
            <w:r>
              <w:t xml:space="preserve">— 10 mandatory terms + 5-business-day posting</w:t>
            </w:r>
          </w:p>
        </w:tc>
        <w:tc>
          <w:tcPr/>
          <w:p>
            <w:pPr>
              <w:pStyle w:val="Compact"/>
              <w:jc w:val="left"/>
            </w:pPr>
            <w:r>
              <w:t xml:space="preserve">yes — CTDPA, 1 Jul 2023;</w:t>
            </w:r>
            <w:r>
              <w:t xml:space="preserve"> </w:t>
            </w:r>
            <w:r>
              <w:rPr>
                <w:bCs/>
                <w:b/>
              </w:rPr>
              <w:t xml:space="preserve">SB 1295 amendments eff. 1 Jul 2026</w:t>
            </w:r>
          </w:p>
        </w:tc>
        <w:tc>
          <w:tcPr/>
          <w:p>
            <w:pPr>
              <w:pStyle w:val="Compact"/>
              <w:jc w:val="left"/>
            </w:pPr>
            <w:r>
              <w:t xml:space="preserve">none specific</w:t>
            </w:r>
          </w:p>
        </w:tc>
        <w:tc>
          <w:tcPr/>
          <w:p>
            <w:pPr>
              <w:pStyle w:val="Compact"/>
              <w:jc w:val="left"/>
            </w:pPr>
            <w:r>
              <w:t xml:space="preserve">Y (general)</w:t>
            </w:r>
          </w:p>
        </w:tc>
      </w:tr>
      <w:tr>
        <w:tc>
          <w:tcPr/>
          <w:p>
            <w:pPr>
              <w:pStyle w:val="Compact"/>
              <w:jc w:val="left"/>
            </w:pPr>
            <w:r>
              <w:t xml:space="preserve">Delaware</w:t>
            </w:r>
          </w:p>
        </w:tc>
        <w:tc>
          <w:tcPr/>
          <w:p>
            <w:pPr>
              <w:pStyle w:val="Compact"/>
              <w:jc w:val="left"/>
            </w:pPr>
            <w:r>
              <w:t xml:space="preserve">Student Data Privacy Protection Act, 14 Del. C. ch. 81A</w:t>
            </w:r>
          </w:p>
        </w:tc>
        <w:tc>
          <w:tcPr/>
          <w:p>
            <w:pPr>
              <w:pStyle w:val="Compact"/>
              <w:jc w:val="left"/>
            </w:pPr>
            <w:r>
              <w:t xml:space="preserve">yes — DPDPA, 1 Jan 2025</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District of Columbia</w:t>
            </w:r>
          </w:p>
        </w:tc>
        <w:tc>
          <w:tcPr/>
          <w:p>
            <w:pPr>
              <w:pStyle w:val="Compact"/>
              <w:jc w:val="left"/>
            </w:pPr>
            <w:r>
              <w:t xml:space="preserve">Protecting Students Digital Privacy Act, D.C. Code § 38-831.02</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w:t>
            </w:r>
            <w:r>
              <w:t xml:space="preserve"> </w:t>
            </w:r>
            <w:r>
              <w:rPr>
                <w:bCs/>
                <w:b/>
              </w:rPr>
              <w:t xml:space="preserve">OSSE (2 Sep 2026): grading</w:t>
            </w:r>
            <w:r>
              <w:rPr>
                <w:bCs/>
                <w:b/>
              </w:rPr>
              <w:t xml:space="preserve"> </w:t>
            </w:r>
            <w:r>
              <w:rPr>
                <w:bCs/>
                <w:b/>
              </w:rPr>
              <w:t xml:space="preserve">“</w:t>
            </w:r>
            <w:r>
              <w:rPr>
                <w:bCs/>
                <w:b/>
              </w:rPr>
              <w:t xml:space="preserve">use with caution</w:t>
            </w:r>
            <w:r>
              <w:rPr>
                <w:bCs/>
                <w:b/>
              </w:rPr>
              <w:t xml:space="preserve">”</w:t>
            </w:r>
            <w:r>
              <w:rPr>
                <w:bCs/>
                <w:b/>
              </w:rPr>
              <w:t xml:space="preserve">; IEP and discipline prohibited</w:t>
            </w:r>
          </w:p>
        </w:tc>
      </w:tr>
      <w:tr>
        <w:tc>
          <w:tcPr/>
          <w:p>
            <w:pPr>
              <w:pStyle w:val="Compact"/>
              <w:jc w:val="left"/>
            </w:pPr>
            <w:r>
              <w:t xml:space="preserve">Florida</w:t>
            </w:r>
          </w:p>
        </w:tc>
        <w:tc>
          <w:tcPr/>
          <w:p>
            <w:pPr>
              <w:pStyle w:val="Compact"/>
              <w:jc w:val="left"/>
            </w:pPr>
            <w:r>
              <w:t xml:space="preserve">Student Online Personal Information Protection Act (HB 662, 2023)</w:t>
            </w:r>
          </w:p>
        </w:tc>
        <w:tc>
          <w:tcPr/>
          <w:p>
            <w:pPr>
              <w:pStyle w:val="Compact"/>
              <w:jc w:val="left"/>
            </w:pPr>
            <w:r>
              <w:t xml:space="preserve">FDBR, 1 Jul 2024 — &gt;$1bn revenue only; almost certainly inapplicable</w:t>
            </w:r>
          </w:p>
        </w:tc>
        <w:tc>
          <w:tcPr/>
          <w:p>
            <w:pPr>
              <w:pStyle w:val="Compact"/>
              <w:jc w:val="left"/>
            </w:pPr>
            <w:r>
              <w:t xml:space="preserve">none enacted;</w:t>
            </w:r>
            <w:r>
              <w:t xml:space="preserve"> </w:t>
            </w:r>
            <w:r>
              <w:rPr>
                <w:bCs/>
                <w:b/>
              </w:rPr>
              <w:t xml:space="preserve">State Board rule vote 16 Sep 2026</w:t>
            </w:r>
          </w:p>
        </w:tc>
        <w:tc>
          <w:tcPr/>
          <w:p>
            <w:pPr>
              <w:pStyle w:val="Compact"/>
              <w:jc w:val="left"/>
            </w:pPr>
            <w:r>
              <w:t xml:space="preserve">N per tracker</w:t>
            </w:r>
          </w:p>
        </w:tc>
      </w:tr>
      <w:tr>
        <w:tc>
          <w:tcPr/>
          <w:p>
            <w:pPr>
              <w:pStyle w:val="Compact"/>
              <w:jc w:val="left"/>
            </w:pPr>
            <w:r>
              <w:t xml:space="preserve">Georgia</w:t>
            </w:r>
          </w:p>
        </w:tc>
        <w:tc>
          <w:tcPr/>
          <w:p>
            <w:pPr>
              <w:pStyle w:val="Compact"/>
              <w:jc w:val="left"/>
            </w:pPr>
            <w:r>
              <w:rPr>
                <w:bCs/>
                <w:b/>
              </w:rPr>
              <w:t xml:space="preserve">O.C.G.A. §§ 20-2-660–668; § 20-2-666 operator limits; 45-day deletion</w:t>
            </w:r>
          </w:p>
        </w:tc>
        <w:tc>
          <w:tcPr/>
          <w:p>
            <w:pPr>
              <w:pStyle w:val="Compact"/>
              <w:jc w:val="left"/>
            </w:pPr>
            <w:r>
              <w:t xml:space="preserve">no</w:t>
            </w:r>
          </w:p>
        </w:tc>
        <w:tc>
          <w:tcPr/>
          <w:p>
            <w:pPr>
              <w:pStyle w:val="Compact"/>
              <w:jc w:val="left"/>
            </w:pPr>
            <w:r>
              <w:t xml:space="preserve">SB 179 (CS/AI graduation requirement)</w:t>
            </w:r>
          </w:p>
        </w:tc>
        <w:tc>
          <w:tcPr/>
          <w:p>
            <w:pPr>
              <w:pStyle w:val="Compact"/>
              <w:jc w:val="left"/>
            </w:pPr>
            <w:r>
              <w:t xml:space="preserve">Y —</w:t>
            </w:r>
            <w:r>
              <w:t xml:space="preserve"> </w:t>
            </w:r>
            <w:r>
              <w:rPr>
                <w:bCs/>
                <w:b/>
              </w:rPr>
              <w:t xml:space="preserve">strongest grading language: do not use AI to grade subjective work</w:t>
            </w:r>
          </w:p>
        </w:tc>
      </w:tr>
      <w:tr>
        <w:tc>
          <w:tcPr/>
          <w:p>
            <w:pPr>
              <w:pStyle w:val="Compact"/>
              <w:jc w:val="left"/>
            </w:pPr>
            <w:r>
              <w:t xml:space="preserve">Hawaii</w:t>
            </w:r>
          </w:p>
        </w:tc>
        <w:tc>
          <w:tcPr/>
          <w:p>
            <w:pPr>
              <w:pStyle w:val="Compact"/>
              <w:jc w:val="left"/>
            </w:pPr>
            <w:r>
              <w:t xml:space="preserve">HRS § 302A-500 (agg.)</w:t>
            </w:r>
          </w:p>
        </w:tc>
        <w:tc>
          <w:tcPr/>
          <w:p>
            <w:pPr>
              <w:pStyle w:val="Compact"/>
              <w:jc w:val="left"/>
            </w:pPr>
            <w:r>
              <w:t xml:space="preserve">no</w:t>
            </w:r>
          </w:p>
        </w:tc>
        <w:tc>
          <w:tcPr/>
          <w:p>
            <w:pPr>
              <w:pStyle w:val="Compact"/>
              <w:jc w:val="left"/>
            </w:pPr>
            <w:r>
              <w:t xml:space="preserve">SB 2212 (2026, enacted; scope unverified)</w:t>
            </w:r>
          </w:p>
        </w:tc>
        <w:tc>
          <w:tcPr/>
          <w:p>
            <w:pPr>
              <w:pStyle w:val="Compact"/>
              <w:jc w:val="left"/>
            </w:pPr>
            <w:r>
              <w:t xml:space="preserve">Y (general)</w:t>
            </w:r>
          </w:p>
        </w:tc>
      </w:tr>
      <w:tr>
        <w:tc>
          <w:tcPr/>
          <w:p>
            <w:pPr>
              <w:pStyle w:val="Compact"/>
              <w:jc w:val="left"/>
            </w:pPr>
            <w:r>
              <w:t xml:space="preserve">Idaho</w:t>
            </w:r>
          </w:p>
        </w:tc>
        <w:tc>
          <w:tcPr/>
          <w:p>
            <w:pPr>
              <w:pStyle w:val="Compact"/>
              <w:jc w:val="left"/>
            </w:pPr>
            <w:r>
              <w:t xml:space="preserve">Idaho Code § 33-133; SB 1372 (2014)</w:t>
            </w:r>
          </w:p>
        </w:tc>
        <w:tc>
          <w:tcPr/>
          <w:p>
            <w:pPr>
              <w:pStyle w:val="Compact"/>
              <w:jc w:val="left"/>
            </w:pPr>
            <w:r>
              <w:t xml:space="preserve">no</w:t>
            </w:r>
          </w:p>
        </w:tc>
        <w:tc>
          <w:tcPr/>
          <w:p>
            <w:pPr>
              <w:pStyle w:val="Compact"/>
              <w:jc w:val="left"/>
            </w:pPr>
            <w:r>
              <w:rPr>
                <w:bCs/>
                <w:b/>
              </w:rPr>
              <w:t xml:space="preserve">SB 1227 (2026)</w:t>
            </w:r>
            <w:r>
              <w:t xml:space="preserve"> </w:t>
            </w:r>
            <w:r>
              <w:t xml:space="preserve">— prohibits AI replacing human teachers</w:t>
            </w:r>
          </w:p>
        </w:tc>
        <w:tc>
          <w:tcPr/>
          <w:p>
            <w:pPr>
              <w:pStyle w:val="Compact"/>
              <w:jc w:val="left"/>
            </w:pPr>
            <w:r>
              <w:t xml:space="preserve">N</w:t>
            </w:r>
          </w:p>
        </w:tc>
      </w:tr>
      <w:tr>
        <w:tc>
          <w:tcPr/>
          <w:p>
            <w:pPr>
              <w:pStyle w:val="Compact"/>
              <w:jc w:val="left"/>
            </w:pPr>
            <w:r>
              <w:t xml:space="preserve">Illinois</w:t>
            </w:r>
          </w:p>
        </w:tc>
        <w:tc>
          <w:tcPr/>
          <w:p>
            <w:pPr>
              <w:pStyle w:val="Compact"/>
              <w:jc w:val="left"/>
            </w:pPr>
            <w:r>
              <w:rPr>
                <w:bCs/>
                <w:b/>
              </w:rPr>
              <w:t xml:space="preserve">SOPPA, 105 ILCS 85</w:t>
            </w:r>
            <w:r>
              <w:t xml:space="preserve"> </w:t>
            </w:r>
            <w:r>
              <w:t xml:space="preserve">— written agreement, 30-day breach notice, public posting, annual third-party list; ISSRA (private right of action)</w:t>
            </w:r>
          </w:p>
        </w:tc>
        <w:tc>
          <w:tcPr/>
          <w:p>
            <w:pPr>
              <w:pStyle w:val="Compact"/>
              <w:jc w:val="left"/>
            </w:pPr>
            <w:r>
              <w:rPr>
                <w:bCs/>
                <w:b/>
              </w:rPr>
              <w:t xml:space="preserve">no comprehensive law</w:t>
            </w:r>
            <w:r>
              <w:t xml:space="preserve"> </w:t>
            </w:r>
            <w:r>
              <w:t xml:space="preserve">(BIPA and SOPPA only)</w:t>
            </w:r>
          </w:p>
        </w:tc>
        <w:tc>
          <w:tcPr/>
          <w:p>
            <w:pPr>
              <w:pStyle w:val="Compact"/>
              <w:jc w:val="left"/>
            </w:pPr>
            <w:r>
              <w:t xml:space="preserve">HB 3773 (IHRA, employment only, 1 Jan 2026);</w:t>
            </w:r>
            <w:r>
              <w:t xml:space="preserve"> </w:t>
            </w:r>
            <w:r>
              <w:rPr>
                <w:bCs/>
                <w:b/>
              </w:rPr>
              <w:t xml:space="preserve">BIPA, 740 ILCS 14</w:t>
            </w:r>
          </w:p>
        </w:tc>
        <w:tc>
          <w:tcPr/>
          <w:p>
            <w:pPr>
              <w:pStyle w:val="Compact"/>
              <w:jc w:val="left"/>
            </w:pPr>
            <w:r>
              <w:t xml:space="preserve">Y; State Board guidance due 1 Jul 2026</w:t>
            </w:r>
          </w:p>
        </w:tc>
      </w:tr>
      <w:tr>
        <w:tc>
          <w:tcPr/>
          <w:p>
            <w:pPr>
              <w:pStyle w:val="Compact"/>
              <w:jc w:val="left"/>
            </w:pPr>
            <w:r>
              <w:t xml:space="preserve">Indiana</w:t>
            </w:r>
          </w:p>
        </w:tc>
        <w:tc>
          <w:tcPr/>
          <w:p>
            <w:pPr>
              <w:pStyle w:val="Compact"/>
              <w:jc w:val="left"/>
            </w:pPr>
            <w:r>
              <w:t xml:space="preserve">none specific (agg.)</w:t>
            </w:r>
          </w:p>
        </w:tc>
        <w:tc>
          <w:tcPr/>
          <w:p>
            <w:pPr>
              <w:pStyle w:val="Compact"/>
              <w:jc w:val="left"/>
            </w:pPr>
            <w:r>
              <w:t xml:space="preserve">yes — SB 5, 1 Jan 2026</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Iowa</w:t>
            </w:r>
          </w:p>
        </w:tc>
        <w:tc>
          <w:tcPr/>
          <w:p>
            <w:pPr>
              <w:pStyle w:val="Compact"/>
              <w:jc w:val="left"/>
            </w:pPr>
            <w:r>
              <w:t xml:space="preserve">HF 2354 (2018) operator law</w:t>
            </w:r>
          </w:p>
        </w:tc>
        <w:tc>
          <w:tcPr/>
          <w:p>
            <w:pPr>
              <w:pStyle w:val="Compact"/>
              <w:jc w:val="left"/>
            </w:pPr>
            <w:r>
              <w:t xml:space="preserve">yes — SF 262, 1 Jan 2025 (no profiling opt-out, no DPA duty)</w:t>
            </w:r>
          </w:p>
        </w:tc>
        <w:tc>
          <w:tcPr/>
          <w:p>
            <w:pPr>
              <w:pStyle w:val="Compact"/>
              <w:jc w:val="left"/>
            </w:pPr>
            <w:r>
              <w:t xml:space="preserve">none</w:t>
            </w:r>
          </w:p>
        </w:tc>
        <w:tc>
          <w:tcPr/>
          <w:p>
            <w:pPr>
              <w:pStyle w:val="Compact"/>
              <w:jc w:val="left"/>
            </w:pPr>
            <w:r>
              <w:t xml:space="preserve">N</w:t>
            </w:r>
          </w:p>
        </w:tc>
      </w:tr>
      <w:tr>
        <w:tc>
          <w:tcPr/>
          <w:p>
            <w:pPr>
              <w:pStyle w:val="Compact"/>
              <w:jc w:val="left"/>
            </w:pPr>
            <w:r>
              <w:t xml:space="preserve">Kansas</w:t>
            </w:r>
          </w:p>
        </w:tc>
        <w:tc>
          <w:tcPr/>
          <w:p>
            <w:pPr>
              <w:pStyle w:val="Compact"/>
              <w:jc w:val="left"/>
            </w:pPr>
            <w:r>
              <w:t xml:space="preserve">Student Data Privacy Act, K.S.A. §§ 72-6312–6320</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w:t>
            </w:r>
          </w:p>
        </w:tc>
      </w:tr>
      <w:tr>
        <w:tc>
          <w:tcPr/>
          <w:p>
            <w:pPr>
              <w:pStyle w:val="Compact"/>
              <w:jc w:val="left"/>
            </w:pPr>
            <w:r>
              <w:t xml:space="preserve">Kentucky</w:t>
            </w:r>
          </w:p>
        </w:tc>
        <w:tc>
          <w:tcPr/>
          <w:p>
            <w:pPr>
              <w:pStyle w:val="Compact"/>
              <w:jc w:val="left"/>
            </w:pPr>
            <w:r>
              <w:t xml:space="preserve">KRS 365.734 (cloud restriction); HB 232 (2014)</w:t>
            </w:r>
          </w:p>
        </w:tc>
        <w:tc>
          <w:tcPr/>
          <w:p>
            <w:pPr>
              <w:pStyle w:val="Compact"/>
              <w:jc w:val="left"/>
            </w:pPr>
            <w:r>
              <w:t xml:space="preserve">yes — HB 15, 1 Jan 2026</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Louisiana</w:t>
            </w:r>
          </w:p>
        </w:tc>
        <w:tc>
          <w:tcPr/>
          <w:p>
            <w:pPr>
              <w:pStyle w:val="Compact"/>
              <w:jc w:val="left"/>
            </w:pPr>
            <w:r>
              <w:rPr>
                <w:bCs/>
                <w:b/>
              </w:rPr>
              <w:t xml:space="preserve">La. R.S. 17:3914 — carries criminal/civil penalties</w:t>
            </w:r>
            <w:r>
              <w:t xml:space="preserve">; HB 946 (2014)</w:t>
            </w:r>
          </w:p>
        </w:tc>
        <w:tc>
          <w:tcPr/>
          <w:p>
            <w:pPr>
              <w:pStyle w:val="Compact"/>
              <w:jc w:val="left"/>
            </w:pPr>
            <w:r>
              <w:t xml:space="preserve">no (enacted; eff. 1 Jan 2027)</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Maine</w:t>
            </w:r>
          </w:p>
        </w:tc>
        <w:tc>
          <w:tcPr/>
          <w:p>
            <w:pPr>
              <w:pStyle w:val="Compact"/>
              <w:jc w:val="left"/>
            </w:pPr>
            <w:r>
              <w:t xml:space="preserve">Maine Student Information Privacy Act, 20-A M.R.S. § 6005</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 AI should</w:t>
            </w:r>
            <w:r>
              <w:t xml:space="preserve"> </w:t>
            </w:r>
            <w:r>
              <w:t xml:space="preserve">“</w:t>
            </w:r>
            <w:r>
              <w:t xml:space="preserve">enhance, not replace</w:t>
            </w:r>
            <w:r>
              <w:t xml:space="preserve">”</w:t>
            </w:r>
            <w:r>
              <w:t xml:space="preserve"> </w:t>
            </w:r>
            <w:r>
              <w:t xml:space="preserve">human judgment</w:t>
            </w:r>
          </w:p>
        </w:tc>
      </w:tr>
      <w:tr>
        <w:tc>
          <w:tcPr/>
          <w:p>
            <w:pPr>
              <w:pStyle w:val="Compact"/>
              <w:jc w:val="left"/>
            </w:pPr>
            <w:r>
              <w:t xml:space="preserve">Maryland</w:t>
            </w:r>
          </w:p>
        </w:tc>
        <w:tc>
          <w:tcPr/>
          <w:p>
            <w:pPr>
              <w:pStyle w:val="Compact"/>
              <w:jc w:val="left"/>
            </w:pPr>
            <w:r>
              <w:t xml:space="preserve">Educ. Art. § 4-131; State Fin. &amp; Proc. § 3.5-311</w:t>
            </w:r>
          </w:p>
        </w:tc>
        <w:tc>
          <w:tcPr/>
          <w:p>
            <w:pPr>
              <w:pStyle w:val="Compact"/>
              <w:jc w:val="left"/>
            </w:pPr>
            <w:r>
              <w:t xml:space="preserve">yes — MODPA, 1 Oct 2025 (strict minimisation)</w:t>
            </w:r>
          </w:p>
        </w:tc>
        <w:tc>
          <w:tcPr/>
          <w:p>
            <w:pPr>
              <w:pStyle w:val="Compact"/>
              <w:jc w:val="left"/>
            </w:pPr>
            <w:r>
              <w:rPr>
                <w:bCs/>
                <w:b/>
              </w:rPr>
              <w:t xml:space="preserve">SB 720 (2026)</w:t>
            </w:r>
            <w:r>
              <w:t xml:space="preserve"> </w:t>
            </w:r>
            <w:r>
              <w:t xml:space="preserve">— district AI policy within 120 days of state guidance; AI coordinator</w:t>
            </w:r>
          </w:p>
        </w:tc>
        <w:tc>
          <w:tcPr/>
          <w:p>
            <w:pPr>
              <w:pStyle w:val="Compact"/>
              <w:jc w:val="left"/>
            </w:pPr>
            <w:r>
              <w:t xml:space="preserve">Y (state guidance mandated)</w:t>
            </w:r>
          </w:p>
        </w:tc>
      </w:tr>
      <w:tr>
        <w:tc>
          <w:tcPr/>
          <w:p>
            <w:pPr>
              <w:pStyle w:val="Compact"/>
              <w:jc w:val="left"/>
            </w:pPr>
            <w:r>
              <w:t xml:space="preserve">Massachusetts</w:t>
            </w:r>
          </w:p>
        </w:tc>
        <w:tc>
          <w:tcPr/>
          <w:p>
            <w:pPr>
              <w:pStyle w:val="Compact"/>
              <w:jc w:val="left"/>
            </w:pPr>
            <w:r>
              <w:rPr>
                <w:bCs/>
                <w:b/>
              </w:rPr>
              <w:t xml:space="preserve">no operator statute</w:t>
            </w:r>
            <w:r>
              <w:t xml:space="preserve"> </w:t>
            </w:r>
            <w:r>
              <w:t xml:space="preserve">— 603 CMR 23.00, 201 CMR 17.00, M.G.L. c. 93H</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 human oversight; explicitly discourages AI detection tools</w:t>
            </w:r>
          </w:p>
        </w:tc>
      </w:tr>
      <w:tr>
        <w:tc>
          <w:tcPr/>
          <w:p>
            <w:pPr>
              <w:pStyle w:val="Compact"/>
              <w:jc w:val="left"/>
            </w:pPr>
            <w:r>
              <w:t xml:space="preserve">Michigan</w:t>
            </w:r>
          </w:p>
        </w:tc>
        <w:tc>
          <w:tcPr/>
          <w:p>
            <w:pPr>
              <w:pStyle w:val="Compact"/>
              <w:jc w:val="left"/>
            </w:pPr>
            <w:r>
              <w:t xml:space="preserve">MCL 380.1136;</w:t>
            </w:r>
            <w:r>
              <w:t xml:space="preserve"> </w:t>
            </w:r>
            <w:r>
              <w:rPr>
                <w:bCs/>
                <w:b/>
              </w:rPr>
              <w:t xml:space="preserve">MCL 388.1295</w:t>
            </w:r>
            <w:r>
              <w:t xml:space="preserve"> </w:t>
            </w:r>
            <w:r>
              <w:t xml:space="preserve">(operator law)</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Minnesota</w:t>
            </w:r>
          </w:p>
        </w:tc>
        <w:tc>
          <w:tcPr/>
          <w:p>
            <w:pPr>
              <w:pStyle w:val="Compact"/>
              <w:jc w:val="left"/>
            </w:pPr>
            <w:r>
              <w:t xml:space="preserve">Minn. Stat. § 13.32; HF 2353 (2022) provider restrictions</w:t>
            </w:r>
          </w:p>
        </w:tc>
        <w:tc>
          <w:tcPr/>
          <w:p>
            <w:pPr>
              <w:pStyle w:val="Compact"/>
              <w:jc w:val="left"/>
            </w:pPr>
            <w:r>
              <w:t xml:space="preserve">yes — MCDPA, 31 Jul 2025 —</w:t>
            </w:r>
            <w:r>
              <w:t xml:space="preserve"> </w:t>
            </w:r>
            <w:r>
              <w:rPr>
                <w:bCs/>
                <w:b/>
              </w:rPr>
              <w:t xml:space="preserve">ADM explanation right</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Mississippi</w:t>
            </w:r>
          </w:p>
        </w:tc>
        <w:tc>
          <w:tcPr/>
          <w:p>
            <w:pPr>
              <w:pStyle w:val="Compact"/>
              <w:jc w:val="left"/>
            </w:pPr>
            <w:r>
              <w:t xml:space="preserve">none specific (agg.)</w:t>
            </w:r>
          </w:p>
        </w:tc>
        <w:tc>
          <w:tcPr/>
          <w:p>
            <w:pPr>
              <w:pStyle w:val="Compact"/>
              <w:jc w:val="left"/>
            </w:pPr>
            <w:r>
              <w:t xml:space="preserve">no</w:t>
            </w:r>
          </w:p>
        </w:tc>
        <w:tc>
          <w:tcPr/>
          <w:p>
            <w:pPr>
              <w:pStyle w:val="Compact"/>
              <w:jc w:val="left"/>
            </w:pPr>
            <w:r>
              <w:t xml:space="preserve">SB 2294 (CS/AI credit)</w:t>
            </w:r>
          </w:p>
        </w:tc>
        <w:tc>
          <w:tcPr/>
          <w:p>
            <w:pPr>
              <w:pStyle w:val="Compact"/>
              <w:jc w:val="left"/>
            </w:pPr>
            <w:r>
              <w:t xml:space="preserve">Y (general)</w:t>
            </w:r>
          </w:p>
        </w:tc>
      </w:tr>
      <w:tr>
        <w:tc>
          <w:tcPr/>
          <w:p>
            <w:pPr>
              <w:pStyle w:val="Compact"/>
              <w:jc w:val="left"/>
            </w:pPr>
            <w:r>
              <w:t xml:space="preserve">Missouri</w:t>
            </w:r>
          </w:p>
        </w:tc>
        <w:tc>
          <w:tcPr/>
          <w:p>
            <w:pPr>
              <w:pStyle w:val="Compact"/>
              <w:jc w:val="left"/>
            </w:pPr>
            <w:r>
              <w:t xml:space="preserve">RSMo § 161.096; HB 1490 (2014)</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Montana</w:t>
            </w:r>
          </w:p>
        </w:tc>
        <w:tc>
          <w:tcPr/>
          <w:p>
            <w:pPr>
              <w:pStyle w:val="Compact"/>
              <w:jc w:val="left"/>
            </w:pPr>
            <w:r>
              <w:t xml:space="preserve">Pupil Online Personal Information Protection Act, MCA §§ 20-7-1323–1326</w:t>
            </w:r>
          </w:p>
        </w:tc>
        <w:tc>
          <w:tcPr/>
          <w:p>
            <w:pPr>
              <w:pStyle w:val="Compact"/>
              <w:jc w:val="left"/>
            </w:pPr>
            <w:r>
              <w:t xml:space="preserve">yes — MCDPA, 1 Oct 2024</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Nebraska</w:t>
            </w:r>
          </w:p>
        </w:tc>
        <w:tc>
          <w:tcPr/>
          <w:p>
            <w:pPr>
              <w:pStyle w:val="Compact"/>
              <w:jc w:val="left"/>
            </w:pPr>
            <w:r>
              <w:t xml:space="preserve">Neb. Rev. Stat. § 79-2,104; Student Online Personal Protection Act (LB 512)</w:t>
            </w:r>
          </w:p>
        </w:tc>
        <w:tc>
          <w:tcPr/>
          <w:p>
            <w:pPr>
              <w:pStyle w:val="Compact"/>
              <w:jc w:val="left"/>
            </w:pPr>
            <w:r>
              <w:t xml:space="preserve">yes — NDPA, 1 Jan 2025; Age-Appropriate Design Code eff. 1 Jan 2026</w:t>
            </w:r>
          </w:p>
        </w:tc>
        <w:tc>
          <w:tcPr/>
          <w:p>
            <w:pPr>
              <w:pStyle w:val="Compact"/>
              <w:jc w:val="left"/>
            </w:pPr>
            <w:r>
              <w:t xml:space="preserve">none</w:t>
            </w:r>
          </w:p>
        </w:tc>
        <w:tc>
          <w:tcPr/>
          <w:p>
            <w:pPr>
              <w:pStyle w:val="Compact"/>
              <w:jc w:val="left"/>
            </w:pPr>
            <w:r>
              <w:t xml:space="preserve">N</w:t>
            </w:r>
          </w:p>
        </w:tc>
      </w:tr>
      <w:tr>
        <w:tc>
          <w:tcPr/>
          <w:p>
            <w:pPr>
              <w:pStyle w:val="Compact"/>
              <w:jc w:val="left"/>
            </w:pPr>
            <w:r>
              <w:t xml:space="preserve">Nevada</w:t>
            </w:r>
          </w:p>
        </w:tc>
        <w:tc>
          <w:tcPr/>
          <w:p>
            <w:pPr>
              <w:pStyle w:val="Compact"/>
              <w:jc w:val="left"/>
            </w:pPr>
            <w:r>
              <w:t xml:space="preserve">NRS §§ 388.281–388.295</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New Hampshire</w:t>
            </w:r>
          </w:p>
        </w:tc>
        <w:tc>
          <w:tcPr/>
          <w:p>
            <w:pPr>
              <w:pStyle w:val="Compact"/>
              <w:jc w:val="left"/>
            </w:pPr>
            <w:r>
              <w:t xml:space="preserve">RSA 189:65–189:68;</w:t>
            </w:r>
            <w:r>
              <w:t xml:space="preserve"> </w:t>
            </w:r>
            <w:r>
              <w:rPr>
                <w:bCs/>
                <w:b/>
              </w:rPr>
              <w:t xml:space="preserve">RSA 189:68-a</w:t>
            </w:r>
          </w:p>
        </w:tc>
        <w:tc>
          <w:tcPr/>
          <w:p>
            <w:pPr>
              <w:pStyle w:val="Compact"/>
              <w:jc w:val="left"/>
            </w:pPr>
            <w:r>
              <w:t xml:space="preserve">yes — NHDPA, 1 Jan 2025</w:t>
            </w:r>
          </w:p>
        </w:tc>
        <w:tc>
          <w:tcPr/>
          <w:p>
            <w:pPr>
              <w:pStyle w:val="Compact"/>
              <w:jc w:val="left"/>
            </w:pPr>
            <w:r>
              <w:t xml:space="preserve">none</w:t>
            </w:r>
          </w:p>
        </w:tc>
        <w:tc>
          <w:tcPr/>
          <w:p>
            <w:pPr>
              <w:pStyle w:val="Compact"/>
              <w:jc w:val="left"/>
            </w:pPr>
            <w:r>
              <w:t xml:space="preserve">N</w:t>
            </w:r>
          </w:p>
        </w:tc>
      </w:tr>
      <w:tr>
        <w:tc>
          <w:tcPr/>
          <w:p>
            <w:pPr>
              <w:pStyle w:val="Compact"/>
              <w:jc w:val="left"/>
            </w:pPr>
            <w:r>
              <w:t xml:space="preserve">New Jersey</w:t>
            </w:r>
          </w:p>
        </w:tc>
        <w:tc>
          <w:tcPr/>
          <w:p>
            <w:pPr>
              <w:pStyle w:val="Compact"/>
              <w:jc w:val="left"/>
            </w:pPr>
            <w:r>
              <w:t xml:space="preserve">P.L. 2019, c.494 (A4978) — sale of student records prohibited</w:t>
            </w:r>
          </w:p>
        </w:tc>
        <w:tc>
          <w:tcPr/>
          <w:p>
            <w:pPr>
              <w:pStyle w:val="Compact"/>
              <w:jc w:val="left"/>
            </w:pPr>
            <w:r>
              <w:t xml:space="preserve">yes — NJDPA, 15 Jan 2025 —</w:t>
            </w:r>
            <w:r>
              <w:t xml:space="preserve"> </w:t>
            </w:r>
            <w:r>
              <w:rPr>
                <w:bCs/>
                <w:b/>
              </w:rPr>
              <w:t xml:space="preserve">no data-level FERPA exemption; no nonprofit exemption</w:t>
            </w:r>
          </w:p>
        </w:tc>
        <w:tc>
          <w:tcPr/>
          <w:p>
            <w:pPr>
              <w:pStyle w:val="Compact"/>
              <w:jc w:val="left"/>
            </w:pPr>
            <w:r>
              <w:t xml:space="preserve">none</w:t>
            </w:r>
          </w:p>
        </w:tc>
        <w:tc>
          <w:tcPr/>
          <w:p>
            <w:pPr>
              <w:pStyle w:val="Compact"/>
              <w:jc w:val="left"/>
            </w:pPr>
            <w:r>
              <w:t xml:space="preserve">N per tracker (conflicting reports — flagged)</w:t>
            </w:r>
          </w:p>
        </w:tc>
      </w:tr>
      <w:tr>
        <w:tc>
          <w:tcPr/>
          <w:p>
            <w:pPr>
              <w:pStyle w:val="Compact"/>
              <w:jc w:val="left"/>
            </w:pPr>
            <w:r>
              <w:t xml:space="preserve">New Mexico</w:t>
            </w:r>
          </w:p>
        </w:tc>
        <w:tc>
          <w:tcPr/>
          <w:p>
            <w:pPr>
              <w:pStyle w:val="Compact"/>
              <w:jc w:val="left"/>
            </w:pPr>
            <w:r>
              <w:t xml:space="preserve">none specific (agg.)</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New York</w:t>
            </w:r>
          </w:p>
        </w:tc>
        <w:tc>
          <w:tcPr/>
          <w:p>
            <w:pPr>
              <w:pStyle w:val="Compact"/>
              <w:jc w:val="left"/>
            </w:pPr>
            <w:r>
              <w:rPr>
                <w:bCs/>
                <w:b/>
              </w:rPr>
              <w:t xml:space="preserve">Education Law § 2-d + 8 NYCRR Part 121 — strictest in the country (§11.3)</w:t>
            </w:r>
          </w:p>
        </w:tc>
        <w:tc>
          <w:tcPr/>
          <w:p>
            <w:pPr>
              <w:pStyle w:val="Compact"/>
              <w:jc w:val="left"/>
            </w:pPr>
            <w:r>
              <w:t xml:space="preserve">no</w:t>
            </w:r>
          </w:p>
        </w:tc>
        <w:tc>
          <w:tcPr/>
          <w:p>
            <w:pPr>
              <w:pStyle w:val="Compact"/>
              <w:jc w:val="left"/>
            </w:pPr>
            <w:r>
              <w:t xml:space="preserve">RAISE Act (frontier models — inapplicable)</w:t>
            </w:r>
          </w:p>
        </w:tc>
        <w:tc>
          <w:tcPr/>
          <w:p>
            <w:pPr>
              <w:pStyle w:val="Compact"/>
              <w:jc w:val="left"/>
            </w:pPr>
            <w:r>
              <w:t xml:space="preserve">N statewide (NYC DOE has its own)</w:t>
            </w:r>
          </w:p>
        </w:tc>
      </w:tr>
      <w:tr>
        <w:tc>
          <w:tcPr/>
          <w:p>
            <w:pPr>
              <w:pStyle w:val="Compact"/>
              <w:jc w:val="left"/>
            </w:pPr>
            <w:r>
              <w:t xml:space="preserve">North Carolina</w:t>
            </w:r>
          </w:p>
        </w:tc>
        <w:tc>
          <w:tcPr/>
          <w:p>
            <w:pPr>
              <w:pStyle w:val="Compact"/>
              <w:jc w:val="left"/>
            </w:pPr>
            <w:r>
              <w:t xml:space="preserve">G.S. § 115C-401.2</w:t>
            </w:r>
          </w:p>
        </w:tc>
        <w:tc>
          <w:tcPr/>
          <w:p>
            <w:pPr>
              <w:pStyle w:val="Compact"/>
              <w:jc w:val="left"/>
            </w:pPr>
            <w:r>
              <w:t xml:space="preserve">no</w:t>
            </w:r>
          </w:p>
        </w:tc>
        <w:tc>
          <w:tcPr/>
          <w:p>
            <w:pPr>
              <w:pStyle w:val="Compact"/>
              <w:jc w:val="left"/>
            </w:pPr>
            <w:r>
              <w:rPr>
                <w:bCs/>
                <w:b/>
              </w:rPr>
              <w:t xml:space="preserve">state model AI policy due 31 Dec 2026; district policies 30 Jun 2027</w:t>
            </w:r>
          </w:p>
        </w:tc>
        <w:tc>
          <w:tcPr/>
          <w:p>
            <w:pPr>
              <w:pStyle w:val="Compact"/>
              <w:jc w:val="left"/>
            </w:pPr>
            <w:r>
              <w:t xml:space="preserve">Y — maintain educator judgment and oversight</w:t>
            </w:r>
          </w:p>
        </w:tc>
      </w:tr>
      <w:tr>
        <w:tc>
          <w:tcPr/>
          <w:p>
            <w:pPr>
              <w:pStyle w:val="Compact"/>
              <w:jc w:val="left"/>
            </w:pPr>
            <w:r>
              <w:t xml:space="preserve">North Dakota</w:t>
            </w:r>
          </w:p>
        </w:tc>
        <w:tc>
          <w:tcPr/>
          <w:p>
            <w:pPr>
              <w:pStyle w:val="Compact"/>
              <w:jc w:val="left"/>
            </w:pPr>
            <w:r>
              <w:t xml:space="preserve">NDCC § 15.1-07-25.3 (agg.)</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Ohio</w:t>
            </w:r>
          </w:p>
        </w:tc>
        <w:tc>
          <w:tcPr/>
          <w:p>
            <w:pPr>
              <w:pStyle w:val="Compact"/>
              <w:jc w:val="left"/>
            </w:pPr>
            <w:r>
              <w:rPr>
                <w:bCs/>
                <w:b/>
              </w:rPr>
              <w:t xml:space="preserve">SB 29 (eff. Oct 2024)</w:t>
            </w:r>
            <w:r>
              <w:t xml:space="preserve"> </w:t>
            </w:r>
            <w:r>
              <w:t xml:space="preserve">— 90-day deletion;</w:t>
            </w:r>
            <w:r>
              <w:t xml:space="preserve"> </w:t>
            </w:r>
            <w:r>
              <w:rPr>
                <w:bCs/>
                <w:b/>
              </w:rPr>
              <w:t xml:space="preserve">72-hour parent breach notice</w:t>
            </w:r>
            <w:r>
              <w:t xml:space="preserve">; monitoring ban</w:t>
            </w:r>
          </w:p>
        </w:tc>
        <w:tc>
          <w:tcPr/>
          <w:p>
            <w:pPr>
              <w:pStyle w:val="Compact"/>
              <w:jc w:val="left"/>
            </w:pPr>
            <w:r>
              <w:t xml:space="preserve">no</w:t>
            </w:r>
          </w:p>
        </w:tc>
        <w:tc>
          <w:tcPr/>
          <w:p>
            <w:pPr>
              <w:pStyle w:val="Compact"/>
              <w:jc w:val="left"/>
            </w:pPr>
            <w:r>
              <w:rPr>
                <w:bCs/>
                <w:b/>
              </w:rPr>
              <w:t xml:space="preserve">ORC § 3301.24(B)</w:t>
            </w:r>
            <w:r>
              <w:t xml:space="preserve"> </w:t>
            </w:r>
            <w:r>
              <w:t xml:space="preserve">— every district must adopt an AI policy by</w:t>
            </w:r>
            <w:r>
              <w:t xml:space="preserve"> </w:t>
            </w:r>
            <w:r>
              <w:rPr>
                <w:bCs/>
                <w:b/>
              </w:rPr>
              <w:t xml:space="preserve">1 Jul 2026</w:t>
            </w:r>
          </w:p>
        </w:tc>
        <w:tc>
          <w:tcPr/>
          <w:p>
            <w:pPr>
              <w:pStyle w:val="Compact"/>
              <w:jc w:val="left"/>
            </w:pPr>
            <w:r>
              <w:t xml:space="preserve">Y — state model AI policy published</w:t>
            </w:r>
          </w:p>
        </w:tc>
      </w:tr>
      <w:tr>
        <w:tc>
          <w:tcPr/>
          <w:p>
            <w:pPr>
              <w:pStyle w:val="Compact"/>
              <w:jc w:val="left"/>
            </w:pPr>
            <w:r>
              <w:t xml:space="preserve">Oklahoma</w:t>
            </w:r>
          </w:p>
        </w:tc>
        <w:tc>
          <w:tcPr/>
          <w:p>
            <w:pPr>
              <w:pStyle w:val="Compact"/>
              <w:jc w:val="left"/>
            </w:pPr>
            <w:r>
              <w:t xml:space="preserve">70 O.S. § 3-168</w:t>
            </w:r>
          </w:p>
        </w:tc>
        <w:tc>
          <w:tcPr/>
          <w:p>
            <w:pPr>
              <w:pStyle w:val="Compact"/>
              <w:jc w:val="left"/>
            </w:pPr>
            <w:r>
              <w:t xml:space="preserve">no (enacted; eff. 1 Jan 2027)</w:t>
            </w:r>
          </w:p>
        </w:tc>
        <w:tc>
          <w:tcPr/>
          <w:p>
            <w:pPr>
              <w:pStyle w:val="Compact"/>
              <w:jc w:val="left"/>
            </w:pPr>
            <w:r>
              <w:rPr>
                <w:bCs/>
                <w:b/>
              </w:rPr>
              <w:t xml:space="preserve">SB 1734, Responsible Technology in Schools Act — eff. 1 Jul 2026 (§11.6)</w:t>
            </w:r>
          </w:p>
        </w:tc>
        <w:tc>
          <w:tcPr/>
          <w:p>
            <w:pPr>
              <w:pStyle w:val="Compact"/>
              <w:jc w:val="left"/>
            </w:pPr>
            <w:r>
              <w:t xml:space="preserve">Y (general)</w:t>
            </w:r>
          </w:p>
        </w:tc>
      </w:tr>
      <w:tr>
        <w:tc>
          <w:tcPr/>
          <w:p>
            <w:pPr>
              <w:pStyle w:val="Compact"/>
              <w:jc w:val="left"/>
            </w:pPr>
            <w:r>
              <w:t xml:space="preserve">Oregon</w:t>
            </w:r>
          </w:p>
        </w:tc>
        <w:tc>
          <w:tcPr/>
          <w:p>
            <w:pPr>
              <w:pStyle w:val="Compact"/>
              <w:jc w:val="left"/>
            </w:pPr>
            <w:r>
              <w:t xml:space="preserve">Oregon Student Information Protection Act (SB 187, 2015)</w:t>
            </w:r>
          </w:p>
        </w:tc>
        <w:tc>
          <w:tcPr/>
          <w:p>
            <w:pPr>
              <w:pStyle w:val="Compact"/>
              <w:jc w:val="left"/>
            </w:pPr>
            <w:r>
              <w:t xml:space="preserve">yes — OCPA, 1 Jul 2024; HB 2008 (under-16 sale ban) 1 Jan 2026</w:t>
            </w:r>
          </w:p>
        </w:tc>
        <w:tc>
          <w:tcPr/>
          <w:p>
            <w:pPr>
              <w:pStyle w:val="Compact"/>
              <w:jc w:val="left"/>
            </w:pPr>
            <w:r>
              <w:t xml:space="preserve">SB 1546 (companion chatbots — inapplicable)</w:t>
            </w:r>
          </w:p>
        </w:tc>
        <w:tc>
          <w:tcPr/>
          <w:p>
            <w:pPr>
              <w:pStyle w:val="Compact"/>
              <w:jc w:val="left"/>
            </w:pPr>
            <w:r>
              <w:t xml:space="preserve">Y (general)</w:t>
            </w:r>
          </w:p>
        </w:tc>
      </w:tr>
      <w:tr>
        <w:tc>
          <w:tcPr/>
          <w:p>
            <w:pPr>
              <w:pStyle w:val="Compact"/>
              <w:jc w:val="left"/>
            </w:pPr>
            <w:r>
              <w:t xml:space="preserve">Pennsylvania</w:t>
            </w:r>
          </w:p>
        </w:tc>
        <w:tc>
          <w:tcPr/>
          <w:p>
            <w:pPr>
              <w:pStyle w:val="Compact"/>
              <w:jc w:val="left"/>
            </w:pPr>
            <w:r>
              <w:t xml:space="preserve">none specific — breach notification law only (agg.)</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w:t>
            </w:r>
          </w:p>
        </w:tc>
      </w:tr>
      <w:tr>
        <w:tc>
          <w:tcPr/>
          <w:p>
            <w:pPr>
              <w:pStyle w:val="Compact"/>
              <w:jc w:val="left"/>
            </w:pPr>
            <w:r>
              <w:t xml:space="preserve">Rhode Island</w:t>
            </w:r>
          </w:p>
        </w:tc>
        <w:tc>
          <w:tcPr/>
          <w:p>
            <w:pPr>
              <w:pStyle w:val="Compact"/>
              <w:jc w:val="left"/>
            </w:pPr>
            <w:r>
              <w:t xml:space="preserve">R.I. Gen. Laws tit. 16, ch. 104</w:t>
            </w:r>
          </w:p>
        </w:tc>
        <w:tc>
          <w:tcPr/>
          <w:p>
            <w:pPr>
              <w:pStyle w:val="Compact"/>
              <w:jc w:val="left"/>
            </w:pPr>
            <w:r>
              <w:t xml:space="preserve">yes — RIDTPPA, 1 Jan 2026</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South Carolina</w:t>
            </w:r>
          </w:p>
        </w:tc>
        <w:tc>
          <w:tcPr/>
          <w:p>
            <w:pPr>
              <w:pStyle w:val="Compact"/>
              <w:jc w:val="left"/>
            </w:pPr>
            <w:r>
              <w:t xml:space="preserve">S.C. Code § 59-1-490 (agg.)</w:t>
            </w:r>
          </w:p>
        </w:tc>
        <w:tc>
          <w:tcPr/>
          <w:p>
            <w:pPr>
              <w:pStyle w:val="Compact"/>
              <w:jc w:val="left"/>
            </w:pPr>
            <w:r>
              <w:t xml:space="preserve">no</w:t>
            </w:r>
          </w:p>
        </w:tc>
        <w:tc>
          <w:tcPr/>
          <w:p>
            <w:pPr>
              <w:pStyle w:val="Compact"/>
              <w:jc w:val="left"/>
            </w:pPr>
            <w:r>
              <w:rPr>
                <w:bCs/>
                <w:b/>
              </w:rPr>
              <w:t xml:space="preserve">H.5253 INTRODUCED ONLY — not enacted</w:t>
            </w:r>
          </w:p>
        </w:tc>
        <w:tc>
          <w:tcPr/>
          <w:p>
            <w:pPr>
              <w:pStyle w:val="Compact"/>
              <w:jc w:val="left"/>
            </w:pPr>
            <w:r>
              <w:t xml:space="preserve">N</w:t>
            </w:r>
          </w:p>
        </w:tc>
      </w:tr>
      <w:tr>
        <w:tc>
          <w:tcPr/>
          <w:p>
            <w:pPr>
              <w:pStyle w:val="Compact"/>
              <w:jc w:val="left"/>
            </w:pPr>
            <w:r>
              <w:t xml:space="preserve">South Dakota</w:t>
            </w:r>
          </w:p>
        </w:tc>
        <w:tc>
          <w:tcPr/>
          <w:p>
            <w:pPr>
              <w:pStyle w:val="Compact"/>
              <w:jc w:val="left"/>
            </w:pPr>
            <w:r>
              <w:t xml:space="preserve">SDCL §§ 13-3-51, 13-3-51.1 (agg.)</w:t>
            </w:r>
          </w:p>
        </w:tc>
        <w:tc>
          <w:tcPr/>
          <w:p>
            <w:pPr>
              <w:pStyle w:val="Compact"/>
              <w:jc w:val="left"/>
            </w:pPr>
            <w:r>
              <w:t xml:space="preserve">no</w:t>
            </w:r>
          </w:p>
        </w:tc>
        <w:tc>
          <w:tcPr/>
          <w:p>
            <w:pPr>
              <w:pStyle w:val="Compact"/>
              <w:jc w:val="left"/>
            </w:pPr>
            <w:r>
              <w:t xml:space="preserve">none</w:t>
            </w:r>
          </w:p>
        </w:tc>
        <w:tc>
          <w:tcPr/>
          <w:p>
            <w:pPr>
              <w:pStyle w:val="Compact"/>
              <w:jc w:val="left"/>
            </w:pPr>
            <w:r>
              <w:t xml:space="preserve">N</w:t>
            </w:r>
          </w:p>
        </w:tc>
      </w:tr>
      <w:tr>
        <w:tc>
          <w:tcPr/>
          <w:p>
            <w:pPr>
              <w:pStyle w:val="Compact"/>
              <w:jc w:val="left"/>
            </w:pPr>
            <w:r>
              <w:t xml:space="preserve">Tennessee</w:t>
            </w:r>
          </w:p>
        </w:tc>
        <w:tc>
          <w:tcPr/>
          <w:p>
            <w:pPr>
              <w:pStyle w:val="Compact"/>
              <w:jc w:val="left"/>
            </w:pPr>
            <w:r>
              <w:rPr>
                <w:bCs/>
                <w:b/>
              </w:rPr>
              <w:t xml:space="preserve">T.C.A. §§ 49-1-701–708</w:t>
            </w:r>
            <w:r>
              <w:t xml:space="preserve">, incl. § 49-1-708</w:t>
            </w:r>
          </w:p>
        </w:tc>
        <w:tc>
          <w:tcPr/>
          <w:p>
            <w:pPr>
              <w:pStyle w:val="Compact"/>
              <w:jc w:val="left"/>
            </w:pPr>
            <w:r>
              <w:t xml:space="preserve">yes — TIPA, 1 Jul 2025</w:t>
            </w:r>
          </w:p>
        </w:tc>
        <w:tc>
          <w:tcPr/>
          <w:p>
            <w:pPr>
              <w:pStyle w:val="Compact"/>
              <w:jc w:val="left"/>
            </w:pPr>
            <w:r>
              <w:t xml:space="preserve">district AI policies and annual reporting (LEA section number unverified)</w:t>
            </w:r>
          </w:p>
        </w:tc>
        <w:tc>
          <w:tcPr/>
          <w:p>
            <w:pPr>
              <w:pStyle w:val="Compact"/>
              <w:jc w:val="left"/>
            </w:pPr>
            <w:r>
              <w:t xml:space="preserve">N per tracker — conflicts with the statutory mandate; flagged</w:t>
            </w:r>
          </w:p>
        </w:tc>
      </w:tr>
      <w:tr>
        <w:tc>
          <w:tcPr/>
          <w:p>
            <w:pPr>
              <w:pStyle w:val="Compact"/>
              <w:jc w:val="left"/>
            </w:pPr>
            <w:r>
              <w:t xml:space="preserve">Texas</w:t>
            </w:r>
          </w:p>
        </w:tc>
        <w:tc>
          <w:tcPr/>
          <w:p>
            <w:pPr>
              <w:pStyle w:val="Compact"/>
              <w:jc w:val="left"/>
            </w:pPr>
            <w:r>
              <w:rPr>
                <w:bCs/>
                <w:b/>
              </w:rPr>
              <w:t xml:space="preserve">Educ. Code ch. 32, Subchapter D, §§ 32.151–32.156</w:t>
            </w:r>
            <w:r>
              <w:t xml:space="preserve"> </w:t>
            </w:r>
            <w:r>
              <w:t xml:space="preserve">(not Subch. C); HB 18 (2023)</w:t>
            </w:r>
          </w:p>
        </w:tc>
        <w:tc>
          <w:tcPr/>
          <w:p>
            <w:pPr>
              <w:pStyle w:val="Compact"/>
              <w:jc w:val="left"/>
            </w:pPr>
            <w:r>
              <w:t xml:space="preserve">yes — TDPSA, 1 Jul 2024</w:t>
            </w:r>
          </w:p>
        </w:tc>
        <w:tc>
          <w:tcPr/>
          <w:p>
            <w:pPr>
              <w:pStyle w:val="Compact"/>
              <w:jc w:val="left"/>
            </w:pPr>
            <w:r>
              <w:rPr>
                <w:bCs/>
                <w:b/>
              </w:rPr>
              <w:t xml:space="preserve">TRAIGA / HB 149, eff. 1 Jan 2026</w:t>
            </w:r>
            <w:r>
              <w:t xml:space="preserve"> </w:t>
            </w:r>
            <w:r>
              <w:t xml:space="preserve">(intent-based discrimination standard); CUBI</w:t>
            </w:r>
          </w:p>
        </w:tc>
        <w:tc>
          <w:tcPr/>
          <w:p>
            <w:pPr>
              <w:pStyle w:val="Compact"/>
              <w:jc w:val="left"/>
            </w:pPr>
            <w:r>
              <w:t xml:space="preserve">N</w:t>
            </w:r>
          </w:p>
        </w:tc>
      </w:tr>
      <w:tr>
        <w:tc>
          <w:tcPr/>
          <w:p>
            <w:pPr>
              <w:pStyle w:val="Compact"/>
              <w:jc w:val="left"/>
            </w:pPr>
            <w:r>
              <w:t xml:space="preserve">Utah</w:t>
            </w:r>
          </w:p>
        </w:tc>
        <w:tc>
          <w:tcPr/>
          <w:p>
            <w:pPr>
              <w:pStyle w:val="Compact"/>
              <w:jc w:val="left"/>
            </w:pPr>
            <w:r>
              <w:rPr>
                <w:bCs/>
                <w:b/>
              </w:rPr>
              <w:t xml:space="preserve">Student Data Protection Act, Utah Code §§ 53E-9-301 ff., esp. § 53E-9-309; HB 55 (2026), eff. 1 Jul 2026</w:t>
            </w:r>
          </w:p>
        </w:tc>
        <w:tc>
          <w:tcPr/>
          <w:p>
            <w:pPr>
              <w:pStyle w:val="Compact"/>
              <w:jc w:val="left"/>
            </w:pPr>
            <w:r>
              <w:t xml:space="preserve">yes — UCPA, 31 Dec 2023; right to correct added 1 Jul 2026</w:t>
            </w:r>
          </w:p>
        </w:tc>
        <w:tc>
          <w:tcPr/>
          <w:p>
            <w:pPr>
              <w:pStyle w:val="Compact"/>
              <w:jc w:val="left"/>
            </w:pPr>
            <w:r>
              <w:t xml:space="preserve">AI Policy Act (SB 149, as amended);</w:t>
            </w:r>
            <w:r>
              <w:t xml:space="preserve"> </w:t>
            </w:r>
            <w:r>
              <w:rPr>
                <w:bCs/>
                <w:b/>
              </w:rPr>
              <w:t xml:space="preserve">HB 273 (2026)</w:t>
            </w:r>
            <w:r>
              <w:t xml:space="preserve">; HB 218</w:t>
            </w:r>
          </w:p>
        </w:tc>
        <w:tc>
          <w:tcPr/>
          <w:p>
            <w:pPr>
              <w:pStyle w:val="Compact"/>
              <w:jc w:val="left"/>
            </w:pPr>
            <w:r>
              <w:t xml:space="preserve">Y (general)</w:t>
            </w:r>
          </w:p>
        </w:tc>
      </w:tr>
      <w:tr>
        <w:tc>
          <w:tcPr/>
          <w:p>
            <w:pPr>
              <w:pStyle w:val="Compact"/>
              <w:jc w:val="left"/>
            </w:pPr>
            <w:r>
              <w:t xml:space="preserve">Vermont</w:t>
            </w:r>
          </w:p>
        </w:tc>
        <w:tc>
          <w:tcPr/>
          <w:p>
            <w:pPr>
              <w:pStyle w:val="Compact"/>
              <w:jc w:val="left"/>
            </w:pPr>
            <w:r>
              <w:t xml:space="preserve">16 V.S.A. § 2773a (agg.)</w:t>
            </w:r>
          </w:p>
        </w:tc>
        <w:tc>
          <w:tcPr/>
          <w:p>
            <w:pPr>
              <w:pStyle w:val="Compact"/>
              <w:jc w:val="left"/>
            </w:pPr>
            <w:r>
              <w:t xml:space="preserve">no —</w:t>
            </w:r>
            <w:r>
              <w:t xml:space="preserve"> </w:t>
            </w:r>
            <w:r>
              <w:rPr>
                <w:bCs/>
                <w:b/>
              </w:rPr>
              <w:t xml:space="preserve">VDPOSA (S.71) eff. 1 Jan 2028</w:t>
            </w:r>
          </w:p>
        </w:tc>
        <w:tc>
          <w:tcPr/>
          <w:p>
            <w:pPr>
              <w:pStyle w:val="Compact"/>
              <w:jc w:val="left"/>
            </w:pPr>
            <w:r>
              <w:t xml:space="preserve">none</w:t>
            </w:r>
          </w:p>
        </w:tc>
        <w:tc>
          <w:tcPr/>
          <w:p>
            <w:pPr>
              <w:pStyle w:val="Compact"/>
              <w:jc w:val="left"/>
            </w:pPr>
            <w:r>
              <w:t xml:space="preserve">Y — educators must review all outputs</w:t>
            </w:r>
          </w:p>
        </w:tc>
      </w:tr>
      <w:tr>
        <w:tc>
          <w:tcPr/>
          <w:p>
            <w:pPr>
              <w:pStyle w:val="Compact"/>
              <w:jc w:val="left"/>
            </w:pPr>
            <w:r>
              <w:t xml:space="preserve">Virginia</w:t>
            </w:r>
          </w:p>
        </w:tc>
        <w:tc>
          <w:tcPr/>
          <w:p>
            <w:pPr>
              <w:pStyle w:val="Compact"/>
              <w:jc w:val="left"/>
            </w:pPr>
            <w:r>
              <w:rPr>
                <w:bCs/>
                <w:b/>
              </w:rPr>
              <w:t xml:space="preserve">Va. Code § 22.1-289.01</w:t>
            </w:r>
            <w:r>
              <w:t xml:space="preserve">; § 22.1-287.02</w:t>
            </w:r>
          </w:p>
        </w:tc>
        <w:tc>
          <w:tcPr/>
          <w:p>
            <w:pPr>
              <w:pStyle w:val="Compact"/>
              <w:jc w:val="left"/>
            </w:pPr>
            <w:r>
              <w:t xml:space="preserve">yes — VCDPA, 1 Jan 2023</w:t>
            </w:r>
          </w:p>
        </w:tc>
        <w:tc>
          <w:tcPr/>
          <w:p>
            <w:pPr>
              <w:pStyle w:val="Compact"/>
              <w:jc w:val="left"/>
            </w:pPr>
            <w:r>
              <w:rPr>
                <w:bCs/>
                <w:b/>
              </w:rPr>
              <w:t xml:space="preserve">HB 1186 (2026), eff. 1 Jul 2026</w:t>
            </w:r>
            <w:r>
              <w:t xml:space="preserve"> </w:t>
            </w:r>
            <w:r>
              <w:t xml:space="preserve">— guidance must address FERPA, COPPA, bias,</w:t>
            </w:r>
            <w:r>
              <w:t xml:space="preserve"> </w:t>
            </w:r>
            <w:r>
              <w:rPr>
                <w:bCs/>
                <w:b/>
              </w:rPr>
              <w:t xml:space="preserve">high-stakes decisions</w:t>
            </w:r>
          </w:p>
        </w:tc>
        <w:tc>
          <w:tcPr/>
          <w:p>
            <w:pPr>
              <w:pStyle w:val="Compact"/>
              <w:jc w:val="left"/>
            </w:pPr>
            <w:r>
              <w:t xml:space="preserve">Y (general)</w:t>
            </w:r>
          </w:p>
        </w:tc>
      </w:tr>
      <w:tr>
        <w:tc>
          <w:tcPr/>
          <w:p>
            <w:pPr>
              <w:pStyle w:val="Compact"/>
              <w:jc w:val="left"/>
            </w:pPr>
            <w:r>
              <w:t xml:space="preserve">Washington</w:t>
            </w:r>
          </w:p>
        </w:tc>
        <w:tc>
          <w:tcPr/>
          <w:p>
            <w:pPr>
              <w:pStyle w:val="Compact"/>
              <w:jc w:val="left"/>
            </w:pPr>
            <w:r>
              <w:rPr>
                <w:bCs/>
                <w:b/>
              </w:rPr>
              <w:t xml:space="preserve">Student User Privacy in Education Rights Act, RCW ch. 28A.604</w:t>
            </w:r>
          </w:p>
        </w:tc>
        <w:tc>
          <w:tcPr/>
          <w:p>
            <w:pPr>
              <w:pStyle w:val="Compact"/>
              <w:jc w:val="left"/>
            </w:pPr>
            <w:r>
              <w:t xml:space="preserve">no</w:t>
            </w:r>
          </w:p>
        </w:tc>
        <w:tc>
          <w:tcPr/>
          <w:p>
            <w:pPr>
              <w:pStyle w:val="Compact"/>
              <w:jc w:val="left"/>
            </w:pPr>
            <w:r>
              <w:t xml:space="preserve">HB 2225 (companion chatbots — inapplicable)</w:t>
            </w:r>
          </w:p>
        </w:tc>
        <w:tc>
          <w:tcPr/>
          <w:p>
            <w:pPr>
              <w:pStyle w:val="Compact"/>
              <w:jc w:val="left"/>
            </w:pPr>
            <w:r>
              <w:t xml:space="preserve">Y —</w:t>
            </w:r>
            <w:r>
              <w:t xml:space="preserve"> </w:t>
            </w:r>
            <w:r>
              <w:t xml:space="preserve">“</w:t>
            </w:r>
            <w:r>
              <w:t xml:space="preserve">Human–AI–Human</w:t>
            </w:r>
            <w:r>
              <w:t xml:space="preserve">”</w:t>
            </w:r>
            <w:r>
              <w:t xml:space="preserve"> </w:t>
            </w:r>
            <w:r>
              <w:t xml:space="preserve">framing</w:t>
            </w:r>
          </w:p>
        </w:tc>
      </w:tr>
      <w:tr>
        <w:tc>
          <w:tcPr/>
          <w:p>
            <w:pPr>
              <w:pStyle w:val="Compact"/>
              <w:jc w:val="left"/>
            </w:pPr>
            <w:r>
              <w:t xml:space="preserve">West Virginia</w:t>
            </w:r>
          </w:p>
        </w:tc>
        <w:tc>
          <w:tcPr/>
          <w:p>
            <w:pPr>
              <w:pStyle w:val="Compact"/>
              <w:jc w:val="left"/>
            </w:pPr>
            <w:r>
              <w:t xml:space="preserve">W. Va. Code § 18-2-5h</w:t>
            </w:r>
          </w:p>
        </w:tc>
        <w:tc>
          <w:tcPr/>
          <w:p>
            <w:pPr>
              <w:pStyle w:val="Compact"/>
              <w:jc w:val="left"/>
            </w:pPr>
            <w:r>
              <w:t xml:space="preserve">no</w:t>
            </w:r>
          </w:p>
        </w:tc>
        <w:tc>
          <w:tcPr/>
          <w:p>
            <w:pPr>
              <w:pStyle w:val="Compact"/>
              <w:jc w:val="left"/>
            </w:pPr>
            <w:r>
              <w:t xml:space="preserve">HB 5205 (2026) — reported to bar AI</w:t>
            </w:r>
            <w:r>
              <w:t xml:space="preserve"> </w:t>
            </w:r>
            <w:r>
              <w:t xml:space="preserve">“</w:t>
            </w:r>
            <w:r>
              <w:t xml:space="preserve">independently making high-stakes student decisions</w:t>
            </w:r>
            <w:r>
              <w:t xml:space="preserve">”</w:t>
            </w:r>
            <w:r>
              <w:t xml:space="preserve">;</w:t>
            </w:r>
            <w:r>
              <w:t xml:space="preserve"> </w:t>
            </w:r>
            <w:r>
              <w:rPr>
                <w:bCs/>
                <w:b/>
              </w:rPr>
              <w:t xml:space="preserve">status unverified</w:t>
            </w:r>
          </w:p>
        </w:tc>
        <w:tc>
          <w:tcPr/>
          <w:p>
            <w:pPr>
              <w:pStyle w:val="Compact"/>
              <w:jc w:val="left"/>
            </w:pPr>
            <w:r>
              <w:t xml:space="preserve">Y (general)</w:t>
            </w:r>
          </w:p>
        </w:tc>
      </w:tr>
      <w:tr>
        <w:tc>
          <w:tcPr/>
          <w:p>
            <w:pPr>
              <w:pStyle w:val="Compact"/>
              <w:jc w:val="left"/>
            </w:pPr>
            <w:r>
              <w:t xml:space="preserve">Wisconsin</w:t>
            </w:r>
          </w:p>
        </w:tc>
        <w:tc>
          <w:tcPr/>
          <w:p>
            <w:pPr>
              <w:pStyle w:val="Compact"/>
              <w:jc w:val="left"/>
            </w:pPr>
            <w:r>
              <w:t xml:space="preserve">Wis. Stat. § 118.125 (pupil records)</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(general)</w:t>
            </w:r>
          </w:p>
        </w:tc>
      </w:tr>
      <w:tr>
        <w:tc>
          <w:tcPr/>
          <w:p>
            <w:pPr>
              <w:pStyle w:val="Compact"/>
              <w:jc w:val="left"/>
            </w:pPr>
            <w:r>
              <w:t xml:space="preserve">Wyoming</w:t>
            </w:r>
          </w:p>
        </w:tc>
        <w:tc>
          <w:tcPr/>
          <w:p>
            <w:pPr>
              <w:pStyle w:val="Compact"/>
              <w:jc w:val="left"/>
            </w:pPr>
            <w:r>
              <w:t xml:space="preserve">none specific (agg.)</w:t>
            </w:r>
          </w:p>
        </w:tc>
        <w:tc>
          <w:tcPr/>
          <w:p>
            <w:pPr>
              <w:pStyle w:val="Compact"/>
              <w:jc w:val="left"/>
            </w:pPr>
            <w:r>
              <w:t xml:space="preserve">no</w:t>
            </w:r>
          </w:p>
        </w:tc>
        <w:tc>
          <w:tcPr/>
          <w:p>
            <w:pPr>
              <w:pStyle w:val="Compact"/>
              <w:jc w:val="left"/>
            </w:pPr>
            <w:r>
              <w:t xml:space="preserve">none</w:t>
            </w:r>
          </w:p>
        </w:tc>
        <w:tc>
          <w:tcPr/>
          <w:p>
            <w:pPr>
              <w:pStyle w:val="Compact"/>
              <w:jc w:val="left"/>
            </w:pPr>
            <w:r>
              <w:t xml:space="preserve">Y (general)</w:t>
            </w:r>
          </w:p>
        </w:tc>
      </w:tr>
    </w:tbl>
    <w:p>
      <w:pPr>
        <w:pStyle w:val="BodyText"/>
      </w:pPr>
      <w:r>
        <w:rPr>
          <w:bCs/>
          <w:b/>
        </w:rPr>
        <w:t xml:space="preserve">Three corrections to widely used trackers.</w:t>
      </w:r>
      <w:r>
        <w:t xml:space="preserve"> </w:t>
      </w:r>
      <w:r>
        <w:t xml:space="preserve">Illinois has</w:t>
      </w:r>
      <w:r>
        <w:t xml:space="preserve"> </w:t>
      </w:r>
      <w:r>
        <w:rPr>
          <w:bCs/>
          <w:b/>
        </w:rPr>
        <w:t xml:space="preserve">no</w:t>
      </w:r>
      <w:r>
        <w:t xml:space="preserve"> </w:t>
      </w:r>
      <w:r>
        <w:t xml:space="preserve">comprehensive consumer privacy law (a frequently circulated entry to the contrary belongs to Indiana’s SB 5). Arkansas’s claimed comprehensive law is not listed by the IAPP tracker and should be treated as not in force; what Arkansas verifiably has is a children-and-teens online privacy act with changes effective 1 July 2026. And South Carolina H.5253 is listed as enacted by at least one tracker but the legislature’s own page shows it introduced on 24 February 2026 and sitting in committee — the primary source wins, and no planning should be based on it.</w:t>
      </w:r>
    </w:p>
    <w:bookmarkEnd w:id="90"/>
    <w:bookmarkEnd w:id="91"/>
    <w:bookmarkStart w:id="95" w:name="consolidated-compliance-requirements"/>
    <w:p>
      <w:pPr>
        <w:pStyle w:val="Heading2"/>
      </w:pPr>
      <w:r>
        <w:t xml:space="preserve">12. Consolidated compliance requirements</w:t>
      </w:r>
    </w:p>
    <w:p>
      <w:pPr>
        <w:pStyle w:val="FirstParagraph"/>
      </w:pPr>
      <w:r>
        <w:t xml:space="preserve">The requirements below are drawn from the law of all three jurisdictions and are stated as obligations on an AI-supported exam-grading system and on the institution deploying it. Many of them recur in all three jurisdictions, reached by different legal routes.</w:t>
      </w:r>
    </w:p>
    <w:bookmarkStart w:id="92" w:name="mandatory-requirements"/>
    <w:p>
      <w:pPr>
        <w:pStyle w:val="Heading3"/>
      </w:pPr>
      <w:r>
        <w:t xml:space="preserve">12.1 Mandatory requirements</w:t>
      </w:r>
    </w:p>
    <w:p>
      <w:pPr>
        <w:numPr>
          <w:ilvl w:val="0"/>
          <w:numId w:val="1018"/>
        </w:numPr>
        <w:pStyle w:val="Compact"/>
      </w:pPr>
      <w:r>
        <w:rPr>
          <w:bCs/>
          <w:b/>
        </w:rPr>
        <w:t xml:space="preserve">No auto-accept, no bulk-accept, no timeout-accept — in any jurisdiction.</w:t>
      </w:r>
      <w:r>
        <w:t xml:space="preserve"> </w:t>
      </w:r>
      <w:r>
        <w:t xml:space="preserve">Per-item human review with the</w:t>
      </w:r>
      <w:r>
        <w:t xml:space="preserve"> </w:t>
      </w:r>
      <w:r>
        <w:rPr>
          <w:bCs/>
          <w:b/>
        </w:rPr>
        <w:t xml:space="preserve">script and the proposal side by side</w:t>
      </w:r>
      <w:r>
        <w:t xml:space="preserve">, and no mark enterable without the script in view. Satisfies: GDPR Art. 22 / WP251; the DSK’s</w:t>
      </w:r>
      <w:r>
        <w:t xml:space="preserve"> </w:t>
      </w:r>
      <w:r>
        <w:rPr>
          <w:iCs/>
          <w:i/>
        </w:rPr>
        <w:t xml:space="preserve">tatsächlicher Entscheidungsspielraum</w:t>
      </w:r>
      <w:r>
        <w:t xml:space="preserve"> </w:t>
      </w:r>
      <w:r>
        <w:t xml:space="preserve">test; BVerwG’s</w:t>
      </w:r>
      <w:r>
        <w:t xml:space="preserve"> </w:t>
      </w:r>
      <w:r>
        <w:rPr>
          <w:iCs/>
          <w:i/>
        </w:rPr>
        <w:t xml:space="preserve">persönlich unmittelbar und vollständig zur Kenntnis nehmen</w:t>
      </w:r>
      <w:r>
        <w:t xml:space="preserve">; UK Art. 22A and the ICO’s draft per-decision requirement; JCQ’s</w:t>
      </w:r>
      <w:r>
        <w:t xml:space="preserve"> </w:t>
      </w:r>
      <w:r>
        <w:rPr>
          <w:iCs/>
          <w:i/>
        </w:rPr>
        <w:t xml:space="preserve">“</w:t>
      </w:r>
      <w:r>
        <w:rPr>
          <w:iCs/>
          <w:i/>
        </w:rPr>
        <w:t xml:space="preserve">review all the work in its entirety</w:t>
      </w:r>
      <w:r>
        <w:rPr>
          <w:iCs/>
          <w:i/>
        </w:rPr>
        <w:t xml:space="preserve">”</w:t>
      </w:r>
      <w:r>
        <w:t xml:space="preserve">; the California ADMT safe harbour; Colorado’s meaningful human review; and Oklahoma SB 1734.</w:t>
      </w:r>
    </w:p>
    <w:p>
      <w:pPr>
        <w:numPr>
          <w:ilvl w:val="0"/>
          <w:numId w:val="1018"/>
        </w:numPr>
        <w:pStyle w:val="Compact"/>
      </w:pPr>
      <w:r>
        <w:rPr>
          <w:bCs/>
          <w:b/>
        </w:rPr>
        <w:t xml:space="preserve">Teacher-authored rubrics.</w:t>
      </w:r>
      <w:r>
        <w:t xml:space="preserve"> </w:t>
      </w:r>
      <w:r>
        <w:t xml:space="preserve">The model applies the examiner’s rubric; it does not supply one. Required by the German</w:t>
      </w:r>
      <w:r>
        <w:t xml:space="preserve"> </w:t>
      </w:r>
      <w:r>
        <w:rPr>
          <w:iCs/>
          <w:i/>
        </w:rPr>
        <w:t xml:space="preserve">autonomes Bezugssystem</w:t>
      </w:r>
      <w:r>
        <w:t xml:space="preserve"> </w:t>
      </w:r>
      <w:r>
        <w:t xml:space="preserve">doctrine and consistent with the requirements of the other two jurisdictions.</w:t>
      </w:r>
    </w:p>
    <w:p>
      <w:pPr>
        <w:numPr>
          <w:ilvl w:val="0"/>
          <w:numId w:val="1018"/>
        </w:numPr>
        <w:pStyle w:val="Compact"/>
      </w:pPr>
      <w:r>
        <w:rPr>
          <w:bCs/>
          <w:b/>
        </w:rPr>
        <w:t xml:space="preserve">Deterministic, reproducible scoring across a batch.</w:t>
      </w:r>
      <w:r>
        <w:t xml:space="preserve"> </w:t>
      </w:r>
      <w:r>
        <w:t xml:space="preserve">A model that scores the same script differently on two runs creates a</w:t>
      </w:r>
      <w:r>
        <w:t xml:space="preserve"> </w:t>
      </w:r>
      <w:r>
        <w:rPr>
          <w:iCs/>
          <w:i/>
        </w:rPr>
        <w:t xml:space="preserve">Chancengleichheit</w:t>
      </w:r>
      <w:r>
        <w:t xml:space="preserve"> </w:t>
      </w:r>
      <w:r>
        <w:t xml:space="preserve">defect under Art. 3(1) GG and an accuracy defect under GDPR Art. 5(1)(d) and AI Act Art. 15. This is an engineering constraint with a constitutional-law origin.</w:t>
      </w:r>
    </w:p>
    <w:p>
      <w:pPr>
        <w:numPr>
          <w:ilvl w:val="0"/>
          <w:numId w:val="1018"/>
        </w:numPr>
        <w:pStyle w:val="Compact"/>
      </w:pPr>
      <w:r>
        <w:rPr>
          <w:bCs/>
          <w:b/>
        </w:rPr>
        <w:t xml:space="preserve">Model training on customer content OFF by default</w:t>
      </w:r>
      <w:r>
        <w:t xml:space="preserve">, per-tenant switch, contractually and technically enforced. Required or strongly indicated by: GDPR purpose limitation and EDPB Opinion 28/2024; FERPA § 99.33(a)(2); COPPA § 312.10; California SOPIPA; DfE’s IP standard and DfE’s own published worked example of a school rejecting a supplier for exactly this; and the ICO edtech findings. A bounded, opt-in</w:t>
      </w:r>
      <w:r>
        <w:t xml:space="preserve"> </w:t>
      </w:r>
      <w:r>
        <w:rPr>
          <w:bCs/>
          <w:b/>
        </w:rPr>
        <w:t xml:space="preserve">validation/calibration study</w:t>
      </w:r>
      <w:r>
        <w:t xml:space="preserve"> </w:t>
      </w:r>
      <w:r>
        <w:t xml:space="preserve">instrument is the alternative route (FERPA § 99.31(a)(6) is the cleanest vehicle).</w:t>
      </w:r>
    </w:p>
    <w:p>
      <w:pPr>
        <w:numPr>
          <w:ilvl w:val="0"/>
          <w:numId w:val="1018"/>
        </w:numPr>
        <w:pStyle w:val="Compact"/>
      </w:pPr>
      <w:r>
        <w:rPr>
          <w:bCs/>
          <w:b/>
        </w:rPr>
        <w:t xml:space="preserve">EU/UK data residency option, and zero-retention model endpoints</w:t>
      </w:r>
      <w:r>
        <w:t xml:space="preserve">, so that no adequacy decision is load-bearing.</w:t>
      </w:r>
    </w:p>
    <w:p>
      <w:pPr>
        <w:numPr>
          <w:ilvl w:val="0"/>
          <w:numId w:val="1018"/>
        </w:numPr>
        <w:pStyle w:val="Compact"/>
      </w:pPr>
      <w:r>
        <w:rPr>
          <w:bCs/>
          <w:b/>
        </w:rPr>
        <w:t xml:space="preserve">Per-script audit record, durable, exportable and archivable:</w:t>
      </w:r>
      <w:r>
        <w:t xml:space="preserve"> </w:t>
      </w:r>
      <w:r>
        <w:t xml:space="preserve">original scan, rubric version</w:t>
      </w:r>
      <w:r>
        <w:t xml:space="preserve"> </w:t>
      </w:r>
      <w:r>
        <w:rPr>
          <w:bCs/>
          <w:b/>
        </w:rPr>
        <w:t xml:space="preserve">and criterion weights</w:t>
      </w:r>
      <w:r>
        <w:t xml:space="preserve">, model version, proposal and rationale,</w:t>
      </w:r>
      <w:r>
        <w:t xml:space="preserve"> </w:t>
      </w:r>
      <w:r>
        <w:rPr>
          <w:bCs/>
          <w:b/>
        </w:rPr>
        <w:t xml:space="preserve">which suggestions the teacher adopted and which were changed</w:t>
      </w:r>
      <w:r>
        <w:t xml:space="preserve">, the teacher’s own reasons, final mark, reviewer identity and timestamp. Retention must survive an objection and any subsequent court review — the vlbs submission to the NRW hearing asks for exactly this list, including archiving, which makes it a published sector requirement rather than an inference. This single artefact answers AI Act Art. 12 logging, the</w:t>
      </w:r>
      <w:r>
        <w:t xml:space="preserve"> </w:t>
      </w:r>
      <w:r>
        <w:rPr>
          <w:iCs/>
          <w:i/>
        </w:rPr>
        <w:t xml:space="preserve">Überdenkensverfahren</w:t>
      </w:r>
      <w:r>
        <w:t xml:space="preserve">, the Art. 22</w:t>
      </w:r>
      <w:r>
        <w:t xml:space="preserve"> </w:t>
      </w:r>
      <w:r>
        <w:t xml:space="preserve">“</w:t>
      </w:r>
      <w:r>
        <w:t xml:space="preserve">meaningful review</w:t>
      </w:r>
      <w:r>
        <w:t xml:space="preserve">”</w:t>
      </w:r>
      <w:r>
        <w:t xml:space="preserve"> </w:t>
      </w:r>
      <w:r>
        <w:t xml:space="preserve">question, US accreditation and</w:t>
      </w:r>
      <w:r>
        <w:t xml:space="preserve"> </w:t>
      </w:r>
      <w:r>
        <w:t xml:space="preserve">“</w:t>
      </w:r>
      <w:r>
        <w:t xml:space="preserve">regular and substantive interaction</w:t>
      </w:r>
      <w:r>
        <w:t xml:space="preserve">”</w:t>
      </w:r>
      <w:r>
        <w:t xml:space="preserve">, and every district privacy review.</w:t>
      </w:r>
    </w:p>
    <w:p>
      <w:pPr>
        <w:numPr>
          <w:ilvl w:val="0"/>
          <w:numId w:val="1018"/>
        </w:numPr>
        <w:pStyle w:val="Compact"/>
      </w:pPr>
      <w:r>
        <w:rPr>
          <w:bCs/>
          <w:b/>
        </w:rPr>
        <w:t xml:space="preserve">Measured override and divergence rates — aggregate only.</w:t>
      </w:r>
      <w:r>
        <w:t xml:space="preserve"> </w:t>
      </w:r>
      <w:r>
        <w:t xml:space="preserve">These are among the most probative compliance artefacts available, and correspondingly sensitive if exposed per teacher (German co-determination). Aggregate, k-anonymised, switchable off at deployment.</w:t>
      </w:r>
    </w:p>
    <w:p>
      <w:pPr>
        <w:numPr>
          <w:ilvl w:val="0"/>
          <w:numId w:val="1018"/>
        </w:numPr>
        <w:pStyle w:val="Compact"/>
      </w:pPr>
      <w:r>
        <w:rPr>
          <w:bCs/>
          <w:b/>
        </w:rPr>
        <w:t xml:space="preserve">Calibrated confidence, never unjustified confidence.</w:t>
      </w:r>
      <w:r>
        <w:t xml:space="preserve"> </w:t>
      </w:r>
      <w:r>
        <w:t xml:space="preserve">Required by DfE’s Manipulation standard for teacher-facing products. Low-confidence items flagged for mandatory attention; a mark is never to be presented as settled.</w:t>
      </w:r>
    </w:p>
    <w:p>
      <w:pPr>
        <w:numPr>
          <w:ilvl w:val="0"/>
          <w:numId w:val="1018"/>
        </w:numPr>
        <w:pStyle w:val="Compact"/>
      </w:pPr>
      <w:r>
        <w:rPr>
          <w:bCs/>
          <w:b/>
        </w:rPr>
        <w:t xml:space="preserve">Special-category handling.</w:t>
      </w:r>
      <w:r>
        <w:t xml:space="preserve"> </w:t>
      </w:r>
      <w:r>
        <w:t xml:space="preserve">Scripts must be assumed to contain Art. 9 / special category data. No path may exist on which a solely-automated significant decision can occur on such data (UK Art. 22B). Special-category fields optional and disabled by default.</w:t>
      </w:r>
    </w:p>
    <w:p>
      <w:pPr>
        <w:numPr>
          <w:ilvl w:val="0"/>
          <w:numId w:val="1018"/>
        </w:numPr>
        <w:pStyle w:val="Compact"/>
      </w:pPr>
      <w:r>
        <w:rPr>
          <w:bCs/>
          <w:b/>
        </w:rPr>
        <w:t xml:space="preserve">Per-student rubric modification</w:t>
      </w:r>
      <w:r>
        <w:t xml:space="preserve">, evidenced. Without it the system cannot implement a 504 plan, a SEND access arrangement, or a</w:t>
      </w:r>
      <w:r>
        <w:t xml:space="preserve"> </w:t>
      </w:r>
      <w:r>
        <w:rPr>
          <w:iCs/>
          <w:i/>
        </w:rPr>
        <w:t xml:space="preserve">Nachteilsausgleich</w:t>
      </w:r>
      <w:r>
        <w:t xml:space="preserve">.</w:t>
      </w:r>
    </w:p>
    <w:p>
      <w:pPr>
        <w:numPr>
          <w:ilvl w:val="0"/>
          <w:numId w:val="1018"/>
        </w:numPr>
        <w:pStyle w:val="Compact"/>
      </w:pPr>
      <w:r>
        <w:rPr>
          <w:bCs/>
          <w:b/>
        </w:rPr>
        <w:t xml:space="preserve">Typed scripts scored identically to handwritten ones</w:t>
      </w:r>
      <w:r>
        <w:t xml:space="preserve"> </w:t>
      </w:r>
      <w:r>
        <w:t xml:space="preserve">— a scribe or word processor is an accommodation, not a different assessment.</w:t>
      </w:r>
    </w:p>
    <w:p>
      <w:pPr>
        <w:numPr>
          <w:ilvl w:val="0"/>
          <w:numId w:val="1018"/>
        </w:numPr>
        <w:pStyle w:val="Compact"/>
      </w:pPr>
      <w:r>
        <w:rPr>
          <w:bCs/>
          <w:b/>
        </w:rPr>
        <w:t xml:space="preserve">Transcription-confidence floor.</w:t>
      </w:r>
      <w:r>
        <w:t xml:space="preserve"> </w:t>
      </w:r>
      <w:r>
        <w:t xml:space="preserve">A script whose transcription confidence falls below a threshold is never scored; it is routed to the teacher with the original image.</w:t>
      </w:r>
    </w:p>
    <w:p>
      <w:pPr>
        <w:numPr>
          <w:ilvl w:val="0"/>
          <w:numId w:val="1018"/>
        </w:numPr>
        <w:pStyle w:val="Compact"/>
      </w:pPr>
      <w:r>
        <w:rPr>
          <w:bCs/>
          <w:b/>
        </w:rPr>
        <w:t xml:space="preserve">Hard architectural prohibitions</w:t>
      </w:r>
      <w:r>
        <w:t xml:space="preserve">, enforced technically rather than by policy:</w:t>
      </w:r>
      <w:r>
        <w:t xml:space="preserve"> </w:t>
      </w:r>
      <w:r>
        <w:rPr>
          <w:bCs/>
          <w:b/>
        </w:rPr>
        <w:t xml:space="preserve">no emotion or affect inference</w:t>
      </w:r>
      <w:r>
        <w:t xml:space="preserve"> </w:t>
      </w:r>
      <w:r>
        <w:t xml:space="preserve">(AI Act Art. 5(1)(f), prohibited, €35m/7% tier; PPRA category (2));</w:t>
      </w:r>
      <w:r>
        <w:t xml:space="preserve"> </w:t>
      </w:r>
      <w:r>
        <w:rPr>
          <w:bCs/>
          <w:b/>
        </w:rPr>
        <w:t xml:space="preserve">no face-geometry processing</w:t>
      </w:r>
      <w:r>
        <w:t xml:space="preserve"> </w:t>
      </w:r>
      <w:r>
        <w:t xml:space="preserve">(Illinois BIPA private right of action);</w:t>
      </w:r>
      <w:r>
        <w:t xml:space="preserve"> </w:t>
      </w:r>
      <w:r>
        <w:rPr>
          <w:bCs/>
          <w:b/>
        </w:rPr>
        <w:t xml:space="preserve">no writer verification or handwriting-based identification</w:t>
      </w:r>
      <w:r>
        <w:t xml:space="preserve"> </w:t>
      </w:r>
      <w:r>
        <w:t xml:space="preserve">without a full Art. 9 / AI Act biometric re-assessment;</w:t>
      </w:r>
      <w:r>
        <w:t xml:space="preserve"> </w:t>
      </w:r>
      <w:r>
        <w:rPr>
          <w:bCs/>
          <w:b/>
        </w:rPr>
        <w:t xml:space="preserve">no student-facing content sharing or live web search</w:t>
      </w:r>
      <w:r>
        <w:t xml:space="preserve"> </w:t>
      </w:r>
      <w:r>
        <w:t xml:space="preserve">(UK Online Safety Act);</w:t>
      </w:r>
      <w:r>
        <w:t xml:space="preserve"> </w:t>
      </w:r>
      <w:r>
        <w:rPr>
          <w:bCs/>
          <w:b/>
        </w:rPr>
        <w:t xml:space="preserve">no per-teacher performance reporting</w:t>
      </w:r>
      <w:r>
        <w:t xml:space="preserve"> </w:t>
      </w:r>
      <w:r>
        <w:t xml:space="preserve">by default.</w:t>
      </w:r>
    </w:p>
    <w:p>
      <w:pPr>
        <w:numPr>
          <w:ilvl w:val="0"/>
          <w:numId w:val="1018"/>
        </w:numPr>
        <w:pStyle w:val="Compact"/>
      </w:pPr>
      <w:r>
        <w:rPr>
          <w:bCs/>
          <w:b/>
        </w:rPr>
        <w:t xml:space="preserve">No third-party teaching material into the model without a licence position.</w:t>
      </w:r>
      <w:r>
        <w:t xml:space="preserve"> </w:t>
      </w:r>
      <w:r>
        <w:t xml:space="preserve">The GEW submission to the NRW hearing raises copyright where</w:t>
      </w:r>
      <w:r>
        <w:t xml:space="preserve"> </w:t>
      </w:r>
      <w:r>
        <w:rPr>
          <w:bCs/>
          <w:b/>
        </w:rPr>
        <w:t xml:space="preserve">textbook content</w:t>
      </w:r>
      <w:r>
        <w:t xml:space="preserve"> </w:t>
      </w:r>
      <w:r>
        <w:t xml:space="preserve">is supplied to a model — mark schemes, source extracts and exam passages are frequently publisher material. This sits alongside the pupil-copyright constraint identified in the UK (§9.5) and is the German-side version of the same problem. The question has to be settled before a mark scheme is uploaded, not after.</w:t>
      </w:r>
    </w:p>
    <w:p>
      <w:pPr>
        <w:numPr>
          <w:ilvl w:val="0"/>
          <w:numId w:val="1018"/>
        </w:numPr>
        <w:pStyle w:val="Compact"/>
      </w:pPr>
      <w:r>
        <w:rPr>
          <w:bCs/>
          <w:b/>
        </w:rPr>
        <w:t xml:space="preserve">Sample-checking is not a substitute for per-item review.</w:t>
      </w:r>
      <w:r>
        <w:t xml:space="preserve"> </w:t>
      </w:r>
      <w:r>
        <w:t xml:space="preserve">It is the obvious efficiency shortcut and it is already contested: the GEW submission questions whether sample checks preserve human responsibility at all. A sample-check mode should not be offered or deployed as the default.</w:t>
      </w:r>
    </w:p>
    <w:p>
      <w:pPr>
        <w:numPr>
          <w:ilvl w:val="0"/>
          <w:numId w:val="1018"/>
        </w:numPr>
        <w:pStyle w:val="Compact"/>
      </w:pPr>
      <w:r>
        <w:rPr>
          <w:bCs/>
          <w:b/>
        </w:rPr>
        <w:t xml:space="preserve">Accessibility to EN 301 549 / WCAG 2.1 AA</w:t>
      </w:r>
      <w:r>
        <w:t xml:space="preserve">, with a current VPAT. Alternatives for scanned images as non-text content; no information conveyed by colour alone.</w:t>
      </w:r>
    </w:p>
    <w:bookmarkEnd w:id="92"/>
    <w:bookmarkStart w:id="93" w:name="Xeed2f07d6072060022bebabe17370119522ea9b"/>
    <w:p>
      <w:pPr>
        <w:pStyle w:val="Heading3"/>
      </w:pPr>
      <w:r>
        <w:t xml:space="preserve">12.2 Evidence, documentation and assurance requirements</w:t>
      </w:r>
    </w:p>
    <w:p>
      <w:pPr>
        <w:numPr>
          <w:ilvl w:val="0"/>
          <w:numId w:val="1019"/>
        </w:numPr>
        <w:pStyle w:val="Compact"/>
      </w:pPr>
      <w:r>
        <w:rPr>
          <w:bCs/>
          <w:b/>
        </w:rPr>
        <w:t xml:space="preserve">Stratified fairness evidence</w:t>
      </w:r>
      <w:r>
        <w:t xml:space="preserve"> </w:t>
      </w:r>
      <w:r>
        <w:t xml:space="preserve">by handwriting legibility band, EAL/L1 status, SEND or access-arrangement status, and where lawfully available ethnicity — plus a live tenant-level disparity dashboard. This is how a school discharges the Public Sector Equality Duty in the UK, how a district answers Title VI and 504 questions in the US, and how a Land ministry answers the KMK’s</w:t>
      </w:r>
      <w:r>
        <w:t xml:space="preserve"> </w:t>
      </w:r>
      <w:r>
        <w:rPr>
          <w:iCs/>
          <w:i/>
        </w:rPr>
        <w:t xml:space="preserve">Gefahr von Diskriminierung durch Bias</w:t>
      </w:r>
      <w:r>
        <w:t xml:space="preserve">.</w:t>
      </w:r>
      <w:r>
        <w:t xml:space="preserve"> </w:t>
      </w:r>
      <w:r>
        <w:rPr>
          <w:bCs/>
          <w:b/>
        </w:rPr>
        <w:t xml:space="preserve">AI Act Art. 4a gives the EU-law basis for the protected-attribute processing this requires.</w:t>
      </w:r>
    </w:p>
    <w:p>
      <w:pPr>
        <w:numPr>
          <w:ilvl w:val="0"/>
          <w:numId w:val="1019"/>
        </w:numPr>
        <w:pStyle w:val="Compact"/>
      </w:pPr>
      <w:r>
        <w:rPr>
          <w:bCs/>
          <w:b/>
        </w:rPr>
        <w:t xml:space="preserve">Combined DPIA/FRIA pack</w:t>
      </w:r>
      <w:r>
        <w:t xml:space="preserve">, framed as risk</w:t>
      </w:r>
      <w:r>
        <w:t xml:space="preserve"> </w:t>
      </w:r>
      <w:r>
        <w:rPr>
          <w:bCs/>
          <w:b/>
        </w:rPr>
        <w:t xml:space="preserve">to children</w:t>
      </w:r>
      <w:r>
        <w:t xml:space="preserve"> </w:t>
      </w:r>
      <w:r>
        <w:t xml:space="preserve">rather than organisational risk, expressly sanctioned by the amended AI Act Art. 27(4). § 14 KI-MIG makes omission of the FRIA a fineable offence for the deploying institution.</w:t>
      </w:r>
    </w:p>
    <w:p>
      <w:pPr>
        <w:numPr>
          <w:ilvl w:val="0"/>
          <w:numId w:val="1019"/>
        </w:numPr>
        <w:pStyle w:val="Compact"/>
      </w:pPr>
      <w:r>
        <w:rPr>
          <w:bCs/>
          <w:b/>
        </w:rPr>
        <w:t xml:space="preserve">Staff-council material: an information pack and a draft</w:t>
      </w:r>
      <w:r>
        <w:rPr>
          <w:bCs/>
          <w:b/>
        </w:rPr>
        <w:t xml:space="preserve"> </w:t>
      </w:r>
      <w:r>
        <w:rPr>
          <w:iCs/>
          <w:i/>
          <w:bCs/>
          <w:b/>
        </w:rPr>
        <w:t xml:space="preserve">Dienstvereinbarung</w:t>
      </w:r>
      <w:r>
        <w:rPr>
          <w:bCs/>
          <w:b/>
        </w:rPr>
        <w:t xml:space="preserve">.</w:t>
      </w:r>
      <w:r>
        <w:t xml:space="preserve"> </w:t>
      </w:r>
      <w:r>
        <w:t xml:space="preserve">Co-determination applies to the introduction of such a system in German public schools and is frequently the longest step in a deployment; councils consider the matter against a draft agreement.</w:t>
      </w:r>
    </w:p>
    <w:p>
      <w:pPr>
        <w:numPr>
          <w:ilvl w:val="0"/>
          <w:numId w:val="1019"/>
        </w:numPr>
        <w:pStyle w:val="Compact"/>
      </w:pPr>
      <w:r>
        <w:rPr>
          <w:bCs/>
          <w:b/>
        </w:rPr>
        <w:t xml:space="preserve">AI-literacy training module</w:t>
      </w:r>
      <w:r>
        <w:t xml:space="preserve"> </w:t>
      </w:r>
      <w:r>
        <w:t xml:space="preserve">shipped with the system, covering capabilities, limitations and</w:t>
      </w:r>
      <w:r>
        <w:t xml:space="preserve"> </w:t>
      </w:r>
      <w:r>
        <w:rPr>
          <w:bCs/>
          <w:b/>
        </w:rPr>
        <w:t xml:space="preserve">automation bias</w:t>
      </w:r>
      <w:r>
        <w:t xml:space="preserve">. One artefact discharges AI Act Art. 4, evidences Art. 14(4)(a)–(b), supports Art. 26(2) competence, and satisfies the WP251 competence limb.</w:t>
      </w:r>
    </w:p>
    <w:p>
      <w:pPr>
        <w:numPr>
          <w:ilvl w:val="0"/>
          <w:numId w:val="1019"/>
        </w:numPr>
        <w:pStyle w:val="Compact"/>
      </w:pPr>
      <w:r>
        <w:rPr>
          <w:bCs/>
          <w:b/>
        </w:rPr>
        <w:t xml:space="preserve">Published clause-by-clause self-assessment against the DfE Generative AI product safety standards.</w:t>
      </w:r>
      <w:r>
        <w:t xml:space="preserve"> </w:t>
      </w:r>
      <w:r>
        <w:t xml:space="preserve">No certification scheme exists, so conformity with those standards can only be evidenced by self-assessment.</w:t>
      </w:r>
    </w:p>
    <w:p>
      <w:pPr>
        <w:numPr>
          <w:ilvl w:val="0"/>
          <w:numId w:val="1019"/>
        </w:numPr>
        <w:pStyle w:val="Compact"/>
      </w:pPr>
      <w:r>
        <w:rPr>
          <w:bCs/>
          <w:b/>
        </w:rPr>
        <w:t xml:space="preserve">Empirical evidence on handwriting-transcription bias.</w:t>
      </w:r>
      <w:r>
        <w:t xml:space="preserve"> </w:t>
      </w:r>
      <w:r>
        <w:t xml:space="preserve">No published evidence base on it was found in this review, so the accuracy and bias validation required by AI Act Arts. 10 and 15 cannot rest on external literature and has to be generated for the pipeline in question.</w:t>
      </w:r>
    </w:p>
    <w:p>
      <w:pPr>
        <w:numPr>
          <w:ilvl w:val="0"/>
          <w:numId w:val="1019"/>
        </w:numPr>
        <w:pStyle w:val="Compact"/>
      </w:pPr>
      <w:r>
        <w:rPr>
          <w:bCs/>
          <w:b/>
        </w:rPr>
        <w:t xml:space="preserve">Voluntary ATRS-format transparency record</w:t>
      </w:r>
      <w:r>
        <w:t xml:space="preserve"> </w:t>
      </w:r>
      <w:r>
        <w:t xml:space="preserve">for UK public-sector buyers.</w:t>
      </w:r>
    </w:p>
    <w:p>
      <w:pPr>
        <w:numPr>
          <w:ilvl w:val="0"/>
          <w:numId w:val="1019"/>
        </w:numPr>
        <w:pStyle w:val="Compact"/>
      </w:pPr>
      <w:r>
        <w:rPr>
          <w:bCs/>
          <w:b/>
        </w:rPr>
        <w:t xml:space="preserve">ISO/IEC 42001 quality management system.</w:t>
      </w:r>
      <w:r>
        <w:t xml:space="preserve"> </w:t>
      </w:r>
      <w:r>
        <w:t xml:space="preserve">No harmonised standard under the AI Act has had its reference published (§14, item 10), so ISO/IEC 42001 confers no presumption of conformity and can be relied on as evidence of a quality management system only, not as conformity.</w:t>
      </w:r>
    </w:p>
    <w:bookmarkEnd w:id="93"/>
    <w:bookmarkStart w:id="94" w:name="Xe77d95c557548faa66ee7589733efb0c93b6078"/>
    <w:p>
      <w:pPr>
        <w:pStyle w:val="Heading3"/>
      </w:pPr>
      <w:r>
        <w:t xml:space="preserve">12.3 Contractual and organisational requirements</w:t>
      </w:r>
    </w:p>
    <w:p>
      <w:pPr>
        <w:numPr>
          <w:ilvl w:val="0"/>
          <w:numId w:val="1020"/>
        </w:numPr>
        <w:pStyle w:val="Compact"/>
      </w:pPr>
      <w:r>
        <w:rPr>
          <w:bCs/>
          <w:b/>
        </w:rPr>
        <w:t xml:space="preserve">Not for marking regulated qualifications</w:t>
      </w:r>
      <w:r>
        <w:t xml:space="preserve"> </w:t>
      </w:r>
      <w:r>
        <w:t xml:space="preserve">(UK), with a hard in-product control.</w:t>
      </w:r>
    </w:p>
    <w:p>
      <w:pPr>
        <w:numPr>
          <w:ilvl w:val="0"/>
          <w:numId w:val="1020"/>
        </w:numPr>
        <w:pStyle w:val="Compact"/>
      </w:pPr>
      <w:r>
        <w:rPr>
          <w:bCs/>
          <w:b/>
        </w:rPr>
        <w:t xml:space="preserve">Model-agnostic architecture.</w:t>
      </w:r>
      <w:r>
        <w:t xml:space="preserve"> </w:t>
      </w:r>
      <w:r>
        <w:t xml:space="preserve">The KMK has stated that the Länder intend to supply the model layer themselves, so a system deployed in German schools may have to operate against a model designated by the Land.</w:t>
      </w:r>
    </w:p>
    <w:p>
      <w:pPr>
        <w:numPr>
          <w:ilvl w:val="0"/>
          <w:numId w:val="1020"/>
        </w:numPr>
        <w:pStyle w:val="Compact"/>
      </w:pPr>
      <w:r>
        <w:rPr>
          <w:bCs/>
          <w:b/>
        </w:rPr>
        <w:t xml:space="preserve">Pre-declared model-update envelope in the Annex IV technical documentation</w:t>
      </w:r>
      <w:r>
        <w:t xml:space="preserve">, so that a model version upgrade is not automatically a substantial modification requiring re-conformity.</w:t>
      </w:r>
    </w:p>
    <w:p>
      <w:pPr>
        <w:numPr>
          <w:ilvl w:val="0"/>
          <w:numId w:val="1020"/>
        </w:numPr>
        <w:pStyle w:val="Compact"/>
      </w:pPr>
      <w:r>
        <w:rPr>
          <w:bCs/>
          <w:b/>
        </w:rPr>
        <w:t xml:space="preserve">Contract via the SDPC NDPA v2.2 with a carefully scoped Exhibit E</w:t>
      </w:r>
      <w:r>
        <w:t xml:space="preserve">, with state-variant exhibits for NY, CT, IL, CO, CA, TX, OH and UT. Utah agreements need a no-penalty statutory termination right; Connecticut agreements become public within five business days, so commercially sensitive terms belong in a separate instrument.</w:t>
      </w:r>
    </w:p>
    <w:p>
      <w:pPr>
        <w:numPr>
          <w:ilvl w:val="0"/>
          <w:numId w:val="1020"/>
        </w:numPr>
        <w:pStyle w:val="Compact"/>
      </w:pPr>
      <w:r>
        <w:rPr>
          <w:bCs/>
          <w:b/>
        </w:rPr>
        <w:t xml:space="preserve">Incident-response SLA set by the tightest applicable clock:</w:t>
      </w:r>
      <w:r>
        <w:t xml:space="preserve"> </w:t>
      </w:r>
      <w:r>
        <w:t xml:space="preserve">Ohio’s 72-hour parent notice and New York’s 7-day contractor notice, with the AI Act Art. 73 15-day serious-incident clock in the same runbook.</w:t>
      </w:r>
    </w:p>
    <w:p>
      <w:pPr>
        <w:numPr>
          <w:ilvl w:val="0"/>
          <w:numId w:val="1020"/>
        </w:numPr>
        <w:pStyle w:val="Compact"/>
      </w:pPr>
      <w:r>
        <w:rPr>
          <w:bCs/>
          <w:b/>
        </w:rPr>
        <w:t xml:space="preserve">Technology E&amp;O insurance with an explicit AI endorsement.</w:t>
      </w:r>
      <w:r>
        <w:t xml:space="preserve"> </w:t>
      </w:r>
      <w:r>
        <w:t xml:space="preserve">Institutional procurement commonly requires professional indemnity cover; whether a policy responds to claims arising from model output requires express confirmation rather than assumption.</w:t>
      </w:r>
    </w:p>
    <w:bookmarkEnd w:id="94"/>
    <w:bookmarkEnd w:id="95"/>
    <w:bookmarkStart w:id="104" w:name="Xc47f143b86c1189277e9eec59c603f0aae7f258"/>
    <w:p>
      <w:pPr>
        <w:pStyle w:val="Heading2"/>
      </w:pPr>
      <w:r>
        <w:t xml:space="preserve">13. Points of convergence and divergence across the three jurisdictions</w:t>
      </w:r>
    </w:p>
    <w:p>
      <w:pPr>
        <w:pStyle w:val="FirstParagraph"/>
      </w:pPr>
      <w:r>
        <w:t xml:space="preserve">The three jurisdictions reach a substantially common core of requirements by different legal routes. They diverge less in what is required of the human decision than in the regulatory architecture through which the requirement is imposed and enforced.</w:t>
      </w:r>
    </w:p>
    <w:bookmarkStart w:id="96" w:name="convergence-the-human-decision-maker"/>
    <w:p>
      <w:pPr>
        <w:pStyle w:val="Heading3"/>
      </w:pPr>
      <w:r>
        <w:t xml:space="preserve">13.1 Convergence: the human decision-maker</w:t>
      </w:r>
    </w:p>
    <w:p>
      <w:pPr>
        <w:pStyle w:val="FirstParagraph"/>
      </w:pPr>
      <w:r>
        <w:t xml:space="preserve">All three require that the assessment decision be taken by a person with genuine latitude, on the whole of the work.</w:t>
      </w:r>
    </w:p>
    <w:p>
      <w:pPr>
        <w:numPr>
          <w:ilvl w:val="0"/>
          <w:numId w:val="1021"/>
        </w:numPr>
        <w:pStyle w:val="Compact"/>
      </w:pPr>
      <w:r>
        <w:rPr>
          <w:bCs/>
          <w:b/>
        </w:rPr>
        <w:t xml:space="preserve">Germany / EU.</w:t>
      </w:r>
      <w:r>
        <w:t xml:space="preserve"> </w:t>
      </w:r>
      <w:r>
        <w:t xml:space="preserve">GDPR Art. 22 and WP251; the DSK’s</w:t>
      </w:r>
      <w:r>
        <w:t xml:space="preserve"> </w:t>
      </w:r>
      <w:r>
        <w:rPr>
          <w:iCs/>
          <w:i/>
        </w:rPr>
        <w:t xml:space="preserve">tatsächlicher Entscheidungsspielraum</w:t>
      </w:r>
      <w:r>
        <w:t xml:space="preserve"> </w:t>
      </w:r>
      <w:r>
        <w:t xml:space="preserve">test; the BVerwG requirement that the examiner take notice of the work</w:t>
      </w:r>
      <w:r>
        <w:t xml:space="preserve"> </w:t>
      </w:r>
      <w:r>
        <w:rPr>
          <w:iCs/>
          <w:i/>
        </w:rPr>
        <w:t xml:space="preserve">persönlich unmittelbar und vollständig</w:t>
      </w:r>
      <w:r>
        <w:t xml:space="preserve">; § 35a VwVfG, which forecloses a fully automated</w:t>
      </w:r>
      <w:r>
        <w:t xml:space="preserve"> </w:t>
      </w:r>
      <w:r>
        <w:rPr>
          <w:iCs/>
          <w:i/>
        </w:rPr>
        <w:t xml:space="preserve">Verwaltungsakt</w:t>
      </w:r>
      <w:r>
        <w:t xml:space="preserve">; and the Bildungsministerkonferenz decision of 10 October 2024, which endorses</w:t>
      </w:r>
      <w:r>
        <w:t xml:space="preserve"> </w:t>
      </w:r>
      <w:r>
        <w:rPr>
          <w:iCs/>
          <w:i/>
        </w:rPr>
        <w:t xml:space="preserve">Vorkorrektur</w:t>
      </w:r>
      <w:r>
        <w:t xml:space="preserve">,</w:t>
      </w:r>
      <w:r>
        <w:t xml:space="preserve"> </w:t>
      </w:r>
      <w:r>
        <w:rPr>
          <w:iCs/>
          <w:i/>
        </w:rPr>
        <w:t xml:space="preserve">Korrekturassistenz</w:t>
      </w:r>
      <w:r>
        <w:t xml:space="preserve"> </w:t>
      </w:r>
      <w:r>
        <w:t xml:space="preserve">and an</w:t>
      </w:r>
      <w:r>
        <w:t xml:space="preserve"> </w:t>
      </w:r>
      <w:r>
        <w:rPr>
          <w:iCs/>
          <w:i/>
        </w:rPr>
        <w:t xml:space="preserve">Entscheidungsunterstützungssystem</w:t>
      </w:r>
      <w:r>
        <w:t xml:space="preserve"> </w:t>
      </w:r>
      <w:r>
        <w:t xml:space="preserve">with the final assessment reserved to the examiner.</w:t>
      </w:r>
    </w:p>
    <w:p>
      <w:pPr>
        <w:numPr>
          <w:ilvl w:val="0"/>
          <w:numId w:val="1021"/>
        </w:numPr>
        <w:pStyle w:val="Compact"/>
      </w:pPr>
      <w:r>
        <w:rPr>
          <w:bCs/>
          <w:b/>
        </w:rPr>
        <w:t xml:space="preserve">United Kingdom.</w:t>
      </w:r>
      <w:r>
        <w:t xml:space="preserve"> </w:t>
      </w:r>
      <w:r>
        <w:t xml:space="preserve">Art. 22A and the ICO’s draft per-decision requirement for meaningful human involvement; Art. 22B for special category data; and JCQ’s requirement that the examiner</w:t>
      </w:r>
      <w:r>
        <w:t xml:space="preserve"> </w:t>
      </w:r>
      <w:r>
        <w:rPr>
          <w:iCs/>
          <w:i/>
        </w:rPr>
        <w:t xml:space="preserve">“</w:t>
      </w:r>
      <w:r>
        <w:rPr>
          <w:iCs/>
          <w:i/>
        </w:rPr>
        <w:t xml:space="preserve">review all the work in its entirety</w:t>
      </w:r>
      <w:r>
        <w:rPr>
          <w:iCs/>
          <w:i/>
        </w:rPr>
        <w:t xml:space="preserve">”</w:t>
      </w:r>
      <w:r>
        <w:t xml:space="preserve">.</w:t>
      </w:r>
    </w:p>
    <w:p>
      <w:pPr>
        <w:numPr>
          <w:ilvl w:val="0"/>
          <w:numId w:val="1021"/>
        </w:numPr>
        <w:pStyle w:val="Compact"/>
      </w:pPr>
      <w:r>
        <w:rPr>
          <w:bCs/>
          <w:b/>
        </w:rPr>
        <w:t xml:space="preserve">United States.</w:t>
      </w:r>
      <w:r>
        <w:t xml:space="preserve"> </w:t>
      </w:r>
      <w:r>
        <w:t xml:space="preserve">The California ADMT safe harbour, Colorado’s meaningful-human-review duty and Oklahoma SB 1734 (enrolled text unverified — §14, item 27).</w:t>
      </w:r>
    </w:p>
    <w:p>
      <w:pPr>
        <w:pStyle w:val="FirstParagraph"/>
      </w:pPr>
      <w:r>
        <w:t xml:space="preserve">The practical consequence is identical in all three: per-item review, no auto-accept, bulk-accept or timeout-accept, and the script in view when the mark is entered (§12.1, item 1).</w:t>
      </w:r>
    </w:p>
    <w:bookmarkEnd w:id="96"/>
    <w:bookmarkStart w:id="97" w:name="X8e61e83294d8f6b5197f32812c8a7338bf738dc"/>
    <w:p>
      <w:pPr>
        <w:pStyle w:val="Heading3"/>
      </w:pPr>
      <w:r>
        <w:t xml:space="preserve">13.2 Convergence: transparency to the person assessed</w:t>
      </w:r>
    </w:p>
    <w:p>
      <w:pPr>
        <w:pStyle w:val="FirstParagraph"/>
      </w:pPr>
      <w:r>
        <w:t xml:space="preserve">Each jurisdiction requires that the assessment be explicable to the student, though the source of the duty differs.</w:t>
      </w:r>
    </w:p>
    <w:p>
      <w:pPr>
        <w:numPr>
          <w:ilvl w:val="0"/>
          <w:numId w:val="1022"/>
        </w:numPr>
        <w:pStyle w:val="Compact"/>
      </w:pPr>
      <w:r>
        <w:rPr>
          <w:bCs/>
          <w:b/>
        </w:rPr>
        <w:t xml:space="preserve">Germany.</w:t>
      </w:r>
      <w:r>
        <w:t xml:space="preserve"> </w:t>
      </w:r>
      <w:r>
        <w:t xml:space="preserve">The</w:t>
      </w:r>
      <w:r>
        <w:t xml:space="preserve"> </w:t>
      </w:r>
      <w:r>
        <w:rPr>
          <w:iCs/>
          <w:i/>
        </w:rPr>
        <w:t xml:space="preserve">Überdenkensverfahren</w:t>
      </w:r>
      <w:r>
        <w:t xml:space="preserve"> </w:t>
      </w:r>
      <w:r>
        <w:t xml:space="preserve">requires the examiner’s own reasons to be reconstructable after the fact, which is what the per-script record (§12.1, item 6) preserves.</w:t>
      </w:r>
    </w:p>
    <w:p>
      <w:pPr>
        <w:numPr>
          <w:ilvl w:val="0"/>
          <w:numId w:val="1022"/>
        </w:numPr>
        <w:pStyle w:val="Compact"/>
      </w:pPr>
      <w:r>
        <w:rPr>
          <w:bCs/>
          <w:b/>
        </w:rPr>
        <w:t xml:space="preserve">EU / UK.</w:t>
      </w:r>
      <w:r>
        <w:t xml:space="preserve"> </w:t>
      </w:r>
      <w:r>
        <w:t xml:space="preserve">The Art. 22</w:t>
      </w:r>
      <w:r>
        <w:t xml:space="preserve"> </w:t>
      </w:r>
      <w:r>
        <w:t xml:space="preserve">“</w:t>
      </w:r>
      <w:r>
        <w:t xml:space="preserve">meaningful review</w:t>
      </w:r>
      <w:r>
        <w:t xml:space="preserve">”</w:t>
      </w:r>
      <w:r>
        <w:t xml:space="preserve"> </w:t>
      </w:r>
      <w:r>
        <w:t xml:space="preserve">question and, in the UK, the ICO’s draft ADM guidance, which frames the explanation as owed per decision. The statutory ICO AI/ADM code under SI 2026/425 will carry the children’s-data chapter (§14, item 23).</w:t>
      </w:r>
    </w:p>
    <w:p>
      <w:pPr>
        <w:numPr>
          <w:ilvl w:val="0"/>
          <w:numId w:val="1022"/>
        </w:numPr>
        <w:pStyle w:val="Compact"/>
      </w:pPr>
      <w:r>
        <w:rPr>
          <w:bCs/>
          <w:b/>
        </w:rPr>
        <w:t xml:space="preserve">United States.</w:t>
      </w:r>
      <w:r>
        <w:t xml:space="preserve"> </w:t>
      </w:r>
      <w:r>
        <w:t xml:space="preserve">There is no general transparency article; the equivalent function is carried by the FERPA education-records regime, including the redisclosure limit at § 99.33(a)(2), and by state notice requirements.</w:t>
      </w:r>
    </w:p>
    <w:bookmarkEnd w:id="97"/>
    <w:bookmarkStart w:id="98" w:name="X7dd9e7986567fc5c61fb51cd7381e3ae5b4db99"/>
    <w:p>
      <w:pPr>
        <w:pStyle w:val="Heading3"/>
      </w:pPr>
      <w:r>
        <w:t xml:space="preserve">13.3 Convergence: contractual flow-down to the institution</w:t>
      </w:r>
    </w:p>
    <w:p>
      <w:pPr>
        <w:pStyle w:val="FirstParagraph"/>
      </w:pPr>
      <w:r>
        <w:t xml:space="preserve">In all three jurisdictions a substantial part of the obligation lands on the school, trust or district rather than on the supplier, and reaches the supplier through the institution’s contract.</w:t>
      </w:r>
    </w:p>
    <w:p>
      <w:pPr>
        <w:numPr>
          <w:ilvl w:val="0"/>
          <w:numId w:val="1023"/>
        </w:numPr>
        <w:pStyle w:val="Compact"/>
      </w:pPr>
      <w:r>
        <w:rPr>
          <w:bCs/>
          <w:b/>
        </w:rPr>
        <w:t xml:space="preserve">Germany / EU.</w:t>
      </w:r>
      <w:r>
        <w:t xml:space="preserve"> </w:t>
      </w:r>
      <w:r>
        <w:t xml:space="preserve">The school is the controller. AI Act deployer duties under Art. 26 and the fundamental-rights impact assessment under Art. 27 fall on the deploying institution, and § 14 KI-MIG makes omission of the FRIA fineable for it. The NRW and Hessen prohibitions on transmitting pupil personal data to AI applications bind the school.</w:t>
      </w:r>
    </w:p>
    <w:p>
      <w:pPr>
        <w:numPr>
          <w:ilvl w:val="0"/>
          <w:numId w:val="1023"/>
        </w:numPr>
        <w:pStyle w:val="Compact"/>
      </w:pPr>
      <w:r>
        <w:rPr>
          <w:bCs/>
          <w:b/>
        </w:rPr>
        <w:t xml:space="preserve">United Kingdom.</w:t>
      </w:r>
      <w:r>
        <w:t xml:space="preserve"> </w:t>
      </w:r>
      <w:r>
        <w:t xml:space="preserve">The DfE Generative AI product safety standards are addressed to suppliers but operate through procurement; DfE’s own published worked example is a school rejecting a supplier over training on customer content.</w:t>
      </w:r>
    </w:p>
    <w:p>
      <w:pPr>
        <w:numPr>
          <w:ilvl w:val="0"/>
          <w:numId w:val="1023"/>
        </w:numPr>
        <w:pStyle w:val="Compact"/>
      </w:pPr>
      <w:r>
        <w:rPr>
          <w:bCs/>
          <w:b/>
        </w:rPr>
        <w:t xml:space="preserve">United States.</w:t>
      </w:r>
      <w:r>
        <w:t xml:space="preserve"> </w:t>
      </w:r>
      <w:r>
        <w:t xml:space="preserve">The FERPA school-official exception requires the institution to retain direct control, and the SDPC NDPA v2.2 with Exhibit E and state-variant exhibits is the operative instrument, alongside SOPIPA and COPPA § 312.10.</w:t>
      </w:r>
    </w:p>
    <w:p>
      <w:pPr>
        <w:pStyle w:val="FirstParagraph"/>
      </w:pPr>
      <w:r>
        <w:t xml:space="preserve">The divergence within this convergence is the vehicle: in the EU the duty is statutory and falls on the deployer independently of contract, while in the US the contract is itself the primary instrument of compliance.</w:t>
      </w:r>
    </w:p>
    <w:bookmarkEnd w:id="98"/>
    <w:bookmarkStart w:id="99" w:name="convergence-records-and-logging"/>
    <w:p>
      <w:pPr>
        <w:pStyle w:val="Heading3"/>
      </w:pPr>
      <w:r>
        <w:t xml:space="preserve">13.4 Convergence: records and logging</w:t>
      </w:r>
    </w:p>
    <w:p>
      <w:pPr>
        <w:numPr>
          <w:ilvl w:val="0"/>
          <w:numId w:val="1024"/>
        </w:numPr>
        <w:pStyle w:val="Compact"/>
      </w:pPr>
      <w:r>
        <w:rPr>
          <w:bCs/>
          <w:b/>
        </w:rPr>
        <w:t xml:space="preserve">EU.</w:t>
      </w:r>
      <w:r>
        <w:t xml:space="preserve"> </w:t>
      </w:r>
      <w:r>
        <w:t xml:space="preserve">AI Act Art. 12 logging and the Annex IV technical documentation.</w:t>
      </w:r>
    </w:p>
    <w:p>
      <w:pPr>
        <w:numPr>
          <w:ilvl w:val="0"/>
          <w:numId w:val="1024"/>
        </w:numPr>
        <w:pStyle w:val="Compact"/>
      </w:pPr>
      <w:r>
        <w:rPr>
          <w:bCs/>
          <w:b/>
        </w:rPr>
        <w:t xml:space="preserve">Germany.</w:t>
      </w:r>
      <w:r>
        <w:t xml:space="preserve"> </w:t>
      </w:r>
      <w:r>
        <w:t xml:space="preserve">Retention that survives an objection and any subsequent court review, with archiving — the list set out in the vlbs submission to the NRW hearing.</w:t>
      </w:r>
    </w:p>
    <w:p>
      <w:pPr>
        <w:numPr>
          <w:ilvl w:val="0"/>
          <w:numId w:val="1024"/>
        </w:numPr>
        <w:pStyle w:val="Compact"/>
      </w:pPr>
      <w:r>
        <w:rPr>
          <w:bCs/>
          <w:b/>
        </w:rPr>
        <w:t xml:space="preserve">United Kingdom.</w:t>
      </w:r>
      <w:r>
        <w:t xml:space="preserve"> </w:t>
      </w:r>
      <w:r>
        <w:t xml:space="preserve">The examiner’s review of the whole work under the JCQ rules, and, for public-sector deployments, the ATRS-format record.</w:t>
      </w:r>
    </w:p>
    <w:p>
      <w:pPr>
        <w:numPr>
          <w:ilvl w:val="0"/>
          <w:numId w:val="1024"/>
        </w:numPr>
        <w:pStyle w:val="Compact"/>
      </w:pPr>
      <w:r>
        <w:rPr>
          <w:bCs/>
          <w:b/>
        </w:rPr>
        <w:t xml:space="preserve">United States.</w:t>
      </w:r>
      <w:r>
        <w:t xml:space="preserve"> </w:t>
      </w:r>
      <w:r>
        <w:t xml:space="preserve">District privacy review, accreditation requirements and</w:t>
      </w:r>
      <w:r>
        <w:t xml:space="preserve"> </w:t>
      </w:r>
      <w:r>
        <w:t xml:space="preserve">“</w:t>
      </w:r>
      <w:r>
        <w:t xml:space="preserve">regular and substantive interaction</w:t>
      </w:r>
      <w:r>
        <w:t xml:space="preserve">”</w:t>
      </w:r>
      <w:r>
        <w:t xml:space="preserve">.</w:t>
      </w:r>
    </w:p>
    <w:p>
      <w:pPr>
        <w:pStyle w:val="FirstParagraph"/>
      </w:pPr>
      <w:r>
        <w:t xml:space="preserve">A single per-script record of the kind described at §12.1, item 6 answers all four.</w:t>
      </w:r>
    </w:p>
    <w:bookmarkEnd w:id="99"/>
    <w:bookmarkStart w:id="100" w:name="Xdc55c143e6286cf8e9118b699808e09098c7484"/>
    <w:p>
      <w:pPr>
        <w:pStyle w:val="Heading3"/>
      </w:pPr>
      <w:r>
        <w:t xml:space="preserve">13.5 Convergence and divergence: impact assessment</w:t>
      </w:r>
    </w:p>
    <w:p>
      <w:pPr>
        <w:numPr>
          <w:ilvl w:val="0"/>
          <w:numId w:val="1025"/>
        </w:numPr>
        <w:pStyle w:val="Compact"/>
      </w:pPr>
      <w:r>
        <w:rPr>
          <w:bCs/>
          <w:b/>
        </w:rPr>
        <w:t xml:space="preserve">EU / Germany.</w:t>
      </w:r>
      <w:r>
        <w:t xml:space="preserve"> </w:t>
      </w:r>
      <w:r>
        <w:t xml:space="preserve">A DPIA under the GDPR and a fundamental-rights impact assessment under AI Act Art. 27, which the amended Art. 27(4) expressly permits to be combined. The Art. 27(5) template had not been published as at this review (§14, item 13). § 14 KI-MIG attaches a fine to omission of the FRIA.</w:t>
      </w:r>
    </w:p>
    <w:p>
      <w:pPr>
        <w:numPr>
          <w:ilvl w:val="0"/>
          <w:numId w:val="1025"/>
        </w:numPr>
        <w:pStyle w:val="Compact"/>
      </w:pPr>
      <w:r>
        <w:rPr>
          <w:bCs/>
          <w:b/>
        </w:rPr>
        <w:t xml:space="preserve">United Kingdom.</w:t>
      </w:r>
      <w:r>
        <w:t xml:space="preserve"> </w:t>
      </w:r>
      <w:r>
        <w:t xml:space="preserve">A DPIA, with the children’s-data dimension to be governed by the forthcoming statutory ICO code under SI 2026/425.</w:t>
      </w:r>
    </w:p>
    <w:p>
      <w:pPr>
        <w:numPr>
          <w:ilvl w:val="0"/>
          <w:numId w:val="1025"/>
        </w:numPr>
        <w:pStyle w:val="Compact"/>
      </w:pPr>
      <w:r>
        <w:rPr>
          <w:bCs/>
          <w:b/>
        </w:rPr>
        <w:t xml:space="preserve">United States.</w:t>
      </w:r>
      <w:r>
        <w:t xml:space="preserve"> </w:t>
      </w:r>
      <w:r>
        <w:t xml:space="preserve">No general impact-assessment duty exists. The nearest analogues are the California ADMT regime and Colorado’s meaningful-review duty, together with equality analysis under Title VI and Section 504.</w:t>
      </w:r>
    </w:p>
    <w:p>
      <w:pPr>
        <w:pStyle w:val="FirstParagraph"/>
      </w:pPr>
      <w:r>
        <w:t xml:space="preserve">This is the point at which the three regimes begin to separate: the EU requires a documented ex-ante assessment as a condition of lawful deployment, the UK requires it as a data-protection measure, and the US requires it only where a particular state has legislated for it.</w:t>
      </w:r>
    </w:p>
    <w:bookmarkEnd w:id="100"/>
    <w:bookmarkStart w:id="101" w:name="X1444d9821481de9055c0e30b124bec838c19aef"/>
    <w:p>
      <w:pPr>
        <w:pStyle w:val="Heading3"/>
      </w:pPr>
      <w:r>
        <w:t xml:space="preserve">13.6 Divergence: three different regulatory architectures</w:t>
      </w:r>
    </w:p>
    <w:p>
      <w:pPr>
        <w:numPr>
          <w:ilvl w:val="0"/>
          <w:numId w:val="1026"/>
        </w:numPr>
        <w:pStyle w:val="Compact"/>
      </w:pPr>
      <w:r>
        <w:rPr>
          <w:bCs/>
          <w:b/>
        </w:rPr>
        <w:t xml:space="preserve">EU: ex-ante conformity.</w:t>
      </w:r>
      <w:r>
        <w:t xml:space="preserve"> </w:t>
      </w:r>
      <w:r>
        <w:t xml:space="preserve">Classification as high-risk under Annex III point 3(b), Annex IV technical documentation, and conformity assessment by the Annex VI self-assessment route without a notified body, with the provider obligations applying from 2 December 2027. No harmonised standard has had its reference published in the Official Journal (§14, item 10), so the technical route to presumption of conformity is not yet available.</w:t>
      </w:r>
    </w:p>
    <w:p>
      <w:pPr>
        <w:numPr>
          <w:ilvl w:val="0"/>
          <w:numId w:val="1026"/>
        </w:numPr>
        <w:pStyle w:val="Compact"/>
      </w:pPr>
      <w:r>
        <w:rPr>
          <w:bCs/>
          <w:b/>
        </w:rPr>
        <w:t xml:space="preserve">United Kingdom: post-DUAA safeguards.</w:t>
      </w:r>
      <w:r>
        <w:t xml:space="preserve"> </w:t>
      </w:r>
      <w:r>
        <w:t xml:space="preserve">There is no ex-ante conformity regime. The controls are the Art. 22A and 22B safeguards, the statutory ICO AI/ADM code under SI 2026/425, and sector rules — JCQ for regulated qualifications, the DfE product safety standards for schools, and the Online Safety Act for student-facing functionality.</w:t>
      </w:r>
    </w:p>
    <w:p>
      <w:pPr>
        <w:numPr>
          <w:ilvl w:val="0"/>
          <w:numId w:val="1026"/>
        </w:numPr>
        <w:pStyle w:val="Compact"/>
      </w:pPr>
      <w:r>
        <w:rPr>
          <w:bCs/>
          <w:b/>
        </w:rPr>
        <w:t xml:space="preserve">United States: contract and notice.</w:t>
      </w:r>
      <w:r>
        <w:t xml:space="preserve"> </w:t>
      </w:r>
      <w:r>
        <w:t xml:space="preserve">A federal floor of FERPA, COPPA and PPRA, operating through the institution’s contract with the supplier, supplemented by state contract requirements and notification clocks. Substantive duties on automated decision-making exist only in the states that have legislated for them.</w:t>
      </w:r>
    </w:p>
    <w:bookmarkEnd w:id="101"/>
    <w:bookmarkStart w:id="102" w:name="X017e486a34bd913486685e6a9258b7347e23714"/>
    <w:p>
      <w:pPr>
        <w:pStyle w:val="Heading3"/>
      </w:pPr>
      <w:r>
        <w:t xml:space="preserve">13.7 Divergence: the German Land-level examination-law layer</w:t>
      </w:r>
    </w:p>
    <w:p>
      <w:pPr>
        <w:pStyle w:val="FirstParagraph"/>
      </w:pPr>
      <w:r>
        <w:t xml:space="preserve">Germany has a layer with no counterpart in either of the other two jurisdictions. Examination law is Land law, and it operates on top of, not instead of, the EU and federal layers:</w:t>
      </w:r>
    </w:p>
    <w:p>
      <w:pPr>
        <w:numPr>
          <w:ilvl w:val="0"/>
          <w:numId w:val="1027"/>
        </w:numPr>
        <w:pStyle w:val="Compact"/>
      </w:pPr>
      <w:r>
        <w:t xml:space="preserve">§ 35a VwVfG and its Land equivalents (the Land equivalents were not verified — §14, item 18);</w:t>
      </w:r>
    </w:p>
    <w:p>
      <w:pPr>
        <w:numPr>
          <w:ilvl w:val="0"/>
          <w:numId w:val="1027"/>
        </w:numPr>
        <w:pStyle w:val="Compact"/>
      </w:pPr>
      <w:r>
        <w:t xml:space="preserve">Land school data-protection ordinances, including VO-DV I in NRW, the Hessen SchulDSVO and § 115b SchG and the DUVO in Baden-Württemberg, several of which could not be verified (§14, items 16 and 17), with eleven Länder not established at all;</w:t>
      </w:r>
    </w:p>
    <w:p>
      <w:pPr>
        <w:numPr>
          <w:ilvl w:val="0"/>
          <w:numId w:val="1027"/>
        </w:numPr>
        <w:pStyle w:val="Compact"/>
      </w:pPr>
      <w:r>
        <w:t xml:space="preserve">the NRW and Hessen prohibitions on transmitting pupil personal data to AI applications;</w:t>
      </w:r>
    </w:p>
    <w:p>
      <w:pPr>
        <w:numPr>
          <w:ilvl w:val="0"/>
          <w:numId w:val="1027"/>
        </w:numPr>
        <w:pStyle w:val="Compact"/>
      </w:pPr>
      <w:r>
        <w:rPr>
          <w:iCs/>
          <w:i/>
        </w:rPr>
        <w:t xml:space="preserve">Chancengleichheit</w:t>
      </w:r>
      <w:r>
        <w:t xml:space="preserve"> </w:t>
      </w:r>
      <w:r>
        <w:t xml:space="preserve">under Art. 3(1) GG, the</w:t>
      </w:r>
      <w:r>
        <w:t xml:space="preserve"> </w:t>
      </w:r>
      <w:r>
        <w:rPr>
          <w:iCs/>
          <w:i/>
        </w:rPr>
        <w:t xml:space="preserve">autonomes Bezugssystem</w:t>
      </w:r>
      <w:r>
        <w:t xml:space="preserve"> </w:t>
      </w:r>
      <w:r>
        <w:t xml:space="preserve">doctrine and the</w:t>
      </w:r>
      <w:r>
        <w:t xml:space="preserve"> </w:t>
      </w:r>
      <w:r>
        <w:rPr>
          <w:iCs/>
          <w:i/>
        </w:rPr>
        <w:t xml:space="preserve">Überdenkensverfahren</w:t>
      </w:r>
      <w:r>
        <w:t xml:space="preserve">;</w:t>
      </w:r>
    </w:p>
    <w:p>
      <w:pPr>
        <w:numPr>
          <w:ilvl w:val="0"/>
          <w:numId w:val="1027"/>
        </w:numPr>
        <w:pStyle w:val="Compact"/>
      </w:pPr>
      <w:r>
        <w:t xml:space="preserve">staff-council co-determination on the introduction of the system.</w:t>
      </w:r>
    </w:p>
    <w:p>
      <w:pPr>
        <w:pStyle w:val="FirstParagraph"/>
      </w:pPr>
      <w:r>
        <w:t xml:space="preserve">The KMK and the Bildungsministerkonferenz coordinate but do not bind. In the UK, examination requirements come from awarding bodies and JCQ and from the regulator, not from a body of sub-national public examination law; in the US, state education codes govern, but no comparable body of examination-decision doctrine was identified in this review.</w:t>
      </w:r>
    </w:p>
    <w:bookmarkEnd w:id="102"/>
    <w:bookmarkStart w:id="103" w:name="divergence-us-fifty-state-fragmentation"/>
    <w:p>
      <w:pPr>
        <w:pStyle w:val="Heading3"/>
      </w:pPr>
      <w:r>
        <w:t xml:space="preserve">13.8 Divergence: US fifty-state fragmentation</w:t>
      </w:r>
    </w:p>
    <w:p>
      <w:pPr>
        <w:pStyle w:val="FirstParagraph"/>
      </w:pPr>
      <w:r>
        <w:t xml:space="preserve">Above the FERPA / COPPA / PPRA floor, the operative requirements are state requirements, and they differ in kind as well as in detail:</w:t>
      </w:r>
    </w:p>
    <w:p>
      <w:pPr>
        <w:numPr>
          <w:ilvl w:val="0"/>
          <w:numId w:val="1028"/>
        </w:numPr>
        <w:pStyle w:val="Compact"/>
      </w:pPr>
      <w:r>
        <w:t xml:space="preserve">state-variant contract exhibits are needed for NY, CT, IL, CO, CA, TX, OH and UT;</w:t>
      </w:r>
    </w:p>
    <w:p>
      <w:pPr>
        <w:numPr>
          <w:ilvl w:val="0"/>
          <w:numId w:val="1028"/>
        </w:numPr>
        <w:pStyle w:val="Compact"/>
      </w:pPr>
      <w:r>
        <w:t xml:space="preserve">Utah requires a no-penalty statutory termination right, and Connecticut agreements become public within five business days;</w:t>
      </w:r>
    </w:p>
    <w:p>
      <w:pPr>
        <w:numPr>
          <w:ilvl w:val="0"/>
          <w:numId w:val="1028"/>
        </w:numPr>
        <w:pStyle w:val="Compact"/>
      </w:pPr>
      <w:r>
        <w:t xml:space="preserve">notification clocks differ — Ohio’s 72-hour parent notice and New York’s 7-day contractor notice are the tightest identified;</w:t>
      </w:r>
    </w:p>
    <w:p>
      <w:pPr>
        <w:numPr>
          <w:ilvl w:val="0"/>
          <w:numId w:val="1028"/>
        </w:numPr>
        <w:pStyle w:val="Compact"/>
      </w:pPr>
      <w:r>
        <w:t xml:space="preserve">Illinois BIPA carries a private right of action over face-geometry processing;</w:t>
      </w:r>
    </w:p>
    <w:p>
      <w:pPr>
        <w:numPr>
          <w:ilvl w:val="0"/>
          <w:numId w:val="1028"/>
        </w:numPr>
        <w:pStyle w:val="Compact"/>
      </w:pPr>
      <w:r>
        <w:t xml:space="preserve">substantive automated-decision duties appear in California (ADMT), Colorado and Oklahoma, and not elsewhere.</w:t>
      </w:r>
    </w:p>
    <w:p>
      <w:pPr>
        <w:pStyle w:val="FirstParagraph"/>
      </w:pPr>
      <w:r>
        <w:t xml:space="preserve">The consequence is that there is no national US standard to conform to: the binding requirement in each area is the tightest of the applicable state requirements, which is why the incident clock at §12.3, item 29 is set by Ohio and New York rather than by any federal provision.</w:t>
      </w:r>
    </w:p>
    <w:bookmarkEnd w:id="103"/>
    <w:bookmarkEnd w:id="104"/>
    <w:bookmarkStart w:id="105" w:name="limitations-of-this-review"/>
    <w:p>
      <w:pPr>
        <w:pStyle w:val="Heading2"/>
      </w:pPr>
      <w:r>
        <w:t xml:space="preserve">14. Limitations of this review</w:t>
      </w:r>
    </w:p>
    <w:p>
      <w:pPr>
        <w:pStyle w:val="FirstParagraph"/>
      </w:pPr>
      <w:r>
        <w:t xml:space="preserve">These are gaps, not findings. Four of them should go to counsel before any of the material here is relied on.</w:t>
      </w:r>
    </w:p>
    <w:p>
      <w:pPr>
        <w:pStyle w:val="BodyText"/>
      </w:pPr>
      <w:r>
        <w:rPr>
          <w:bCs/>
          <w:b/>
        </w:rPr>
        <w:t xml:space="preserve">Cut-off and scope.</w:t>
      </w:r>
      <w:r>
        <w:t xml:space="preserve"> </w:t>
      </w:r>
      <w:r>
        <w:t xml:space="preserve">Research for this review closed in September 2026. Every statement of current legal status — draft or final, adopted or not adopted, pending or decided — speaks as at that date, and several of the items below are expected to move. The review addresses the legal requirements applying in Germany and the EU, the United Kingdom and the United States; it is not advice on any specific deployment, and no assessment of any particular system or supplier was undertaken. The insurance market referred to at item 35 was not researched.</w:t>
      </w:r>
    </w:p>
    <w:p>
      <w:pPr>
        <w:pStyle w:val="BodyText"/>
      </w:pPr>
      <w:r>
        <w:rPr>
          <w:bCs/>
          <w:b/>
        </w:rPr>
        <w:t xml:space="preserve">Highest priority</w:t>
      </w:r>
    </w:p>
    <w:p>
      <w:pPr>
        <w:numPr>
          <w:ilvl w:val="0"/>
          <w:numId w:val="1029"/>
        </w:numPr>
        <w:pStyle w:val="Compact"/>
      </w:pPr>
      <w:r>
        <w:rPr>
          <w:bCs/>
          <w:b/>
        </w:rPr>
        <w:t xml:space="preserve">The DKJS memorandum verbatim.</w:t>
      </w:r>
      <w:r>
        <w:t xml:space="preserve"> </w:t>
      </w:r>
      <w:r>
        <w:t xml:space="preserve">All references in §5.6 come from a third-party summary; the server blocked retrieval. It is the most adverse document in the German landscape and must be read first-hand.</w:t>
      </w:r>
    </w:p>
    <w:p>
      <w:pPr>
        <w:numPr>
          <w:ilvl w:val="0"/>
          <w:numId w:val="1029"/>
        </w:numPr>
        <w:pStyle w:val="Compact"/>
      </w:pPr>
      <w:r>
        <w:rPr>
          <w:bCs/>
          <w:b/>
        </w:rPr>
        <w:t xml:space="preserve">The NRW</w:t>
      </w:r>
      <w:r>
        <w:rPr>
          <w:bCs/>
          <w:b/>
        </w:rPr>
        <w:t xml:space="preserve"> </w:t>
      </w:r>
      <w:r>
        <w:rPr>
          <w:iCs/>
          <w:i/>
          <w:bCs/>
          <w:b/>
        </w:rPr>
        <w:t xml:space="preserve">Softwarekatalog</w:t>
      </w:r>
      <w:r>
        <w:rPr>
          <w:bCs/>
          <w:b/>
        </w:rPr>
        <w:t xml:space="preserve"> </w:t>
      </w:r>
      <w:r>
        <w:rPr>
          <w:bCs/>
          <w:b/>
        </w:rPr>
        <w:t xml:space="preserve">premise.</w:t>
      </w:r>
      <w:r>
        <w:t xml:space="preserve"> </w:t>
      </w:r>
      <w:r>
        <w:t xml:space="preserve">The current VO-DV I contains no approved-programs provision and the ministry describes per-school discretion; a pre-2022 text and a 2025 Landtag answer could not be retrieved. Resolve by written enquiry, not further desk research.</w:t>
      </w:r>
    </w:p>
    <w:p>
      <w:pPr>
        <w:numPr>
          <w:ilvl w:val="0"/>
          <w:numId w:val="1029"/>
        </w:numPr>
        <w:pStyle w:val="Compact"/>
      </w:pPr>
      <w:r>
        <w:rPr>
          <w:bCs/>
          <w:b/>
        </w:rPr>
        <w:t xml:space="preserve">The Bavarian</w:t>
      </w:r>
      <w:r>
        <w:rPr>
          <w:bCs/>
          <w:b/>
        </w:rPr>
        <w:t xml:space="preserve"> </w:t>
      </w:r>
      <w:r>
        <w:rPr>
          <w:iCs/>
          <w:i/>
          <w:bCs/>
          <w:b/>
        </w:rPr>
        <w:t xml:space="preserve">Handlungsleitfaden</w:t>
      </w:r>
      <w:r>
        <w:rPr>
          <w:iCs/>
          <w:i/>
          <w:bCs/>
          <w:b/>
        </w:rPr>
        <w:t xml:space="preserve"> </w:t>
      </w:r>
      <w:r>
        <w:rPr>
          <w:iCs/>
          <w:i/>
          <w:bCs/>
          <w:b/>
        </w:rPr>
        <w:t xml:space="preserve">“</w:t>
      </w:r>
      <w:r>
        <w:rPr>
          <w:iCs/>
          <w:i/>
          <w:bCs/>
          <w:b/>
        </w:rPr>
        <w:t xml:space="preserve">Künstliche Intelligenz in der pädagogischen Praxis</w:t>
      </w:r>
      <w:r>
        <w:rPr>
          <w:iCs/>
          <w:i/>
          <w:bCs/>
          <w:b/>
        </w:rPr>
        <w:t xml:space="preserve">”</w:t>
      </w:r>
      <w:r>
        <w:rPr>
          <w:bCs/>
          <w:b/>
        </w:rPr>
        <w:t xml:space="preserve">, Fassung 19.05.2026</w:t>
      </w:r>
      <w:r>
        <w:t xml:space="preserve"> </w:t>
      </w:r>
      <w:r>
        <w:t xml:space="preserve">— title and date confirmed, contents unread. Highest-priority remaining German document.</w:t>
      </w:r>
    </w:p>
    <w:p>
      <w:pPr>
        <w:numPr>
          <w:ilvl w:val="0"/>
          <w:numId w:val="1029"/>
        </w:numPr>
        <w:pStyle w:val="Compact"/>
      </w:pPr>
      <w:r>
        <w:rPr>
          <w:bCs/>
          <w:b/>
        </w:rPr>
        <w:t xml:space="preserve">The reported transfer of FERPA/PPRA complaint investigation to DOJ (June 2026).</w:t>
      </w:r>
      <w:r>
        <w:t xml:space="preserve"> </w:t>
      </w:r>
      <w:r>
        <w:t xml:space="preserve">Single secondary source, no effective date, parties said details were unresolved. It changes the character of US enforcement if true.</w:t>
      </w:r>
    </w:p>
    <w:p>
      <w:pPr>
        <w:numPr>
          <w:ilvl w:val="0"/>
          <w:numId w:val="1029"/>
        </w:numPr>
        <w:pStyle w:val="Compact"/>
      </w:pPr>
      <w:r>
        <w:rPr>
          <w:bCs/>
          <w:b/>
        </w:rPr>
        <w:t xml:space="preserve">The nine NRW hearing submissions in the original, above all the Kloppenburg opinion (18/3853).</w:t>
      </w:r>
      <w:r>
        <w:t xml:space="preserve"> </w:t>
      </w:r>
      <w:r>
        <w:t xml:space="preserve">They were read in summary for this paper. Its paragraph citations — § 57(1) SchulG NRW, §§ 5(1) and 10(1) ADO, §§ 92–94 SchulG — come from that summary and have not been checked against the statutes themselves.</w:t>
      </w:r>
    </w:p>
    <w:p>
      <w:pPr>
        <w:numPr>
          <w:ilvl w:val="0"/>
          <w:numId w:val="1029"/>
        </w:numPr>
        <w:pStyle w:val="Compact"/>
      </w:pPr>
      <w:r>
        <w:rPr>
          <w:bCs/>
          <w:b/>
        </w:rPr>
        <w:t xml:space="preserve">The outcome of NRW motion 18/18104</w:t>
      </w:r>
      <w:r>
        <w:t xml:space="preserve">, and any ministry rule that follows it. This is the trigger event for the German position and belongs on a watch list with a named owner.</w:t>
      </w:r>
    </w:p>
    <w:p>
      <w:pPr>
        <w:numPr>
          <w:ilvl w:val="0"/>
          <w:numId w:val="1029"/>
        </w:numPr>
        <w:pStyle w:val="Compact"/>
      </w:pPr>
      <w:r>
        <w:rPr>
          <w:bCs/>
          <w:b/>
        </w:rPr>
        <w:t xml:space="preserve">The ISB legal opinion referred to in public discussion of AI grading in Bavaria.</w:t>
      </w:r>
      <w:r>
        <w:t xml:space="preserve"> </w:t>
      </w:r>
      <w:r>
        <w:t xml:space="preserve">A participant in that discussion states that a guidance document is in preparation and that a legal opinion already exists, but gives no title or link. It pairs with the outstanding Bavarian Handlungsleitfaden; together they are the Bavarian picture, and neither was available for this review.</w:t>
      </w:r>
    </w:p>
    <w:p>
      <w:pPr>
        <w:numPr>
          <w:ilvl w:val="0"/>
          <w:numId w:val="1029"/>
        </w:numPr>
        <w:pStyle w:val="Compact"/>
      </w:pPr>
      <w:r>
        <w:rPr>
          <w:bCs/>
          <w:b/>
        </w:rPr>
        <w:t xml:space="preserve">The current NRW ministry answer on correction and the accompanying AI/data-protection FAQ</w:t>
      </w:r>
      <w:r>
        <w:t xml:space="preserve">, in the original. Their content is reported at §5.7 and §3.10 from a secondary extraction; the ministry pages themselves refused retrieval during this work and should be pulled and filed.</w:t>
      </w:r>
    </w:p>
    <w:p>
      <w:pPr>
        <w:pStyle w:val="FirstParagraph"/>
      </w:pPr>
      <w:r>
        <w:rPr>
          <w:bCs/>
          <w:b/>
        </w:rPr>
        <w:t xml:space="preserve">EU layer</w:t>
      </w:r>
    </w:p>
    <w:p>
      <w:pPr>
        <w:numPr>
          <w:ilvl w:val="0"/>
          <w:numId w:val="1030"/>
        </w:numPr>
        <w:pStyle w:val="Compact"/>
      </w:pPr>
      <w:r>
        <w:t xml:space="preserve">Whether a</w:t>
      </w:r>
      <w:r>
        <w:t xml:space="preserve"> </w:t>
      </w:r>
      <w:r>
        <w:rPr>
          <w:bCs/>
          <w:b/>
        </w:rPr>
        <w:t xml:space="preserve">final</w:t>
      </w:r>
      <w:r>
        <w:t xml:space="preserve"> </w:t>
      </w:r>
      <w:r>
        <w:t xml:space="preserve">version of the Commission’s high-risk classification guidelines has been adopted (last confirmed state: draft, 19 May 2026; non-binding either way).</w:t>
      </w:r>
    </w:p>
    <w:p>
      <w:pPr>
        <w:numPr>
          <w:ilvl w:val="0"/>
          <w:numId w:val="1030"/>
        </w:numPr>
        <w:pStyle w:val="Compact"/>
      </w:pPr>
      <w:r>
        <w:t xml:space="preserve">Whether</w:t>
      </w:r>
      <w:r>
        <w:t xml:space="preserve"> </w:t>
      </w:r>
      <w:r>
        <w:rPr>
          <w:bCs/>
          <w:b/>
        </w:rPr>
        <w:t xml:space="preserve">any harmonised standard</w:t>
      </w:r>
      <w:r>
        <w:t xml:space="preserve"> </w:t>
      </w:r>
      <w:r>
        <w:t xml:space="preserve">under the AI Act has had its reference published in the Official Journal. No evidence was found that any has. Re-check immediately before this paper is finalised — it is the fastest-moving item in the file.</w:t>
      </w:r>
    </w:p>
    <w:p>
      <w:pPr>
        <w:numPr>
          <w:ilvl w:val="0"/>
          <w:numId w:val="1030"/>
        </w:numPr>
        <w:pStyle w:val="Compact"/>
      </w:pPr>
      <w:r>
        <w:t xml:space="preserve">The current stage of the</w:t>
      </w:r>
      <w:r>
        <w:t xml:space="preserve"> </w:t>
      </w:r>
      <w:r>
        <w:rPr>
          <w:bCs/>
          <w:b/>
        </w:rPr>
        <w:t xml:space="preserve">GDPR limb of the Digital Omnibus</w:t>
      </w:r>
      <w:r>
        <w:t xml:space="preserve">, which proposed amendments to Art. 22. Not adopted as far as could be verified. Art. 22 should not be assumed to be relaxed.</w:t>
      </w:r>
    </w:p>
    <w:p>
      <w:pPr>
        <w:numPr>
          <w:ilvl w:val="0"/>
          <w:numId w:val="1030"/>
        </w:numPr>
        <w:pStyle w:val="Compact"/>
      </w:pPr>
      <w:r>
        <w:t xml:space="preserve">Whether an</w:t>
      </w:r>
      <w:r>
        <w:t xml:space="preserve"> </w:t>
      </w:r>
      <w:r>
        <w:rPr>
          <w:bCs/>
          <w:b/>
        </w:rPr>
        <w:t xml:space="preserve">appeal has been lodged against T-553/23</w:t>
      </w:r>
      <w:r>
        <w:rPr>
          <w:bCs/>
          <w:b/>
        </w:rPr>
        <w:t xml:space="preserve"> </w:t>
      </w:r>
      <w:r>
        <w:rPr>
          <w:iCs/>
          <w:i/>
          <w:bCs/>
          <w:b/>
        </w:rPr>
        <w:t xml:space="preserve">Latombe</w:t>
      </w:r>
      <w:r>
        <w:t xml:space="preserve">, and the current political standing of the EU–US Data Privacy Framework. Re-check before any position is taken on US model endpoints.</w:t>
      </w:r>
    </w:p>
    <w:p>
      <w:pPr>
        <w:numPr>
          <w:ilvl w:val="0"/>
          <w:numId w:val="1030"/>
        </w:numPr>
        <w:pStyle w:val="Compact"/>
      </w:pPr>
      <w:r>
        <w:t xml:space="preserve">Whether the</w:t>
      </w:r>
      <w:r>
        <w:t xml:space="preserve"> </w:t>
      </w:r>
      <w:r>
        <w:rPr>
          <w:bCs/>
          <w:b/>
        </w:rPr>
        <w:t xml:space="preserve">AI Office has published the Art. 27(5) FRIA template</w:t>
      </w:r>
      <w:r>
        <w:t xml:space="preserve">.</w:t>
      </w:r>
    </w:p>
    <w:p>
      <w:pPr>
        <w:numPr>
          <w:ilvl w:val="0"/>
          <w:numId w:val="1030"/>
        </w:numPr>
        <w:pStyle w:val="Compact"/>
      </w:pPr>
      <w:r>
        <w:t xml:space="preserve">Whether</w:t>
      </w:r>
      <w:r>
        <w:t xml:space="preserve"> </w:t>
      </w:r>
      <w:r>
        <w:rPr>
          <w:bCs/>
          <w:b/>
        </w:rPr>
        <w:t xml:space="preserve">any authority has addressed the Art. 49 / Chapter III Section 5 application gap</w:t>
      </w:r>
      <w:r>
        <w:t xml:space="preserve"> </w:t>
      </w:r>
      <w:r>
        <w:t xml:space="preserve">(§4.5). None found.</w:t>
      </w:r>
    </w:p>
    <w:p>
      <w:pPr>
        <w:numPr>
          <w:ilvl w:val="0"/>
          <w:numId w:val="1030"/>
        </w:numPr>
        <w:pStyle w:val="Compact"/>
      </w:pPr>
      <w:r>
        <w:t xml:space="preserve">Whether</w:t>
      </w:r>
      <w:r>
        <w:t xml:space="preserve"> </w:t>
      </w:r>
      <w:r>
        <w:rPr>
          <w:bCs/>
          <w:b/>
        </w:rPr>
        <w:t xml:space="preserve">EDPB Guidelines 01/2025 on pseudonymisation</w:t>
      </w:r>
      <w:r>
        <w:t xml:space="preserve"> </w:t>
      </w:r>
      <w:r>
        <w:t xml:space="preserve">have been finalised post-consultation.</w:t>
      </w:r>
    </w:p>
    <w:p>
      <w:pPr>
        <w:pStyle w:val="FirstParagraph"/>
      </w:pPr>
      <w:r>
        <w:rPr>
          <w:bCs/>
          <w:b/>
        </w:rPr>
        <w:t xml:space="preserve">Germany</w:t>
      </w:r>
    </w:p>
    <w:p>
      <w:pPr>
        <w:numPr>
          <w:ilvl w:val="0"/>
          <w:numId w:val="1031"/>
        </w:numPr>
        <w:pStyle w:val="Compact"/>
      </w:pPr>
      <w:r>
        <w:t xml:space="preserve">School data-protection provisions and ordinance names for</w:t>
      </w:r>
      <w:r>
        <w:t xml:space="preserve"> </w:t>
      </w:r>
      <w:r>
        <w:rPr>
          <w:bCs/>
          <w:b/>
        </w:rPr>
        <w:t xml:space="preserve">Berlin, Rheinland-Pfalz, Sachsen, Saarland, Schleswig-Holstein, Hamburg, Bremen, Brandenburg, Mecklenburg-Vorpommern, Sachsen-Anhalt and Thüringen</w:t>
      </w:r>
      <w:r>
        <w:t xml:space="preserve">. Section numbers for these Länder should not be cited from this paper.</w:t>
      </w:r>
    </w:p>
    <w:p>
      <w:pPr>
        <w:numPr>
          <w:ilvl w:val="0"/>
          <w:numId w:val="1031"/>
        </w:numPr>
        <w:pStyle w:val="Compact"/>
      </w:pPr>
      <w:r>
        <w:rPr>
          <w:bCs/>
          <w:b/>
        </w:rPr>
        <w:t xml:space="preserve">Baden-Württemberg § 115b SchG and the DUVO text</w:t>
      </w:r>
      <w:r>
        <w:t xml:space="preserve"> </w:t>
      </w:r>
      <w:r>
        <w:t xml:space="preserve">(ministry citation, texts not read); the</w:t>
      </w:r>
      <w:r>
        <w:t xml:space="preserve"> </w:t>
      </w:r>
      <w:r>
        <w:rPr>
          <w:bCs/>
          <w:b/>
        </w:rPr>
        <w:t xml:space="preserve">Hessen SchulDSVO</w:t>
      </w:r>
      <w:r>
        <w:t xml:space="preserve"> </w:t>
      </w:r>
      <w:r>
        <w:t xml:space="preserve">consolidated text.</w:t>
      </w:r>
    </w:p>
    <w:p>
      <w:pPr>
        <w:numPr>
          <w:ilvl w:val="0"/>
          <w:numId w:val="1031"/>
        </w:numPr>
        <w:pStyle w:val="Compact"/>
      </w:pPr>
      <w:r>
        <w:rPr>
          <w:bCs/>
          <w:b/>
        </w:rPr>
        <w:t xml:space="preserve">Länder co-determination provisions</w:t>
      </w:r>
      <w:r>
        <w:t xml:space="preserve"> </w:t>
      </w:r>
      <w:r>
        <w:t xml:space="preserve">(only the federal BPersVG was verified) and the</w:t>
      </w:r>
      <w:r>
        <w:t xml:space="preserve"> </w:t>
      </w:r>
      <w:r>
        <w:rPr>
          <w:bCs/>
          <w:b/>
        </w:rPr>
        <w:t xml:space="preserve">Länder equivalents of § 35a VwVfG</w:t>
      </w:r>
      <w:r>
        <w:t xml:space="preserve">.</w:t>
      </w:r>
    </w:p>
    <w:p>
      <w:pPr>
        <w:numPr>
          <w:ilvl w:val="0"/>
          <w:numId w:val="1031"/>
        </w:numPr>
        <w:pStyle w:val="Compact"/>
      </w:pPr>
      <w:r>
        <w:rPr>
          <w:bCs/>
          <w:b/>
        </w:rPr>
        <w:t xml:space="preserve">HRK positions</w:t>
      </w:r>
      <w:r>
        <w:t xml:space="preserve"> </w:t>
      </w:r>
      <w:r>
        <w:t xml:space="preserve">on AI in university examinations — the KI-LOTSE project and the November 2024 paper could not be opened.</w:t>
      </w:r>
    </w:p>
    <w:p>
      <w:pPr>
        <w:numPr>
          <w:ilvl w:val="0"/>
          <w:numId w:val="1031"/>
        </w:numPr>
        <w:pStyle w:val="Compact"/>
      </w:pPr>
      <w:r>
        <w:rPr>
          <w:bCs/>
          <w:b/>
        </w:rPr>
        <w:t xml:space="preserve">LOGINEO NRW, mebis, itslearning and Microsoft 365 authorisation timelines.</w:t>
      </w:r>
      <w:r>
        <w:t xml:space="preserve"> </w:t>
      </w:r>
      <w:r>
        <w:t xml:space="preserve">The timeline estimates in §8.1 are structural inferences, not precedents, and should be verified before being relied on.</w:t>
      </w:r>
    </w:p>
    <w:p>
      <w:pPr>
        <w:numPr>
          <w:ilvl w:val="0"/>
          <w:numId w:val="1031"/>
        </w:numPr>
        <w:pStyle w:val="Compact"/>
      </w:pPr>
      <w:r>
        <w:t xml:space="preserve">No specific published position on AI-assisted grading was found from</w:t>
      </w:r>
      <w:r>
        <w:t xml:space="preserve"> </w:t>
      </w:r>
      <w:r>
        <w:rPr>
          <w:bCs/>
          <w:b/>
        </w:rPr>
        <w:t xml:space="preserve">BayLDA, LDI NRW, BlnBDI or HBDI</w:t>
      </w:r>
      <w:r>
        <w:t xml:space="preserve"> </w:t>
      </w:r>
      <w:r>
        <w:t xml:space="preserve">— absence of evidence from a truncated search, not evidence of absence.</w:t>
      </w:r>
    </w:p>
    <w:p>
      <w:pPr>
        <w:pStyle w:val="FirstParagraph"/>
      </w:pPr>
      <w:r>
        <w:rPr>
          <w:bCs/>
          <w:b/>
        </w:rPr>
        <w:t xml:space="preserve">United Kingdom</w:t>
      </w:r>
    </w:p>
    <w:p>
      <w:pPr>
        <w:numPr>
          <w:ilvl w:val="0"/>
          <w:numId w:val="1032"/>
        </w:numPr>
        <w:pStyle w:val="Compact"/>
      </w:pPr>
      <w:r>
        <w:rPr>
          <w:bCs/>
          <w:b/>
        </w:rPr>
        <w:t xml:space="preserve">Final ICO ADM guidance</w:t>
      </w:r>
      <w:r>
        <w:t xml:space="preserve"> </w:t>
      </w:r>
      <w:r>
        <w:t xml:space="preserve">(consultation closed 29 May 2026; not published). All</w:t>
      </w:r>
      <w:r>
        <w:t xml:space="preserve"> </w:t>
      </w:r>
      <w:r>
        <w:t xml:space="preserve">“</w:t>
      </w:r>
      <w:r>
        <w:t xml:space="preserve">meaningful human involvement</w:t>
      </w:r>
      <w:r>
        <w:t xml:space="preserve">”</w:t>
      </w:r>
      <w:r>
        <w:t xml:space="preserve"> </w:t>
      </w:r>
      <w:r>
        <w:t xml:space="preserve">detail is from the draft.</w:t>
      </w:r>
    </w:p>
    <w:p>
      <w:pPr>
        <w:numPr>
          <w:ilvl w:val="0"/>
          <w:numId w:val="1032"/>
        </w:numPr>
        <w:pStyle w:val="Compact"/>
      </w:pPr>
      <w:r>
        <w:rPr>
          <w:bCs/>
          <w:b/>
        </w:rPr>
        <w:t xml:space="preserve">The statutory ICO AI/ADM code under SI 2026/425</w:t>
      </w:r>
      <w:r>
        <w:t xml:space="preserve"> </w:t>
      </w:r>
      <w:r>
        <w:t xml:space="preserve">— the duty is in force but no draft, consultation or timetable was found. Its children’s-data chapter will be the definitive UK conformance document.</w:t>
      </w:r>
    </w:p>
    <w:p>
      <w:pPr>
        <w:numPr>
          <w:ilvl w:val="0"/>
          <w:numId w:val="1032"/>
        </w:numPr>
        <w:pStyle w:val="Compact"/>
      </w:pPr>
      <w:r>
        <w:rPr>
          <w:bCs/>
          <w:b/>
        </w:rPr>
        <w:t xml:space="preserve">JCQ section numbering</w:t>
      </w:r>
      <w:r>
        <w:t xml:space="preserve"> </w:t>
      </w:r>
      <w:r>
        <w:t xml:space="preserve">— quotes come from the website rendering; the PDFs returned errors.</w:t>
      </w:r>
    </w:p>
    <w:p>
      <w:pPr>
        <w:numPr>
          <w:ilvl w:val="0"/>
          <w:numId w:val="1032"/>
        </w:numPr>
        <w:pStyle w:val="Compact"/>
      </w:pPr>
      <w:r>
        <w:rPr>
          <w:bCs/>
          <w:b/>
        </w:rPr>
        <w:t xml:space="preserve">Any OfS AI-specific condition or guidance</w:t>
      </w:r>
      <w:r>
        <w:t xml:space="preserve">, and any 2025–26 QAA output on AI marking. None found.</w:t>
      </w:r>
    </w:p>
    <w:p>
      <w:pPr>
        <w:numPr>
          <w:ilvl w:val="0"/>
          <w:numId w:val="1032"/>
        </w:numPr>
        <w:pStyle w:val="Compact"/>
      </w:pPr>
      <w:r>
        <w:rPr>
          <w:bCs/>
          <w:b/>
        </w:rPr>
        <w:t xml:space="preserve">The formal route for adding a third-party service to Glow</w:t>
      </w:r>
      <w:r>
        <w:t xml:space="preserve"> </w:t>
      </w:r>
      <w:r>
        <w:t xml:space="preserve">(Scotland) and a formal published supplier-assurance regime for</w:t>
      </w:r>
      <w:r>
        <w:t xml:space="preserve"> </w:t>
      </w:r>
      <w:r>
        <w:rPr>
          <w:bCs/>
          <w:b/>
        </w:rPr>
        <w:t xml:space="preserve">Hwb</w:t>
      </w:r>
      <w:r>
        <w:t xml:space="preserve"> </w:t>
      </w:r>
      <w:r>
        <w:t xml:space="preserve">(Wales). Both routes in §8.2 are moderate-confidence inferences.</w:t>
      </w:r>
    </w:p>
    <w:p>
      <w:pPr>
        <w:pStyle w:val="FirstParagraph"/>
      </w:pPr>
      <w:r>
        <w:rPr>
          <w:bCs/>
          <w:b/>
        </w:rPr>
        <w:t xml:space="preserve">United States</w:t>
      </w:r>
    </w:p>
    <w:p>
      <w:pPr>
        <w:numPr>
          <w:ilvl w:val="0"/>
          <w:numId w:val="1033"/>
        </w:numPr>
        <w:pStyle w:val="Compact"/>
      </w:pPr>
      <w:r>
        <w:rPr>
          <w:bCs/>
          <w:b/>
        </w:rPr>
        <w:t xml:space="preserve">Oklahoma SB 1734 enrolled text.</w:t>
      </w:r>
      <w:r>
        <w:t xml:space="preserve"> </w:t>
      </w:r>
      <w:r>
        <w:t xml:space="preserve">Provisions consistently reported across four secondary sources; exact statutory wording unverified.</w:t>
      </w:r>
    </w:p>
    <w:p>
      <w:pPr>
        <w:numPr>
          <w:ilvl w:val="0"/>
          <w:numId w:val="1033"/>
        </w:numPr>
        <w:pStyle w:val="Compact"/>
      </w:pPr>
      <w:r>
        <w:rPr>
          <w:bCs/>
          <w:b/>
        </w:rPr>
        <w:t xml:space="preserve">NDPA v2.2 Exhibit E verbatim text</w:t>
      </w:r>
      <w:r>
        <w:t xml:space="preserve">, which was not available for this review.</w:t>
      </w:r>
    </w:p>
    <w:p>
      <w:pPr>
        <w:numPr>
          <w:ilvl w:val="0"/>
          <w:numId w:val="1033"/>
        </w:numPr>
        <w:pStyle w:val="Compact"/>
      </w:pPr>
      <w:r>
        <w:t xml:space="preserve">The date and instrument of</w:t>
      </w:r>
      <w:r>
        <w:t xml:space="preserve"> </w:t>
      </w:r>
      <w:r>
        <w:rPr>
          <w:bCs/>
          <w:b/>
        </w:rPr>
        <w:t xml:space="preserve">rescission of ED OCR’s AI guidance</w:t>
      </w:r>
      <w:r>
        <w:t xml:space="preserve">; whether</w:t>
      </w:r>
      <w:r>
        <w:t xml:space="preserve"> </w:t>
      </w:r>
      <w:r>
        <w:rPr>
          <w:bCs/>
          <w:b/>
        </w:rPr>
        <w:t xml:space="preserve">APA challenges to the Title VI disparate-impact rescission</w:t>
      </w:r>
      <w:r>
        <w:t xml:space="preserve"> </w:t>
      </w:r>
      <w:r>
        <w:t xml:space="preserve">are pending.</w:t>
      </w:r>
    </w:p>
    <w:p>
      <w:pPr>
        <w:numPr>
          <w:ilvl w:val="0"/>
          <w:numId w:val="1033"/>
        </w:numPr>
        <w:pStyle w:val="Compact"/>
      </w:pPr>
      <w:r>
        <w:rPr>
          <w:bCs/>
          <w:b/>
        </w:rPr>
        <w:t xml:space="preserve">The Edmodo stipulated order text</w:t>
      </w:r>
      <w:r>
        <w:t xml:space="preserve">, including the algorithmic-deletion provision.</w:t>
      </w:r>
    </w:p>
    <w:p>
      <w:pPr>
        <w:numPr>
          <w:ilvl w:val="0"/>
          <w:numId w:val="1033"/>
        </w:numPr>
        <w:pStyle w:val="Compact"/>
      </w:pPr>
      <w:r>
        <w:rPr>
          <w:bCs/>
          <w:b/>
        </w:rPr>
        <w:t xml:space="preserve">MSCHE (July 2025) and C-RAC (October 2025) AI statements</w:t>
      </w:r>
      <w:r>
        <w:t xml:space="preserve"> </w:t>
      </w:r>
      <w:r>
        <w:t xml:space="preserve">— both failed to fetch; they are required before any position is taken on US higher education.</w:t>
      </w:r>
    </w:p>
    <w:p>
      <w:pPr>
        <w:numPr>
          <w:ilvl w:val="0"/>
          <w:numId w:val="1033"/>
        </w:numPr>
        <w:pStyle w:val="Compact"/>
      </w:pPr>
      <w:r>
        <w:rPr>
          <w:bCs/>
          <w:b/>
        </w:rPr>
        <w:t xml:space="preserve">Whether any FERPA NPRM has been published</w:t>
      </w:r>
      <w:r>
        <w:t xml:space="preserve"> </w:t>
      </w:r>
      <w:r>
        <w:t xml:space="preserve">under the agenda item the FTC deferred to. The entire COPPA edtech stalemate rests on it.</w:t>
      </w:r>
    </w:p>
    <w:p>
      <w:pPr>
        <w:numPr>
          <w:ilvl w:val="0"/>
          <w:numId w:val="1033"/>
        </w:numPr>
        <w:pStyle w:val="Compact"/>
      </w:pPr>
      <w:r>
        <w:rPr>
          <w:bCs/>
          <w:b/>
        </w:rPr>
        <w:t xml:space="preserve">The outcome of the Florida State Board of Education AI rule vote, 16 September 2026.</w:t>
      </w:r>
    </w:p>
    <w:p>
      <w:pPr>
        <w:numPr>
          <w:ilvl w:val="0"/>
          <w:numId w:val="1033"/>
        </w:numPr>
        <w:pStyle w:val="Compact"/>
      </w:pPr>
      <w:r>
        <w:t xml:space="preserve">Status of</w:t>
      </w:r>
      <w:r>
        <w:t xml:space="preserve"> </w:t>
      </w:r>
      <w:r>
        <w:rPr>
          <w:bCs/>
          <w:b/>
        </w:rPr>
        <w:t xml:space="preserve">California AB 1064</w:t>
      </w:r>
      <w:r>
        <w:t xml:space="preserve">; scope of</w:t>
      </w:r>
      <w:r>
        <w:t xml:space="preserve"> </w:t>
      </w:r>
      <w:r>
        <w:rPr>
          <w:bCs/>
          <w:b/>
        </w:rPr>
        <w:t xml:space="preserve">Alabama HB 329</w:t>
      </w:r>
      <w:r>
        <w:t xml:space="preserve">,</w:t>
      </w:r>
      <w:r>
        <w:t xml:space="preserve"> </w:t>
      </w:r>
      <w:r>
        <w:rPr>
          <w:bCs/>
          <w:b/>
        </w:rPr>
        <w:t xml:space="preserve">Hawaii SB 2212</w:t>
      </w:r>
      <w:r>
        <w:t xml:space="preserve"> </w:t>
      </w:r>
      <w:r>
        <w:t xml:space="preserve">and</w:t>
      </w:r>
      <w:r>
        <w:t xml:space="preserve"> </w:t>
      </w:r>
      <w:r>
        <w:rPr>
          <w:bCs/>
          <w:b/>
        </w:rPr>
        <w:t xml:space="preserve">West Virginia HB 5205</w:t>
      </w:r>
      <w:r>
        <w:t xml:space="preserve">; the</w:t>
      </w:r>
      <w:r>
        <w:t xml:space="preserve"> </w:t>
      </w:r>
      <w:r>
        <w:rPr>
          <w:bCs/>
          <w:b/>
        </w:rPr>
        <w:t xml:space="preserve">Tennessee LEA AI-policy section number</w:t>
      </w:r>
      <w:r>
        <w:t xml:space="preserve">; whether a</w:t>
      </w:r>
      <w:r>
        <w:t xml:space="preserve"> </w:t>
      </w:r>
      <w:r>
        <w:rPr>
          <w:bCs/>
          <w:b/>
        </w:rPr>
        <w:t xml:space="preserve">revised NIST AI RMF</w:t>
      </w:r>
      <w:r>
        <w:t xml:space="preserve"> </w:t>
      </w:r>
      <w:r>
        <w:t xml:space="preserve">has been published.</w:t>
      </w:r>
    </w:p>
    <w:p>
      <w:pPr>
        <w:numPr>
          <w:ilvl w:val="0"/>
          <w:numId w:val="1033"/>
        </w:numPr>
        <w:pStyle w:val="Compact"/>
      </w:pPr>
      <w:r>
        <w:rPr>
          <w:bCs/>
          <w:b/>
        </w:rPr>
        <w:t xml:space="preserve">All AI product-liability case citations</w:t>
      </w:r>
      <w:r>
        <w:t xml:space="preserve"> </w:t>
      </w:r>
      <w:r>
        <w:t xml:space="preserve">referenced in secondary analysis, and the</w:t>
      </w:r>
      <w:r>
        <w:t xml:space="preserve"> </w:t>
      </w:r>
      <w:r>
        <w:rPr>
          <w:bCs/>
          <w:b/>
        </w:rPr>
        <w:t xml:space="preserve">AI E&amp;O insurance market</w:t>
      </w:r>
      <w:r>
        <w:t xml:space="preserve">, which was outside the scope of this review.</w:t>
      </w:r>
    </w:p>
    <w:p>
      <w:pPr>
        <w:pStyle w:val="FirstParagraph"/>
      </w:pPr>
      <w:r>
        <w:rPr>
          <w:bCs/>
          <w:b/>
        </w:rPr>
        <w:t xml:space="preserve">A note on source retrieval.</w:t>
      </w:r>
      <w:r>
        <w:t xml:space="preserve"> </w:t>
      </w:r>
      <w:r>
        <w:t xml:space="preserve">Three retrieval connectors (Brightdata, Anthropic Partner Network, Apollo) required re-authorisation during this research and could not be used. Closing the German Länder gaps at item 16 would be materially faster with working access to the DKJS, hessenrecht, landesrecht-bw and Medienberatung NRW hosts, which refused access.</w:t>
      </w:r>
    </w:p>
    <w:bookmarkEnd w:id="105"/>
    <w:bookmarkStart w:id="113" w:name="sources"/>
    <w:p>
      <w:pPr>
        <w:pStyle w:val="Heading2"/>
      </w:pPr>
      <w:r>
        <w:t xml:space="preserve">15. Sources</w:t>
      </w:r>
    </w:p>
    <w:bookmarkStart w:id="106" w:name="european-union-legislation"/>
    <w:p>
      <w:pPr>
        <w:pStyle w:val="Heading3"/>
      </w:pPr>
      <w:r>
        <w:t xml:space="preserve">15.1 European Union — legislation</w:t>
      </w:r>
    </w:p>
    <w:p>
      <w:pPr>
        <w:pStyle w:val="FirstParagraph"/>
      </w:pPr>
      <w:r>
        <w:t xml:space="preserve">Regulation (EU) 2024/1689 (AI Act) — https://eur-lex.europa.eu/eli/reg/2024/1689/oj · Regulation (EU) 2026/1744 (Digital Omnibus on AI) — https://eur-lex.europa.eu/eli/reg/2026/1744/oj/eng · Regulation (EU) 2016/679 (GDPR) — https://eur-lex.europa.eu/eli/reg/2016/679/oj · Directive (EU) 2024/2853 (revised Product Liability Directive) — https://eur-lex.europa.eu/eli/dir/2024/2853/oj · Regulation (EU) 2023/2854 (Data Act) — https://eur-lex.europa.eu/eli/reg/2023/2854/oj · Regulation (EU) 2022/868 (Data Governance Act) — https://eur-lex.europa.eu/eli/reg/2022/868/oj · Directive (EU) 2022/2555 (NIS2) — https://eur-lex.europa.eu/eli/dir/2022/2555/oj · Directive (EU) 2019/882 (European Accessibility Act) — https://eur-lex.europa.eu/eli/dir/2019/882/oj · Directive (EU) 2016/2102 (Web Accessibility Directive) — https://eur-lex.europa.eu/eli/dir/2016/2102/oj · Regulation (EU) 2024/1183 (eIDAS 2) — https://eur-lex.europa.eu/eli/reg/2024/1183/oj · AI Liability Directive, withdrawn: EP Legislative Train — https://www.europarl.europa.eu/legislative-train/theme-a-europe-fit-for-the-digital-age/file-ai-liability-directive ; EP Legislative Observatory 2022/0303(COD) — https://oeil.secure.europarl.europa.eu/oeil/en/procedure-file?reference=2022/0303(COD)</w:t>
      </w:r>
    </w:p>
    <w:bookmarkEnd w:id="106"/>
    <w:bookmarkStart w:id="107" w:name="european-union-case-law"/>
    <w:p>
      <w:pPr>
        <w:pStyle w:val="Heading3"/>
      </w:pPr>
      <w:r>
        <w:t xml:space="preserve">15.2 European Union — case law</w:t>
      </w:r>
    </w:p>
    <w:p>
      <w:pPr>
        <w:pStyle w:val="FirstParagraph"/>
      </w:pPr>
      <w:r>
        <w:t xml:space="preserve">C-434/16</w:t>
      </w:r>
      <w:r>
        <w:t xml:space="preserve"> </w:t>
      </w:r>
      <w:r>
        <w:rPr>
          <w:iCs/>
          <w:i/>
        </w:rPr>
        <w:t xml:space="preserve">Nowak</w:t>
      </w:r>
      <w:r>
        <w:t xml:space="preserve"> </w:t>
      </w:r>
      <w:r>
        <w:t xml:space="preserve">(20 Dec 2017) — https://eur-lex.europa.eu/legal-content/EN/TXT/HTML/?uri=CELEX:62016CJ0434 · C-634/21</w:t>
      </w:r>
      <w:r>
        <w:t xml:space="preserve"> </w:t>
      </w:r>
      <w:r>
        <w:rPr>
          <w:iCs/>
          <w:i/>
        </w:rPr>
        <w:t xml:space="preserve">SCHUFA Holding</w:t>
      </w:r>
      <w:r>
        <w:t xml:space="preserve"> </w:t>
      </w:r>
      <w:r>
        <w:t xml:space="preserve">(7 Dec 2023) — https://www.dpcuria.eu/details?reference=C-634%2F21 · C-203/22</w:t>
      </w:r>
      <w:r>
        <w:t xml:space="preserve"> </w:t>
      </w:r>
      <w:r>
        <w:rPr>
          <w:iCs/>
          <w:i/>
        </w:rPr>
        <w:t xml:space="preserve">Dun &amp; Bradstreet Austria</w:t>
      </w:r>
      <w:r>
        <w:t xml:space="preserve"> </w:t>
      </w:r>
      <w:r>
        <w:t xml:space="preserve">(27 Feb 2025) — https://eur-lex.europa.eu/legal-content/EN/TXT/HTML/?uri=CELEX:62022CJ0203 · C-413/23 P</w:t>
      </w:r>
      <w:r>
        <w:t xml:space="preserve"> </w:t>
      </w:r>
      <w:r>
        <w:rPr>
          <w:iCs/>
          <w:i/>
        </w:rPr>
        <w:t xml:space="preserve">EDPS v SRB</w:t>
      </w:r>
      <w:r>
        <w:t xml:space="preserve"> </w:t>
      </w:r>
      <w:r>
        <w:t xml:space="preserve">(4 Sep 2025), CURIA press release CP 107/25 — https://curia.europa.eu/site/upload/docs/application/pdf/2025-09/cp250107en.pdf · T-553/23</w:t>
      </w:r>
      <w:r>
        <w:t xml:space="preserve"> </w:t>
      </w:r>
      <w:r>
        <w:rPr>
          <w:iCs/>
          <w:i/>
        </w:rPr>
        <w:t xml:space="preserve">Latombe v Commission</w:t>
      </w:r>
      <w:r>
        <w:t xml:space="preserve"> </w:t>
      </w:r>
      <w:r>
        <w:t xml:space="preserve">(3 Sep 2025) — https://eur-lex.europa.eu/legal-content/EN/TXT/HTML/?uri=CELEX:62023TJ0553</w:t>
      </w:r>
    </w:p>
    <w:bookmarkEnd w:id="107"/>
    <w:bookmarkStart w:id="108" w:name="european-union-regulatory-guidance"/>
    <w:p>
      <w:pPr>
        <w:pStyle w:val="Heading3"/>
      </w:pPr>
      <w:r>
        <w:t xml:space="preserve">15.3 European Union — regulatory guidance</w:t>
      </w:r>
    </w:p>
    <w:p>
      <w:pPr>
        <w:pStyle w:val="FirstParagraph"/>
      </w:pPr>
      <w:r>
        <w:t xml:space="preserve">WP251rev.01, Guidelines on Automated individual decision-making and Profiling — https://ec.europa.eu/newsroom/article29/items/612053/en · WP248rev.01, DPIA Guidelines — https://ec.europa.eu/newsroom/article29/redirection/document/44137 · EDPB Opinion 28/2024 on AI models — https://www.edpb.europa.eu/system/files/2024-12/edpb_opinion_202428_ai-models_en.pdf · EDPB Guidelines 01/2025 on Pseudonymisation — https://www.edpb.europa.eu/system/files/2025-01/edpb_guidelines_202501_pseudonymisation_en.pdf · EDPB Guidelines 02/2026 on Anonymisation — https://www.edpb.europa.eu/system/files/2026-07/edpb_guidelines_202602_anonymisation_v1_en_0.pdf · Draft Commission guidelines on classification of high-risk AI systems (19 May 2026) — https://digital-strategy.ec.europa.eu/en/library/draft-commission-guidelines-classification-high-risk-ai-systems · Commission AI Act Service Desk, Recital 56 — https://ai-act-service-desk.ec.europa.eu/en/ai-act/recital-56 · CEN-CENELEC JTC 21 — https://www.cencenelec.eu/areas-of-work/cen-cenelec-topics/artificial-intelligence/</w:t>
      </w:r>
    </w:p>
    <w:bookmarkEnd w:id="108"/>
    <w:bookmarkStart w:id="109" w:name="germany-2"/>
    <w:p>
      <w:pPr>
        <w:pStyle w:val="Heading3"/>
      </w:pPr>
      <w:r>
        <w:t xml:space="preserve">15.4 Germany</w:t>
      </w:r>
    </w:p>
    <w:p>
      <w:pPr>
        <w:pStyle w:val="FirstParagraph"/>
      </w:pPr>
      <w:r>
        <w:rPr>
          <w:bCs/>
          <w:b/>
        </w:rPr>
        <w:t xml:space="preserve">Legislation.</w:t>
      </w:r>
      <w:r>
        <w:t xml:space="preserve"> </w:t>
      </w:r>
      <w:r>
        <w:t xml:space="preserve">KI-MIG — https://www.gesetze-im-internet.de/ki-mig/BJNR0DF0B0026.html · § 35a VwVfG — https://www.gesetze-im-internet.de/vwvfg/__35a.html · § 54 BDSG — https://www.gesetze-im-internet.de/bdsg_2018/__54.html · § 80 BPersVG — https://www.gesetze-im-internet.de/bpersvg_2021/__80.html · SchulG NRW — https://bass.schule.nrw/pdf/6043.pdf · VO-DV I — https://bass.schule.nrw/pdf/101.pdf · VO-DV II — https://bass.schule.nrw/1393.htm · Art. 85 BayEUG — https://www.gesetze-bayern.de/Content/Document/BayEUG-85 · Art. 85a BayEUG — https://www.gesetze-bayern.de/Content/Document/BayEUG-85a · VollzBek DS-Schulen (BayMBl. 2022 Nr. 435) — https://www.verkuendung-bayern.de/files/baymbl/2022/435/baymbl-2022-435.pdf · § 31 NSchG — https://voris.wolterskluwer-online.de/browse/document/5dc11ebf-5e37-3908-9d1d-8e24890d49ef · Zulassung von Lernmitteln NRW — https://bass.schule.nrw/5393.htm</w:t>
      </w:r>
    </w:p>
    <w:p>
      <w:pPr>
        <w:pStyle w:val="BodyText"/>
      </w:pPr>
      <w:r>
        <w:rPr>
          <w:bCs/>
          <w:b/>
        </w:rPr>
        <w:t xml:space="preserve">Case law.</w:t>
      </w:r>
      <w:r>
        <w:t xml:space="preserve"> </w:t>
      </w:r>
      <w:r>
        <w:t xml:space="preserve">Kraft,</w:t>
      </w:r>
      <w:r>
        <w:t xml:space="preserve"> </w:t>
      </w:r>
      <w:r>
        <w:rPr>
          <w:iCs/>
          <w:i/>
        </w:rPr>
        <w:t xml:space="preserve">Neuere Rechtsprechung des BVerwG zum Prüfungsrecht</w:t>
      </w:r>
      <w:r>
        <w:t xml:space="preserve"> </w:t>
      </w:r>
      <w:r>
        <w:t xml:space="preserve">(May 2022) — http://www.ingokraft.de/Docs/PruefungsR.pdf · BVerwG 6 C 19.18 — https://www.bverwg.de/100419u6c19.18.0</w:t>
      </w:r>
    </w:p>
    <w:p>
      <w:pPr>
        <w:pStyle w:val="BodyText"/>
      </w:pPr>
      <w:r>
        <w:rPr>
          <w:bCs/>
          <w:b/>
        </w:rPr>
        <w:t xml:space="preserve">KMK / Bildungs-MK.</w:t>
      </w:r>
      <w:r>
        <w:t xml:space="preserve"> </w:t>
      </w:r>
      <w:r>
        <w:t xml:space="preserve">Handlungsempfehlung KI (10.10.2024) — https://www.kmk.org/fileadmin/Dateien/veroeffentlichungen_beschluesse/2024/2024_10_10-Handlungsempfehlung-KI.pdf · Neue Struktur der KMK — https://www.kmk.org/aktuelles/artikelansicht/neue-struktur-der-kultusministerkonferenz-strategische-neuausrichtung-fuer-die-bereiche-bildung-wissenschaft-und-kultur.html · Die Kultusministerkonferenz — https://www.kmk.org/kultusministerkonferenz.html</w:t>
      </w:r>
    </w:p>
    <w:p>
      <w:pPr>
        <w:pStyle w:val="BodyText"/>
      </w:pPr>
      <w:r>
        <w:rPr>
          <w:bCs/>
          <w:b/>
        </w:rPr>
        <w:t xml:space="preserve">Data protection.</w:t>
      </w:r>
      <w:r>
        <w:t xml:space="preserve"> </w:t>
      </w:r>
      <w:r>
        <w:t xml:space="preserve">DSK, Orientierungshilfe KI und Datenschutz V1.0 (06.05.2024) — https://www.datenschutzkonferenz-online.de/media/oh/20240506_DSK_Orientierungshilfe_KI_und_Datenschutz.pdf · DSK, Orientierungshilfe Online-Lernplattformen (26.04.2018) — https://www.datenschutzkonferenz-online.de/media/oh/20180426_oh_online_lernplattformen.pdf · DSK, TOM bei KI-Systemen (06/2025) — https://www.datenschutzkonferenz-online.de/media/oh/DSK-OH_KI-Systeme.pdf · DSK, RAG (10/2025) — https://www.datenschutzkonferenz-online.de/media/oh/DSK_OH_RAG.pdf · DSK, Muss-Liste DSFA v1.1 (17.10.2018) — https://www.datenschutzkonferenz-online.de/media/ah/20181017_ah_DSK_DSFA_Muss-Liste_Version_1.1_Deutsch.pdf · LfDI BW, Diskussionspapier V2.0 — https://www.baden-wuerttemberg.datenschutz.de/version-2-0-diskussionspapier-rechtsgrundlagen-im-datenschutz-beim-einsatz-von-kuenstlicher-intelligenz/ · HmbBfDI, LLM-Diskussionspapier (15.07.2024) — https://datenschutz-hamburg.de/fileadmin/user_upload/HmbBfDI/Datenschutz/Informationen/240715_Diskussionspapier_HmbBfDI_KI_Modelle.pdf · BayLfD, FAQ Schulen — https://www.datenschutz-bayern.de/datenschutzreform2018/FAQ_Schulen.pdf · BfDI, Handreichung KI (22.12.2025) — https://www.bfdi.bund.de/SharedDocs/Downloads/DE/DokumenteBfDI/Dokumente-allg/2025/Handreichung-KI.pdf</w:t>
      </w:r>
    </w:p>
    <w:p>
      <w:pPr>
        <w:pStyle w:val="BodyText"/>
      </w:pPr>
      <w:r>
        <w:rPr>
          <w:bCs/>
          <w:b/>
        </w:rPr>
        <w:t xml:space="preserve">Länder guidance.</w:t>
      </w:r>
      <w:r>
        <w:t xml:space="preserve"> </w:t>
      </w:r>
      <w:r>
        <w:t xml:space="preserve">BW Kultusministerium, KI im Unterricht — https://km.baden-wuerttemberg.de/de/schule/digitalisierung/kuenstliche-intelligenz-im-unterricht · Bayern KM, KI — https://www.km.bayern.de/gestalten/digitalisierung/kuenstliche-intelligenz · Hessen, Handreichung KI (07/2023) — https://digitale-schule.hessen.de/sites/digitale-schule.hessen.de/files/2023-07/ki_handreichung.pdf · NRW, Handlungsleitfaden (02/2023) — https://www.schulministerium.nrw/system/files/media/document/file/handlungsleitfaden_ki_msb_nrw_230223.pdf · NRW Datenschutz-FAQ — https://www.schulministerium.nrw/fragen-und-antworten-zum-datenschutz</w:t>
      </w:r>
    </w:p>
    <w:p>
      <w:pPr>
        <w:pStyle w:val="BodyText"/>
      </w:pPr>
      <w:r>
        <w:rPr>
          <w:bCs/>
          <w:b/>
        </w:rPr>
        <w:t xml:space="preserve">NRW parliamentary process (motion 18/18104 and hearing submissions).</w:t>
      </w:r>
      <w:r>
        <w:t xml:space="preserve"> </w:t>
      </w:r>
      <w:r>
        <w:t xml:space="preserve">FDP motion text — https://fdp.fraktion.nrw/initiative/ki-korrektur-zum-standard-machen-lehrkraefte-entlasten-feedback-verbessern · Official motion, Drucksache 18/18104 — https://www.landtag.nrw.de/portal/WWW/dokumentenarchiv/Dokument/MMD18-18104.pdf · Landtag document collection for 18/18104 — https://www.landtag.nrw.de/home/dokumente/dokumentensuche/parlamentsdokumente/aktuelle-dokumente.html?_eventId_sendform=&amp;dokNum=Drs+18%2F18104&amp;dokTyp=ST&amp;formId=searchByItem&amp;wp=18 · Kloppenburg (Ruhr-Universität Bochum), Stellungnahme 18/3853, 6 June 2026 — https://www.landtag.nrw.de/portal/WWW/dokumentenarchiv/Dokument/MMST18-3853.pdf · Philologenverband NRW 18/3786 — https://www.landtag.nrw.de/portal/WWW/dokumentenarchiv/Dokument/MMST18-3786.pdf · lehrer nrw 18/3828 — https://www.landtag.nrw.de/portal/WWW/dokumentenarchiv/Dokument/MMST18-3828.pdf · vlbs NRW 18/3870 — https://www.landtag.nrw.de/portal/WWW/dokumentenarchiv/Dokument/MMST18-3870.pdf · VBE NRW 18/3861 — https://www.landtag.nrw.de/portal/WWW/dokumentenarchiv/Dokument/MMST18-3861.pdf · GEW NRW 18/3872 — https://www.landtag.nrw.de/portal/WWW/dokumentenarchiv/Dokument/MMST18-3872.pdf · edaira GmbH 18/3823 — https://www.landtag.nrw.de/portal/WWW/dokumentenarchiv/Dokument/MMST18-3823.pdf · Schrader 18/3857 — https://www.landtag.nrw.de/portal/WWW/dokumentenarchiv/Dokument/MMST18-3857.pdf · Haverkamp / Wisniewski 18/3777 — https://www.landtag.nrw.de/portal/WWW/dokumentenarchiv/Dokument/MMST18-3777.pdf</w:t>
      </w:r>
    </w:p>
    <w:p>
      <w:pPr>
        <w:pStyle w:val="BodyText"/>
      </w:pPr>
      <w:r>
        <w:rPr>
          <w:bCs/>
          <w:b/>
        </w:rPr>
        <w:t xml:space="preserve">Further German material added on review.</w:t>
      </w:r>
      <w:r>
        <w:t xml:space="preserve"> </w:t>
      </w:r>
      <w:r>
        <w:t xml:space="preserve">SchulG NRW (consolidated, recht.nrw.de) — https://recht.nrw.de/lrgv/gesetz/01082025-schulgesetz-fuer-das-land-nordrhein-westfalen-schulgesetz-nrw-schulg/ · MSB NRW, ministry answer on AI-supported correction — https://www.schulministerium.nrw/node/26651 · Medienberatung NRW, AI and data protection FAQ (anonymisation vs pseudonymisation) — https://www.medienberatung.schulministerium.nrw.de/de/themen/datenschutz_1/fragen_zur_ki_nutzung_im_bereich_schule/fragen_zur_ki_nutzung_im_bereich_schule.html · Art. 34 GG — https://www.gesetze-im-internet.de/gg/art_34.html · LfDI Baden-Württemberg, Rechtsgrundlagen Datenschutz / KI — https://www.baden-wuerttemberg.datenschutz.de/rechtsgrundlagen-datenschutz-ki/ · AI Act consolidated text as at 27 July 2026 — https://eur-lex.europa.eu/eli/reg/2024/1689/2026-07-27/eng · AEPD, evaluating human intervention in automated decisions — https://www.aepd.es/en/press-and-communication/blog/evaluating-human-intervention-in-automated-decisions</w:t>
      </w:r>
    </w:p>
    <w:p>
      <w:pPr>
        <w:pStyle w:val="BodyText"/>
      </w:pPr>
      <w:r>
        <w:rPr>
          <w:bCs/>
          <w:b/>
        </w:rPr>
        <w:t xml:space="preserve">Other.</w:t>
      </w:r>
      <w:r>
        <w:t xml:space="preserve"> </w:t>
      </w:r>
      <w:r>
        <w:t xml:space="preserve">Bundestag WD 8 – 3000 – 004/25 — https://www.bundestag.de/resource/blob/1058904/7362e1bfab54b947f6ee3e661bec1706/WD-8-004-25-pdf.pdf · DKJS Memorandum (not retrievable) — https://www.dkjs.de/wp-content/uploads/2025/05/memorandum_ki_leistungsbewertung.pdf ; report — https://news.datenschutz-schule.info/2025/08/08/dkjs-memorandum-zu-ki-in-der-leistungbewertung/ · HRK KI-LOTSE (not read) — https://www.hrk.de/themen/hochschulsystem/ki-lotse/</w:t>
      </w:r>
    </w:p>
    <w:bookmarkEnd w:id="109"/>
    <w:bookmarkStart w:id="110" w:name="united-kingdom-2"/>
    <w:p>
      <w:pPr>
        <w:pStyle w:val="Heading3"/>
      </w:pPr>
      <w:r>
        <w:t xml:space="preserve">15.5 United Kingdom</w:t>
      </w:r>
    </w:p>
    <w:p>
      <w:pPr>
        <w:pStyle w:val="FirstParagraph"/>
      </w:pPr>
      <w:r>
        <w:rPr>
          <w:bCs/>
          <w:b/>
        </w:rPr>
        <w:t xml:space="preserve">Legislation.</w:t>
      </w:r>
      <w:r>
        <w:t xml:space="preserve"> </w:t>
      </w:r>
      <w:r>
        <w:t xml:space="preserve">Data (Use and Access) Act 2025 — https://www.legislation.gov.uk/ukpga/2025/18/contents ; s.80 (ADM) — https://www.legislation.gov.uk/ukpga/2025/18/section/80/enacted ; Sch.6 — https://www.legislation.gov.uk/ukpga/2025/18/schedule/6 ; s.103 — https://www.legislation.gov.uk/ukpga/2025/18/section/103 · SI 2026/82 (Commencement No.6) — https://www.legislation.gov.uk/uksi/2026/82/regulation/2/made · SI 2026/425 (AI/ADM Code Regulations) — https://www.legislation.gov.uk/uksi/2026/425/made · DPA 2018 Sch.2 Pt.4 (exam scripts) — https://www.legislation.gov.uk/ukpga/2018/12/schedule/2/part/4 · Children’s Wellbeing and Schools Act 2026 — https://www.legislation.gov.uk/ukpga/2026/21/contents · Education (Scotland) Act 2025 — https://www.legislation.gov.uk/asp/2025/11/contents</w:t>
      </w:r>
    </w:p>
    <w:p>
      <w:pPr>
        <w:pStyle w:val="BodyText"/>
      </w:pPr>
      <w:r>
        <w:rPr>
          <w:bCs/>
          <w:b/>
        </w:rPr>
        <w:t xml:space="preserve">ICO.</w:t>
      </w:r>
      <w:r>
        <w:t xml:space="preserve"> </w:t>
      </w:r>
      <w:r>
        <w:t xml:space="preserve">Edtech examined (24 Jun 2026) — https://ico.org.uk/media2/13yfm55z/edtech-examined-key-findings-from-our-audits.pdf ; statement — https://ico.org.uk/about-the-ico/media-centre/news-and-blogs/2026/06/ico-statement-on-edtech-examined-report/ · ADM guidance consultation — https://ico.org.uk/about-the-ico/ico-and-stakeholder-consultations/2026/03/ico-consultation-on-the-draft-guidance-about-automated-decision-making-including-profiling/ · AI and biometrics strategy update (Mar 2026) — https://ico.org.uk/about-the-ico/our-information/our-strategies-and-plans/artificial-intelligence-and-biometrics-strategy/ai-and-biometrics-strategy-update-march-2026/ · Children’s code and edtech — https://ico.org.uk/for-organisations/uk-gdpr-guidance-and-resources/childrens-information/childrens-code-guidance-and-resources/the-children-s-code-and-education-technologies-edtech/ · When a DPIA is needed — https://ico.org.uk/for-organisations/uk-gdpr-guidance-and-resources/accountability-and-governance/data-protection-impact-assessments-dpias/when-do-we-need-to-do-a-dpia/</w:t>
      </w:r>
    </w:p>
    <w:p>
      <w:pPr>
        <w:pStyle w:val="BodyText"/>
      </w:pPr>
      <w:r>
        <w:rPr>
          <w:bCs/>
          <w:b/>
        </w:rPr>
        <w:t xml:space="preserve">DfE and regulators.</w:t>
      </w:r>
      <w:r>
        <w:t xml:space="preserve"> </w:t>
      </w:r>
      <w:r>
        <w:t xml:space="preserve">Generative AI in education (policy paper) — https://www.gov.uk/government/publications/generative-artificial-intelligence-in-education/generative-artificial-intelligence-ai-in-education · Generative AI: product safety standards — https://www.gov.uk/government/publications/generative-ai-product-safety-standards/generative-ai-product-safety-standards · Data protection in schools — https://www.gov.uk/guidance/data-protection-in-schools ; responsibilities — https://www.gov.uk/guidance/data-protection-in-schools/responsibilities ; procuring edtech — https://www.gov.uk/guidance/data-protection-in-schools/procuring-educational-technology-edtech · Keeping children safe in education 2026 — https://www.gov.uk/government/publications/keeping-children-safe-in-education–2 · Buying for schools — https://www.gov.uk/guidance/buying-for-schools–2 ; DfE-approved frameworks — https://www.gov.uk/guidance/find-a-dfe-approved-framework-for-your-school · EdTech Impact Testbed Programme notice — https://www.contractsfinder.service.gov.uk/Notice/b40ba505-9e3d-4f9b-a479-6f1f678fb3d9 · Ofqual, approach to regulating AI — https://www.gov.uk/government/publications/ofquals-approach-to-regulating-the-use-of-artificial-intelligence-in-the-qualifications-sector/ofquals-approach-to-regulating-the-use-of-artificial-intelligence-in-the-qualifications-sector–2 · Ofqual, Principles of AI use in marking (14 Jan 2026) — https://www.gov.uk/government/publications/principles-of-ai-use-in-marking/principles-of-ai-use-in-marking · JCQ, AI Use in Assessments — https://www.jcq.org.uk/exams-office/malpractice/artificial-intelligence/ · ATRS mandatory scope and exemptions policy — https://www.gov.uk/government/publications/algorithmic-transparency-recording-standard-mandatory-scope-and-exemptions-policy/algorithmic-transparency-recording-standard-atrs-mandatory-scope-and-exemptions-policy · Commons Library CBP-10003, AI regulation in the UK (10 Jun 2026) — https://researchbriefings.files.parliament.uk/documents/CBP-10003/CBP-10003.pdf</w:t>
      </w:r>
    </w:p>
    <w:p>
      <w:pPr>
        <w:pStyle w:val="BodyText"/>
      </w:pPr>
      <w:r>
        <w:rPr>
          <w:bCs/>
          <w:b/>
        </w:rPr>
        <w:t xml:space="preserve">Devolved.</w:t>
      </w:r>
      <w:r>
        <w:t xml:space="preserve"> </w:t>
      </w:r>
      <w:r>
        <w:t xml:space="preserve">Scotland, AI in schools: guidelines and guardrails (25 Mar 2026) — https://www.gov.scot/publications/scottish-guidelines-guardrails-use-artificial-intelligence-ai-schools/ · Glow Connect — https://glowconnect.org.uk/about-glow/ · Qualifications Wales, AI position statement (14 Aug 2026) — https://qualifications.wales/news-views/our-updated-position-statement-on-artificial-intelligence/ · Hwb, generative AI in education — https://hwb.gov.wales/school-improvement-and-leadership/education-digital-standards/generative-artificial-intelligence-in-education · Education Wales, national approach (27 Feb 2026) — https://educationwales.blog.gov.wales/2026/02/27/generative-ai-in-education-wales-national-approach/ · DE Circular 2026/02 (NI) — https://www.into.ie/app/uploads/2026/05/DE-Circular-2026-02-Guidance-for-education-professionals-on-Generative-AI.pdf</w:t>
      </w:r>
    </w:p>
    <w:bookmarkEnd w:id="110"/>
    <w:bookmarkStart w:id="111" w:name="united-states-federal-1"/>
    <w:p>
      <w:pPr>
        <w:pStyle w:val="Heading3"/>
      </w:pPr>
      <w:r>
        <w:t xml:space="preserve">15.6 United States — federal</w:t>
      </w:r>
    </w:p>
    <w:p>
      <w:pPr>
        <w:pStyle w:val="FirstParagraph"/>
      </w:pPr>
      <w:r>
        <w:t xml:space="preserve">34 CFR Part 99 (FERPA) — https://www.ecfr.gov/current/title-34/subtitle-A/part-99 · 34 CFR § 99.31 — https://www.ecfr.gov/current/title-34/subtitle-A/part-99/subpart-D/section-99.31 · 20 U.S.C. § 1232h (PPRA) — https://www.law.cornell.edu/uscode/text/20/1232h · 34 CFR Part 300 Subpart F (IDEA confidentiality) — https://www.ecfr.gov/current/title-34/subtitle-B/chapter-III/part-300/subpart-F · 34 CFR § 600.2 (regular and substantive interaction) — https://www.ecfr.gov/current/title-34/subtitle-B/chapter-VI/part-600/subpart-A/section-600.2 ·</w:t>
      </w:r>
      <w:r>
        <w:t xml:space="preserve"> </w:t>
      </w:r>
      <w:r>
        <w:rPr>
          <w:iCs/>
          <w:i/>
        </w:rPr>
        <w:t xml:space="preserve">Gonzaga University v. Doe</w:t>
      </w:r>
      <w:r>
        <w:t xml:space="preserve">, 536 U.S. 273 (2002) — https://tile.loc.gov/storage-services/service/ll/usrep/usrep536/usrep536273/usrep536273.pdf · PTAC, Protecting Student Privacy While Using Online Educational Services (Feb 2014) — https://studentprivacy.ed.gov/sites/default/files/resource_document/file/Student%20Privacy%20and%20Online%20Educational%20Services%20%28February%202014%29_0.pdf · PTAC, Responsibilities of Third-Party Service Providers (Aug 2015) — https://studentprivacy.ed.gov/sites/default/files/resource_document/file/Vendor%20FAQ.pdf · COPPA Rule final amendments, 90 FR 16916 (22 Apr 2025) — https://www.federalregister.gov/documents/2025/04/22/2025-05904/childrens-online-privacy-protection-rule · FTC Policy Statement on Education Technology and COPPA (19 May 2022) — https://www.ftc.gov/system/files/ftc_gov/pdf/Policy%20Statement%20of%20the%20Federal%20Trade%20Commission%20on%20Education%20Technology.pdf · FTC v. Edmodo press release — https://www.ftc.gov/news-events/news/press-releases/2023/05/ftc-says-ed-tech-provider-edmodo-unlawfully-used-childrens-personal-information-advertising · ED OCR, Avoiding the Discriminatory Use of AI (Nov 2024, rescinded) — https://www.ed.gov/media/document/avoiding-discriminatory-use-of-artificial-intelligence-112274.pdf · EO 14281, 90 FR 17537 — https://www.federalregister.gov/documents/2025/04/28/2025-07378/restoring-equality-of-opportunity-and-meritocracy · ED Title VI disparate-impact rescission (24 Jul 2026) — https://www.federalregister.gov/documents/2026/07/24/2026-15019/rescinding-portions-of-the-department-of-education-title-vi-regulations-to-align-with-the-statutory · EO 14277 — https://www.presidency.ucsb.edu/documents/executive-order-14277-advancing-artificial-intelligence-education-for-american-youth · ED Dear Colleague Letter on AI grant funds (22 Jul 2025) — https://www.ed.gov/media/document/opepd-ai-dear-colleague-letter-7222025-110427.pdf · Final AI supplemental priority (13 Apr 2026) — https://www.federalregister.gov/documents/2026/04/13/2026-07087/final-priority-and-definitions-secretarys-supplemental-priority-and-definitions-on-advancing · EO 14179, 90 FR 8741 — https://www.federalregister.gov/documents/2025/01/31/2025-02172/removing-barriers-to-american-leadership-in-artificial-intelligence · EO 14365 (11 Dec 2025) — https://www.federalregister.gov/documents/2025/12/16/2025-23092/ensuring-a-national-policy-framework-for-artificial-intelligence · NIST AI RMF — https://www.nist.gov/itl/ai-risk-management-framework · NIST AI 600-1 — https://nvlpubs.nist.gov/nistpubs/ai/NIST.AI.600-1.pdf · ADA Title II web rule, 28 CFR § 35.200 — https://www.ecfr.gov/current/title-28/chapter-I/part-35/subpart-H/section-35.200 · DOJ interim final rule extending compliance dates, 91 FR 20902 (20 Apr 2026) — https://www.govinfo.gov/content/pkg/FR-2026-04-20/html/2026-07663.htm · ED OET, Designing for Education with AI: An Essential Guide for Developers (Jul 2024) — https://files.eric.ed.gov/fulltext/ED661949.pdf</w:t>
      </w:r>
    </w:p>
    <w:p>
      <w:pPr>
        <w:pStyle w:val="BodyText"/>
      </w:pPr>
      <w:r>
        <w:rPr>
          <w:bCs/>
          <w:b/>
        </w:rPr>
        <w:t xml:space="preserve">Research.</w:t>
      </w:r>
      <w:r>
        <w:t xml:space="preserve"> </w:t>
      </w:r>
      <w:r>
        <w:t xml:space="preserve">Li, Qunhan &amp; Mao (2026),</w:t>
      </w:r>
      <w:r>
        <w:t xml:space="preserve"> </w:t>
      </w:r>
      <w:r>
        <w:rPr>
          <w:iCs/>
          <w:i/>
        </w:rPr>
        <w:t xml:space="preserve">Scientific Reports</w:t>
      </w:r>
      <w:r>
        <w:t xml:space="preserve"> </w:t>
      </w:r>
      <w:r>
        <w:t xml:space="preserve">16:17412 — https://www.nature.com/articles/s41598-026-48053-w · Guo et al. (2025), arXiv:2505.10643 — https://arxiv.org/html/2505.10643v1</w:t>
      </w:r>
    </w:p>
    <w:bookmarkEnd w:id="111"/>
    <w:bookmarkStart w:id="112" w:name="united-states-states"/>
    <w:p>
      <w:pPr>
        <w:pStyle w:val="Heading3"/>
      </w:pPr>
      <w:r>
        <w:t xml:space="preserve">15.7 United States — states</w:t>
      </w:r>
    </w:p>
    <w:p>
      <w:pPr>
        <w:pStyle w:val="FirstParagraph"/>
      </w:pPr>
      <w:r>
        <w:t xml:space="preserve">New York Education Law § 2-d — https://www.nysenate.gov/legislation/laws/EDN/2-D ; 8 NYCRR Part 121 — https://www.counsel.nysed.gov/rules/indices-fulltext/2020/010 · Connecticut Gen. Stat. § 10-234bb — https://law.justia.com/codes/connecticut/title-10/chapter-170/section-10-234bb/ · Illinois SOPPA, 105 ILCS 85/15 — https://codes.findlaw.com/il/chapter-105-schools/il-st-sect-105-85-15/ · Illinois BIPA, 740 ILCS 14 — https://law.justia.com/codes/illinois/chapter-740/act-740-ilcs-14/ · Colorado Student Data Transparency and Security Act — https://law.justia.com/codes/colorado/title-22/general-and-administrative/article-16/ ; CDE provider obligations — https://ed.cde.state.co.us/dataprivacyandsecurity/school-service-provider-obligations · California SOPIPA guide (FPF) — https://fpf.org/wp-content/uploads/2016/11/SOPIPA-Guide_Nov-4-2016.pdf · Texas Educ. Code ch. 32 — https://statutes.capitol.texas.gov/Docs/ED/htm/ED.32.htm · Texas Bus. &amp; Com. Code ch. 503 (CUBI) — https://statutes.capitol.texas.gov/Docs/BC/htm/BC.503.htm · Washington RCW ch. 28A.604 — https://app.leg.wa.gov/RCW/default.aspx?cite=28A.604&amp;full=true ; RCW 19.375.010 — https://app.leg.wa.gov/RCW/default.aspx?cite=19.375.010 · Utah HB 55 (2026) enrolled — https://le.utah.gov/Session/2026/bills/enrolled/HB0055.pdf · CPPA ADMT approved regulation text — https://cppa.ca.gov/regulations/pdf/ccpa_updates_cyber_risk_admt_appr_text.pdf ; CPPA announcement (23 Sep 2025) — https://www.cppa.ca.gov/announcements/2025/20250923.html · Colorado SB 25B-004 — https://leg.colorado.gov/bills/sb25b-004 ·</w:t>
      </w:r>
      <w:r>
        <w:t xml:space="preserve"> </w:t>
      </w:r>
      <w:r>
        <w:rPr>
          <w:iCs/>
          <w:i/>
        </w:rPr>
        <w:t xml:space="preserve">xAI v. Weiser</w:t>
      </w:r>
      <w:r>
        <w:t xml:space="preserve"> </w:t>
      </w:r>
      <w:r>
        <w:t xml:space="preserve">docket summary — https://clearinghouse.net/case/48129/ · Texas HB 149 (TRAIGA) bill analysis — https://capitol.texas.gov/tlodocs/89R/analysis/html/HB00149S.htm · South Carolina H.5253 status — https://www.scstatehouse.gov/sess126_2025-2026/bills/5253.htm · Illinois SB 3735 status — https://legiscan.com/IL/bill/SB3735/2025 · Georgia DOE, Leveraging AI in the K-12 Setting — https://static1.squarespace.com/static/64398599b0c21f1705fb8fb3/t/6793b5c37d319a08aa630598/1737733571926/GA+Leveraging+AI+in+the+K-12+Setting.pdf · Ohio DEW model AI policy — https://education.ohio.gov/Topics/AI-in-Ohio-s-Education/Model-Policy · SDPC National Data Privacy Agreement — https://privacy.a4l.org/national-dpa/ ; SDPC Resource Registry — https://sdpc.a4l.org/ · FPF student privacy state laws chart — https://fpf.org/student-privacy-state-laws/ · IAPP US State Privacy Legislation Tracker — https://assets.contentstack.io/v3/assets/bltd4dd5b2d705252bc/blt76d030a1054f612a/us_state_privacy_legislation_tracker.pdf · AI for Education state guidance tracker — https://www.aiforeducation.io/ai-resources/state-ai-guidance · FutureEd 2026 state AI-in-education bill tracker — https://www.future-ed.org/legislative-tracker-2026-state-ai-in-education-bills/</w:t>
      </w:r>
    </w:p>
    <w:p>
      <w:pPr>
        <w:pStyle w:val="BodyText"/>
      </w:pPr>
      <w:r>
        <w:rPr>
          <w:iCs/>
          <w:i/>
        </w:rPr>
        <w:t xml:space="preserve">Secondary legal analysis was relied on and flagged in the text where a primary source could not be retrieved; the firms concerned are named at the point of use in the underlying research file.</w:t>
      </w:r>
    </w:p>
    <w:p>
      <w:pPr>
        <w:pStyle w:val="BodyText"/>
      </w:pPr>
      <w:r>
        <w:rPr>
          <w:iCs/>
          <w:i/>
        </w:rPr>
        <w:t xml:space="preserve">End of Part I.</w:t>
      </w:r>
    </w:p>
    <w:bookmarkEnd w:id="112"/>
    <w:bookmarkEnd w:id="113"/>
    <w:bookmarkEnd w:id="114"/>
    <w:bookmarkStart w:id="202" w:name="teil-ii-deutsch"/>
    <w:p>
      <w:pPr>
        <w:pStyle w:val="Heading1"/>
      </w:pPr>
      <w:r>
        <w:t xml:space="preserve">TEIL II — DEUTSCH</w:t>
      </w:r>
    </w:p>
    <w:bookmarkStart w:id="115" w:name="hinweise-zur-lektüre"/>
    <w:p>
      <w:pPr>
        <w:pStyle w:val="Heading2"/>
      </w:pPr>
      <w:r>
        <w:t xml:space="preserve">0. Hinweise zur Lektüre</w:t>
      </w:r>
    </w:p>
    <w:p>
      <w:pPr>
        <w:pStyle w:val="FirstParagraph"/>
      </w:pPr>
      <w:r>
        <w:rPr>
          <w:bCs/>
          <w:b/>
        </w:rPr>
        <w:t xml:space="preserve">Zweck.</w:t>
      </w:r>
      <w:r>
        <w:t xml:space="preserve"> </w:t>
      </w:r>
      <w:r>
        <w:t xml:space="preserve">Diese Untersuchung stellt fest, was das Recht von der KI-gestützten Klausurkorrektur in drei Rechtsordnungen — Deutschland, Vereinigtes Königreich, Vereinigte Staaten — verlangt, und beantwortet die nachstehend behandelten sechs Fragen (§§3–8): was die DSGVO verlangt; was die KI-VO impliziert; welche Regeln unterhalb der EU-Ebene in Deutschland bestehen; warum die Verarbeitung durch KI rechtlich anders zu beurteilen ist als gewöhnliche Datenverarbeitung; ob eine Lehrkraft einen solchen Dienst nutzen darf oder die Schule ihn freigeben muss; und ob ein Land oder der Bund alle Schulen auf einmal freigeben könnte.</w:t>
      </w:r>
    </w:p>
    <w:p>
      <w:pPr>
        <w:pStyle w:val="BodyText"/>
      </w:pPr>
      <w:r>
        <w:rPr>
          <w:bCs/>
          <w:b/>
        </w:rPr>
        <w:t xml:space="preserve">Angenommener Systemzuschnitt.</w:t>
      </w:r>
      <w:r>
        <w:t xml:space="preserve"> </w:t>
      </w:r>
      <w:r>
        <w:t xml:space="preserve">Eingescannte handschriftliche (oder getippte) Klausuren aus Schule und Hochschule werden eingelesen; OCR/Handschriftenerkennung transkribiert; ein Sprachmodell wendet ein Bewertungsraster an und erzeugt einen Bewertungsvorschlag nebst Feedback; eine Lehrkraft bzw. ein Prüfer prüft und entscheidet über die endgültige Note. Wo eine Schlussfolgerung von einer abweichenden Konfiguration abhängt — schülerseitige Funktionen, Aufsicht/Proctoring, Modelltraining auf Kundendaten — wird dies benannt.</w:t>
      </w:r>
    </w:p>
    <w:p>
      <w:pPr>
        <w:pStyle w:val="BodyText"/>
      </w:pPr>
      <w:r>
        <w:rPr>
          <w:bCs/>
          <w:b/>
        </w:rPr>
        <w:t xml:space="preserve">Rechtsstand.</w:t>
      </w:r>
      <w:r>
        <w:t xml:space="preserve"> </w:t>
      </w:r>
      <w:r>
        <w:t xml:space="preserve">Alle Aussagen beziehen sich auf den</w:t>
      </w:r>
      <w:r>
        <w:t xml:space="preserve"> </w:t>
      </w:r>
      <w:r>
        <w:rPr>
          <w:bCs/>
          <w:b/>
        </w:rPr>
        <w:t xml:space="preserve">11. September 2026</w:t>
      </w:r>
      <w:r>
        <w:t xml:space="preserve">. Drei Bereiche haben sich in den letzten zwölf Monaten wesentlich verändert; jedes vor Mitte 2026 verfasste Papier ist insoweit überholt: der Zeitplan der KI-VO (Verordnung (EU) 2026/1744), das britische Regime für automatisierte Entscheidungen (Data (Use and Access) Act 2025, in Kraft seit 5. Februar 2026) und der Colorado AI Act (im Mai 2026 aufgehoben und ersetzt).</w:t>
      </w:r>
    </w:p>
    <w:p>
      <w:pPr>
        <w:pStyle w:val="BodyText"/>
      </w:pPr>
      <w:r>
        <w:rPr>
          <w:bCs/>
          <w:b/>
        </w:rPr>
        <w:t xml:space="preserve">Verifikationskonvention.</w:t>
      </w:r>
      <w:r>
        <w:t xml:space="preserve"> </w:t>
      </w:r>
      <w:r>
        <w:t xml:space="preserve">Jede tragende Aussage ist auf eine in §15 genannte Primärquelle zurückführbar. Wo eine Quelle für diese Untersuchung nicht verifiziert werden konnte, steht dies im Satz selbst und nicht in einer Fußnote. §14 listet sämtliche offenen Punkte. Diese Konvention ist Absicht: Eine Compliance-Untersuchung, die Geprüftes nicht von Angenommenem trennt, ist nicht belastbar, weil die Leserin nicht erkennen kann, welche ihrer Schlussfolgerungen auf verifiziertem Recht beruhen.</w:t>
      </w:r>
    </w:p>
    <w:p>
      <w:pPr>
        <w:pStyle w:val="BodyText"/>
      </w:pPr>
      <w:r>
        <w:rPr>
          <w:bCs/>
          <w:b/>
        </w:rPr>
        <w:t xml:space="preserve">Keine Rechtsberatung.</w:t>
      </w:r>
      <w:r>
        <w:t xml:space="preserve"> </w:t>
      </w:r>
      <w:r>
        <w:t xml:space="preserve">Kein Anwalt hat dies geprüft. Es ist eine strukturierte Auswertung von Primärquellen und kein Rechtsgutachten. Die in §14 als vorrangig gekennzeichneten Punkte sollten anwaltlich geklärt werden, bevor irgendetwas hieraus in Anspruch genommen wird.</w:t>
      </w:r>
    </w:p>
    <w:bookmarkEnd w:id="115"/>
    <w:bookmarkStart w:id="116" w:name="zusammenfassung-der-befunde"/>
    <w:p>
      <w:pPr>
        <w:pStyle w:val="Heading2"/>
      </w:pPr>
      <w:r>
        <w:t xml:space="preserve">1. Zusammenfassung der Befunde</w:t>
      </w:r>
    </w:p>
    <w:p>
      <w:pPr>
        <w:pStyle w:val="FirstParagraph"/>
      </w:pPr>
      <w:r>
        <w:rPr>
          <w:bCs/>
          <w:b/>
        </w:rPr>
        <w:t xml:space="preserve">1. Klausuren sind personenbezogene Daten; das ist geklärt und nicht streitig.</w:t>
      </w:r>
      <w:r>
        <w:t xml:space="preserve"> </w:t>
      </w:r>
      <w:r>
        <w:t xml:space="preserve">EuGH C-434/16</w:t>
      </w:r>
      <w:r>
        <w:t xml:space="preserve"> </w:t>
      </w:r>
      <w:r>
        <w:rPr>
          <w:iCs/>
          <w:i/>
        </w:rPr>
        <w:t xml:space="preserve">Nowak</w:t>
      </w:r>
      <w:r>
        <w:t xml:space="preserve">: Die schriftlichen Antworten eines Prüflings</w:t>
      </w:r>
      <w:r>
        <w:t xml:space="preserve"> </w:t>
      </w:r>
      <w:r>
        <w:rPr>
          <w:bCs/>
          <w:b/>
        </w:rPr>
        <w:t xml:space="preserve">und</w:t>
      </w:r>
      <w:r>
        <w:t xml:space="preserve"> </w:t>
      </w:r>
      <w:r>
        <w:t xml:space="preserve">die Anmerkungen des Prüfers dazu sind personenbezogene Daten des Prüflings. Alles, was das System erzeugt und einer Arbeit zuordnet — Teilbewertungen, Konfidenzwerte, Feedbacktexte, Markierungen — ist ebenfalls personenbezogenes Datum dieses Schülers und auskunftspflichtig.</w:t>
      </w:r>
    </w:p>
    <w:p>
      <w:pPr>
        <w:pStyle w:val="BodyText"/>
      </w:pPr>
      <w:r>
        <w:rPr>
          <w:bCs/>
          <w:b/>
        </w:rPr>
        <w:t xml:space="preserve">2. Die Pseudonymisierung verringert die geltenden Pflichten nicht.</w:t>
      </w:r>
      <w:r>
        <w:t xml:space="preserve"> </w:t>
      </w:r>
      <w:r>
        <w:t xml:space="preserve">Pseudonyme Daten sind personenbezogene Daten (ErwGr. 26 DSGVO; EDSA-Leitlinien 01/2025). Das Weglassen des Namens bewirkt in dieser Konstellation fast nichts: Handschrift ist innerhalb einer Klasse von 25–30 nahezu eindeutig, und die Lehrkraft, die das Ergebnis erhält, kennt jede Handschrift im Raum — die Identifizierung ist nicht bloß wahrscheinlich, sie ist der Zweck. Die FAQ des Landes NRW zu KI und Datenschutz fügt zwei Punkte hinzu, die die naheliegenden Umgehungen schließen: Das Ersetzen von Namen durch Schülernummern hebt den Personenbezug nicht notwendig auf, und</w:t>
      </w:r>
      <w:r>
        <w:t xml:space="preserve"> </w:t>
      </w:r>
      <w:r>
        <w:rPr>
          <w:bCs/>
          <w:b/>
        </w:rPr>
        <w:t xml:space="preserve">die Anonymisierung ist selbst eine Verarbeitung, die einer eigenen Rechtsgrundlage bedarf — identifizierte Daten an einen KI-Dienst zu übermitteln, damit dieser sie anonymisiert, heilt die ursprüngliche Offenlegung nicht.</w:t>
      </w:r>
      <w:r>
        <w:t xml:space="preserve"> </w:t>
      </w:r>
      <w:r>
        <w:t xml:space="preserve">Pseudonymisierung bleibt als Maßnahme nach Art. 25 und Art. 32 DSGVO und in Abwägungsentscheidungen echt wertvoll. Sie befreit von keiner einzigen Pflicht.</w:t>
      </w:r>
    </w:p>
    <w:p>
      <w:pPr>
        <w:pStyle w:val="BodyText"/>
      </w:pPr>
      <w:r>
        <w:rPr>
          <w:bCs/>
          <w:b/>
        </w:rPr>
        <w:t xml:space="preserve">3. KI-gestützte Klausurkorrektur ist ein Hochrisiko-KI-System nach Anhang III Nr. 3 Buchst. b KI-VO — „KI-Systeme, die bestimmungsgemäß zur Bewertung von Lernergebnissen verwendet werden sollen”. Auch das ist nicht streitig.</w:t>
      </w:r>
    </w:p>
    <w:p>
      <w:pPr>
        <w:pStyle w:val="BodyText"/>
      </w:pPr>
      <w:r>
        <w:rPr>
          <w:bCs/>
          <w:b/>
        </w:rPr>
        <w:t xml:space="preserve">4. Die Ausnahme des Art. 6 Abs. 3 KI-VO von den Hochrisikoregeln steht einem System dieser Art nach der Analyse in §4.3 nicht offen.</w:t>
      </w:r>
      <w:r>
        <w:t xml:space="preserve"> </w:t>
      </w:r>
      <w:r>
        <w:t xml:space="preserve">Art. 6 Abs. 3 KI-VO ist aus drei voneinander unabhängigen Gründen verschlossen: Der letzte Unterabsatz stuft jedes System, das ein</w:t>
      </w:r>
      <w:r>
        <w:t xml:space="preserve"> </w:t>
      </w:r>
      <w:r>
        <w:rPr>
          <w:bCs/>
          <w:b/>
        </w:rPr>
        <w:t xml:space="preserve">Profiling</w:t>
      </w:r>
      <w:r>
        <w:t xml:space="preserve"> </w:t>
      </w:r>
      <w:r>
        <w:t xml:space="preserve">natürlicher Personen vornimmt, stets als hochriskant ein — und die Bewertung schulischer Leistung ist Profiling im Sinne der von der KI-VO übernommenen Definition des Art. 4 Nr. 4 DSGVO; der Einleitungssatz verlangt, dass das System das Entscheidungsergebnis nicht wesentlich beeinflusst, was das Gegenteil dessen ist, wozu ein Korrekturassistenzsystem bestimmt ist; und die Entwürfe der Kommissionsleitlinien zur Einstufung vom 19. Mai 2026 nehmen Systeme aus, die „ranken, bewerten oder etikettieren”, und behandeln summative Bewertung als hochriskant. Selbst wo die Ausnahme greift, verlangen Art. 6 Abs. 4 und Art. 49 Abs. 2 eine dokumentierte Bewertung und die</w:t>
      </w:r>
      <w:r>
        <w:t xml:space="preserve"> </w:t>
      </w:r>
      <w:r>
        <w:rPr>
          <w:bCs/>
          <w:b/>
        </w:rPr>
        <w:t xml:space="preserve">öffentliche</w:t>
      </w:r>
      <w:r>
        <w:t xml:space="preserve"> </w:t>
      </w:r>
      <w:r>
        <w:t xml:space="preserve">Registrierung der Behauptung „nicht hochriskant” in der EU-Datenbank, was bei einem Korrektursystem aufsichtsbehördliche Aufmerksamkeit auf sich zieht. Ein terminologischer Punkt: „System 4” bzw. „Kategorie 4”, wie es im Umlauf anzutreffen ist, ist keine Terminologie der KI-VO. Richtig ist</w:t>
      </w:r>
      <w:r>
        <w:t xml:space="preserve"> </w:t>
      </w:r>
      <w:r>
        <w:rPr>
          <w:bCs/>
          <w:b/>
        </w:rPr>
        <w:t xml:space="preserve">Anhang III Nr. 3 Buchst. b</w:t>
      </w:r>
      <w:r>
        <w:t xml:space="preserve">.</w:t>
      </w:r>
    </w:p>
    <w:p>
      <w:pPr>
        <w:pStyle w:val="BodyText"/>
      </w:pPr>
      <w:r>
        <w:rPr>
          <w:bCs/>
          <w:b/>
        </w:rPr>
        <w:t xml:space="preserve">5. Der Zeitplan hat sich verschoben.</w:t>
      </w:r>
      <w:r>
        <w:t xml:space="preserve"> </w:t>
      </w:r>
      <w:r>
        <w:t xml:space="preserve">Die Verordnung (EU) 2026/1744 (Digital-Omnibus KI), in Kraft seit 27. Juli 2026, hat die Hochrisikopflichten des Anhangs III vom 2. August 2026 auf den</w:t>
      </w:r>
      <w:r>
        <w:t xml:space="preserve"> </w:t>
      </w:r>
      <w:r>
        <w:rPr>
          <w:bCs/>
          <w:b/>
        </w:rPr>
        <w:t xml:space="preserve">2. Dezember 2027</w:t>
      </w:r>
      <w:r>
        <w:t xml:space="preserve"> </w:t>
      </w:r>
      <w:r>
        <w:t xml:space="preserve">verschoben. Die Art. 8–15 und 16–27 greifen somit ab diesem Datum — für den Anbieter wie für die Schulen als Betreiber. Zu beachten ist eine tatsächlich offene Lücke: Die Verschiebung erfasst nur Kapitel III Abschnitte 1–3. Abschnitt 5 (Art. 40–49: Konformitätsbewertung, Konformitätserklärung, CE-Kennzeichnung, Registrierung) wurde</w:t>
      </w:r>
      <w:r>
        <w:t xml:space="preserve"> </w:t>
      </w:r>
      <w:r>
        <w:rPr>
          <w:bCs/>
          <w:b/>
        </w:rPr>
        <w:t xml:space="preserve">nicht</w:t>
      </w:r>
      <w:r>
        <w:t xml:space="preserve"> </w:t>
      </w:r>
      <w:r>
        <w:t xml:space="preserve">verschoben und gilt seit dem 2. August 2026, während Art. 6 — die Norm, die ein System überhaupt als hochriskant einstuft — noch nicht gilt. Keine Behörde hat das aufgelöst. Es kann daher nicht davon ausgegangen werden, dass eine Registrierung entbehrlich ist.</w:t>
      </w:r>
    </w:p>
    <w:p>
      <w:pPr>
        <w:pStyle w:val="BodyText"/>
      </w:pPr>
      <w:r>
        <w:rPr>
          <w:bCs/>
          <w:b/>
        </w:rPr>
        <w:t xml:space="preserve">6. Der Konformitätsweg erfordert keine benannte Stelle.</w:t>
      </w:r>
      <w:r>
        <w:t xml:space="preserve"> </w:t>
      </w:r>
      <w:r>
        <w:t xml:space="preserve">Für Anhang III Nr. 2–8, also auch Bildung, schreibt Art. 43 das</w:t>
      </w:r>
      <w:r>
        <w:t xml:space="preserve"> </w:t>
      </w:r>
      <w:r>
        <w:rPr>
          <w:bCs/>
          <w:b/>
        </w:rPr>
        <w:t xml:space="preserve">interne Kontrollverfahren nach Anhang VI</w:t>
      </w:r>
      <w:r>
        <w:t xml:space="preserve"> </w:t>
      </w:r>
      <w:r>
        <w:t xml:space="preserve">vor: Selbstbewertung, EU-Konformitätserklärung, CE-Kennzeichnung, Registrierung in der EU-Datenbank.</w:t>
      </w:r>
      <w:r>
        <w:t xml:space="preserve"> </w:t>
      </w:r>
      <w:r>
        <w:rPr>
          <w:bCs/>
          <w:b/>
        </w:rPr>
        <w:t xml:space="preserve">Eine benannte Stelle ist nicht beteiligt.</w:t>
      </w:r>
    </w:p>
    <w:p>
      <w:pPr>
        <w:pStyle w:val="BodyText"/>
      </w:pPr>
      <w:r>
        <w:rPr>
          <w:bCs/>
          <w:b/>
        </w:rPr>
        <w:t xml:space="preserve">7. Deutschland hat die zentrale Frage auf nationaler Ebene bereits adressiert.</w:t>
      </w:r>
      <w:r>
        <w:t xml:space="preserve"> </w:t>
      </w:r>
      <w:r>
        <w:t xml:space="preserve">Beschluss der Bildungsministerkonferenz vom 10. Oktober 2024:</w:t>
      </w:r>
      <w:r>
        <w:t xml:space="preserve"> </w:t>
      </w:r>
      <w:r>
        <w:rPr>
          <w:iCs/>
          <w:i/>
        </w:rPr>
        <w:t xml:space="preserve">„Leistungsbewertung ist und bleibt eine pädagogische und hoheitliche Aufgabe, die als Verwaltungsakt im schulischen Kontext ausschließlich von Lehrkräften erfüllt werden kann”</w:t>
      </w:r>
      <w:r>
        <w:t xml:space="preserve"> </w:t>
      </w:r>
      <w:r>
        <w:t xml:space="preserve">— und in derselben Passage werden KI-Anwendungen als</w:t>
      </w:r>
      <w:r>
        <w:t xml:space="preserve"> </w:t>
      </w:r>
      <w:r>
        <w:rPr>
          <w:iCs/>
          <w:i/>
        </w:rPr>
        <w:t xml:space="preserve">Vorkorrektur</w:t>
      </w:r>
      <w:r>
        <w:t xml:space="preserve"> </w:t>
      </w:r>
      <w:r>
        <w:t xml:space="preserve">und</w:t>
      </w:r>
      <w:r>
        <w:t xml:space="preserve"> </w:t>
      </w:r>
      <w:r>
        <w:rPr>
          <w:iCs/>
          <w:i/>
        </w:rPr>
        <w:t xml:space="preserve">Korrekturassistenz</w:t>
      </w:r>
      <w:r>
        <w:t xml:space="preserve"> </w:t>
      </w:r>
      <w:r>
        <w:t xml:space="preserve">ausdrücklich befürwortet, länderseitige Regelungen für den Einsatz als</w:t>
      </w:r>
      <w:r>
        <w:t xml:space="preserve"> </w:t>
      </w:r>
      <w:r>
        <w:rPr>
          <w:iCs/>
          <w:i/>
        </w:rPr>
        <w:t xml:space="preserve">Entscheidungsunterstützungssystem</w:t>
      </w:r>
      <w:r>
        <w:t xml:space="preserve"> </w:t>
      </w:r>
      <w:r>
        <w:t xml:space="preserve">gefordert und die Bedingungen benannt: Datenschutz, Datensicherheit, Transparenz, Nachvollziehbarkeit, Bias. Der Beschluss ist zugleich Obergrenze und Grundlage für den assistiven Einsatz.</w:t>
      </w:r>
      <w:r>
        <w:t xml:space="preserve"> </w:t>
      </w:r>
      <w:r>
        <w:rPr>
          <w:bCs/>
          <w:b/>
        </w:rPr>
        <w:t xml:space="preserve">Eine Vorsicht beim Zitieren:</w:t>
      </w:r>
      <w:r>
        <w:t xml:space="preserve"> </w:t>
      </w:r>
      <w:r>
        <w:t xml:space="preserve">Die Kennzeichnung als</w:t>
      </w:r>
      <w:r>
        <w:t xml:space="preserve"> </w:t>
      </w:r>
      <w:r>
        <w:rPr>
          <w:iCs/>
          <w:i/>
        </w:rPr>
        <w:t xml:space="preserve">Verwaltungsakt</w:t>
      </w:r>
      <w:r>
        <w:t xml:space="preserve"> </w:t>
      </w:r>
      <w:r>
        <w:t xml:space="preserve">darf nicht so gelesen werden, als sei jede einzelne Klassenarbeitsnote ein gesondert anfechtbarer Verwaltungsakt. Das dem NRW-Landtag vorgelegte Gutachten Kloppenburg unterscheidet Einzelnoten von Verwaltungsakten und hält erhebliche Auswirkungen in beiden Fällen für möglich — das ist die genauere Formulierung.</w:t>
      </w:r>
    </w:p>
    <w:p>
      <w:pPr>
        <w:pStyle w:val="BodyText"/>
      </w:pPr>
      <w:r>
        <w:rPr>
          <w:bCs/>
          <w:b/>
        </w:rPr>
        <w:t xml:space="preserve">8. Die deutsche Beschränkung betrifft die Übermittlung personenbezogener Schülerdaten, nicht die assistive Korrektur als solche.</w:t>
      </w:r>
      <w:r>
        <w:t xml:space="preserve"> </w:t>
      </w:r>
      <w:r>
        <w:t xml:space="preserve">Das nordrhein-westfälische Ministerium</w:t>
      </w:r>
      <w:r>
        <w:t xml:space="preserve"> </w:t>
      </w:r>
      <w:r>
        <w:rPr>
          <w:bCs/>
          <w:b/>
        </w:rPr>
        <w:t xml:space="preserve">erlaubt ausdrücklich den unterstützenden Einsatz bei der Korrektur</w:t>
      </w:r>
      <w:r>
        <w:t xml:space="preserve">, verlangt, dass die Lehrkraft sich eine eigene Bewertung bildet, bezeichnet die</w:t>
      </w:r>
      <w:r>
        <w:t xml:space="preserve"> </w:t>
      </w:r>
      <w:r>
        <w:rPr>
          <w:bCs/>
          <w:b/>
        </w:rPr>
        <w:t xml:space="preserve">automatisierte</w:t>
      </w:r>
      <w:r>
        <w:t xml:space="preserve"> </w:t>
      </w:r>
      <w:r>
        <w:t xml:space="preserve">Bewertung als hochriskant und an strenge Bedingungen geknüpft — und hält daran fest, dass</w:t>
      </w:r>
      <w:r>
        <w:t xml:space="preserve"> </w:t>
      </w:r>
      <w:r>
        <w:rPr>
          <w:bCs/>
          <w:b/>
        </w:rPr>
        <w:t xml:space="preserve">personenbezogene Schülerdaten nicht übermittelt werden dürfen</w:t>
      </w:r>
      <w:r>
        <w:t xml:space="preserve">. Die hessische Handreichung von 2023 sagt zu den Daten dasselbe (</w:t>
      </w:r>
      <w:r>
        <w:rPr>
          <w:iCs/>
          <w:i/>
        </w:rPr>
        <w:t xml:space="preserve">„keine Eingabe personenbezogener Daten von Schülerinnen und Schülern”</w:t>
      </w:r>
      <w:r>
        <w:t xml:space="preserve">), ebenso der nordrhein-westfälische Handlungsleitfaden von 2023; Baden-Württemberg stellt fest, dass</w:t>
      </w:r>
      <w:r>
        <w:t xml:space="preserve"> </w:t>
      </w:r>
      <w:r>
        <w:rPr>
          <w:iCs/>
          <w:i/>
        </w:rPr>
        <w:t xml:space="preserve">„KI-Anwendungen keine Noten vergeben”</w:t>
      </w:r>
      <w:r>
        <w:t xml:space="preserve"> </w:t>
      </w:r>
      <w:r>
        <w:t xml:space="preserve">dürfen. Der assistive Arbeitsablauf ist also sanktioniert, und</w:t>
      </w:r>
      <w:r>
        <w:t xml:space="preserve"> </w:t>
      </w:r>
      <w:r>
        <w:rPr>
          <w:bCs/>
          <w:b/>
        </w:rPr>
        <w:t xml:space="preserve">der Datentransfer ist die Beschränkung</w:t>
      </w:r>
      <w:r>
        <w:t xml:space="preserve"> </w:t>
      </w:r>
      <w:r>
        <w:t xml:space="preserve">— was die Rechtsfrage darauf verlagert,</w:t>
      </w:r>
      <w:r>
        <w:t xml:space="preserve"> </w:t>
      </w:r>
      <w:r>
        <w:rPr>
          <w:iCs/>
          <w:i/>
        </w:rPr>
        <w:t xml:space="preserve">wo</w:t>
      </w:r>
      <w:r>
        <w:t xml:space="preserve"> </w:t>
      </w:r>
      <w:r>
        <w:t xml:space="preserve">die Eingabe verarbeitet wird, statt darauf, ob ein solches System überhaupt existieren darf.</w:t>
      </w:r>
    </w:p>
    <w:p>
      <w:pPr>
        <w:pStyle w:val="BodyText"/>
      </w:pPr>
      <w:r>
        <w:rPr>
          <w:bCs/>
          <w:b/>
        </w:rPr>
        <w:t xml:space="preserve">8a. In Nordrhein-Westfalen liegt die Frage derzeit dem Landtag vor.</w:t>
      </w:r>
      <w:r>
        <w:t xml:space="preserve"> </w:t>
      </w:r>
      <w:r>
        <w:t xml:space="preserve">Ein Antrag der FDP-Fraktion,</w:t>
      </w:r>
      <w:r>
        <w:t xml:space="preserve"> </w:t>
      </w:r>
      <w:r>
        <w:rPr>
          <w:iCs/>
          <w:i/>
        </w:rPr>
        <w:t xml:space="preserve">Drucksache 18/18104</w:t>
      </w:r>
      <w:r>
        <w:t xml:space="preserve">, will die KI-gestützte Korrektur zum Standard machen — mit menschlicher Letztverantwortung, transparenten Kriterien, Stichproben und zusätzlicher menschlicher Prüfung auf Verlangen. Zur Anhörung wurden neun Stellungnahmen eingereicht, darunter ein 13-seitiges Rechtsgutachten von Alicia Kloppenburg (Ruhr-Universität Bochum, 6. Juni 2026) sowie Positionen von Philologenverband NRW, lehrer nrw, vlbs, VBE und GEW und die Stellungnahme eines bereits in diesem Markt tätigen Anbieters.</w:t>
      </w:r>
      <w:r>
        <w:t xml:space="preserve"> </w:t>
      </w:r>
      <w:r>
        <w:rPr>
          <w:bCs/>
          <w:b/>
        </w:rPr>
        <w:t xml:space="preserve">Ein Antrag ändert kein Recht und lässt keinen Anbieter zu</w:t>
      </w:r>
      <w:r>
        <w:t xml:space="preserve"> </w:t>
      </w:r>
      <w:r>
        <w:t xml:space="preserve">— aber dies ist der derzeit konkreteste Weg zu den länderseitigen Regelungen, die die KMK gefordert hat, und die Stellungnahmen sind faktisch eine veröffentlichte Darstellung dessen, was der Sektor verlangen wird. §5.12 stellt dar, was jede beiträgt.</w:t>
      </w:r>
    </w:p>
    <w:p>
      <w:pPr>
        <w:pStyle w:val="BodyText"/>
      </w:pPr>
      <w:r>
        <w:rPr>
          <w:bCs/>
          <w:b/>
        </w:rPr>
        <w:t xml:space="preserve">9. Eine Lehrkraft darf sich in keinem der drei Länder allein anmelden.</w:t>
      </w:r>
      <w:r>
        <w:t xml:space="preserve"> </w:t>
      </w:r>
      <w:r>
        <w:t xml:space="preserve">Verantwortlicher ist die Schule, der Trust, eine Landesstelle oder der Schulbezirk — nie die einzelne Lehrkraft. Eine Lehrkraft kann keinen Auftragsverarbeitungsvertrag nach Art. 28 DSGVO schließen, kann die FERPA-Jahresmitteilung eines Schulbezirks nicht ändern und trägt in Deutschland ein persönliches Risiko aus dem Dienstgeheimnis und, am Rand, aus § 203 Abs. 2 StGB.</w:t>
      </w:r>
    </w:p>
    <w:p>
      <w:pPr>
        <w:pStyle w:val="BodyText"/>
      </w:pPr>
      <w:r>
        <w:rPr>
          <w:bCs/>
          <w:b/>
        </w:rPr>
        <w:t xml:space="preserve">10. Kein Rechtsraum bietet einen einzigen Schalter, der alle Schulen freigibt.</w:t>
      </w:r>
      <w:r>
        <w:t xml:space="preserve"> </w:t>
      </w:r>
      <w:r>
        <w:t xml:space="preserve">Deutschland: Der Bund hat für Schulen überhaupt keine Kompetenz (Kulturhoheit der Länder); ein Land verfügt über fünf Mechanismen sehr unterschiedlicher Geschwindigkeit, von denen die Verwaltungsvorschrift der schnellste und die Verordnungsänderung der langsamste ist (in NRW verlangt § 122 Abs. 4 SchulG die Zustimmung des Landtagsausschusses). England: kein nationaler Mechanismus; Skaleneinheit ist der Multi-Academy Trust. Wales (Hwb) und Nordirland (EA/EdIS) verfügen dagegen über echte nationale Einzelentscheidungen. USA: der Bund kann es nicht; der Mechanismus, der „einmal unterschreiben, viele erreichen” tatsächlich leistet, ist das National Data Privacy Agreement des SDPC mit seinem Exhibit E.</w:t>
      </w:r>
    </w:p>
    <w:p>
      <w:pPr>
        <w:pStyle w:val="BodyText"/>
      </w:pPr>
      <w:r>
        <w:rPr>
          <w:bCs/>
          <w:b/>
        </w:rPr>
        <w:t xml:space="preserve">11. Die Gestaltung der Prüfoberfläche bestimmt die Compliance-Position.</w:t>
      </w:r>
      <w:r>
        <w:t xml:space="preserve"> </w:t>
      </w:r>
      <w:r>
        <w:t xml:space="preserve">Wo der Bewertungsvorschlag auf dem Bildschirm erscheint und wie viele Handlungen die Übernahme kostet, entscheidet gleichzeitig darüber, (a) ob der Betreiber innerhalb oder außerhalb des Art. 22 DSGVO bzw. Art. 22C UK-GDPR steht, (b) ob der Anbieter Art. 14 Abs. 4 Buchst. b KI-VO zum Automation Bias erfüllt, (c) ob der kalifornische ADMT-Safe-Harbour greift und (d) ob Oklahoma SB 1734 eingehalten wird. Die Folge ist eine Anforderung, keine Empfehlung: Das System darf in keinem Markt einen Pfad für automatische, Massen- oder Timeout-Übernahme vorsehen, und Art. 14 Abs. 4 Buchst. b verlangt, das System so zu gestalten, dass die prüfende Person sich der Neigung bewusst bleibt, sich zu sehr auf dessen Ausgabe zu verlassen — eine Oberfläche, die den Bewertungsvorschlag zuerst anzeigt und die Übernahme mit einem einzigen Klick zulässt, genügt dem nicht.</w:t>
      </w:r>
    </w:p>
    <w:p>
      <w:pPr>
        <w:pStyle w:val="BodyText"/>
      </w:pPr>
      <w:r>
        <w:rPr>
          <w:bCs/>
          <w:b/>
        </w:rPr>
        <w:t xml:space="preserve">12. Je enger das Verhalten der Prüfer dem Bewertungsvorschlag folgt, desto schwächer ist das Argument, die Entscheidung sei nicht „ausschließlich” automatisiert.</w:t>
      </w:r>
      <w:r>
        <w:t xml:space="preserve"> </w:t>
      </w:r>
      <w:r>
        <w:t xml:space="preserve">EuGH C-634/21</w:t>
      </w:r>
      <w:r>
        <w:t xml:space="preserve"> </w:t>
      </w:r>
      <w:r>
        <w:rPr>
          <w:iCs/>
          <w:i/>
        </w:rPr>
        <w:t xml:space="preserve">SCHUFA</w:t>
      </w:r>
      <w:r>
        <w:t xml:space="preserve">: Wenn der Entscheider einem automatisierten Wert „maßgeblich” folgt, ist dieser Wert selbst die Entscheidung im Sinne des Art. 22. Die DSK formuliert es operativ:</w:t>
      </w:r>
      <w:r>
        <w:t xml:space="preserve"> </w:t>
      </w:r>
      <w:r>
        <w:rPr>
          <w:iCs/>
          <w:i/>
        </w:rPr>
        <w:t xml:space="preserve">„Eine lediglich formelle Beteiligung eines Menschen im Entscheidungsprozess ist nicht ausreichend.”</w:t>
      </w:r>
      <w:r>
        <w:t xml:space="preserve"> </w:t>
      </w:r>
      <w:r>
        <w:t xml:space="preserve">Übernehmen Lehrkräfte 95 % der Vorschläge in vier Sekunden, trägt die Argumentation „der Mensch entscheidet” nicht. Die Frage wird durch Nachweise entschieden: gemessene und protokollierte Abweichungs- und Übersteuerungsquoten sind das Artefakt, mit dem Betreiber oder Anbieter belegen können, dass die menschliche Beteiligung mehr als formell ist; sie müssen von Anfang an erzeugbar sein.</w:t>
      </w:r>
    </w:p>
    <w:bookmarkEnd w:id="116"/>
    <w:bookmarkStart w:id="117" w:name="Xd32e9dcd58fa2710576d52552b91280cce23170"/>
    <w:p>
      <w:pPr>
        <w:pStyle w:val="Heading2"/>
      </w:pPr>
      <w:r>
        <w:t xml:space="preserve">2. Die fünf Fragen, die das anwendbare Regime bestimmen</w:t>
      </w:r>
    </w:p>
    <w:p>
      <w:pPr>
        <w:pStyle w:val="FirstParagraph"/>
      </w:pPr>
      <w:r>
        <w:t xml:space="preserve">Fünf Fragen entscheiden darüber, welches Regime für einen konkreten Einsatz eines KI-gestützten Korrektursystems gilt und in welcher Reihenfolge die Pflichten entstehen. Jede wird in dem jeweils genannten Abschnitt vollständig beantwortet.</w:t>
      </w:r>
    </w:p>
    <w:p>
      <w:pPr>
        <w:pStyle w:val="BodyText"/>
      </w:pPr>
      <w:r>
        <w:rPr>
          <w:bCs/>
          <w:b/>
        </w:rPr>
        <w:t xml:space="preserve">(i) Sind die Materialien personenbezogene Daten?</w:t>
      </w:r>
      <w:r>
        <w:t xml:space="preserve"> </w:t>
      </w:r>
      <w:r>
        <w:t xml:space="preserve">Ja. Die Antworten eines Prüflings und die Anmerkungen des Prüfers dazu sind personenbezogene Daten des Prüflings (C-434/16</w:t>
      </w:r>
      <w:r>
        <w:t xml:space="preserve"> </w:t>
      </w:r>
      <w:r>
        <w:rPr>
          <w:iCs/>
          <w:i/>
        </w:rPr>
        <w:t xml:space="preserve">Nowak</w:t>
      </w:r>
      <w:r>
        <w:t xml:space="preserve">), und ebenso jede Bewertung, Teilbewertung, jeder Konfidenzwert, jeder Feedbacktext und jede Markierung, die das System einer Arbeit zuordnet. Die Pseudonymisierung ändert daran nichts: Pseudonyme Daten bleiben personenbezogene Daten (ErwGr. 26; EDSA-Leitlinien 01/2025), und in dieser Konstellation ist Handschrift innerhalb einer Klasse von 25–30 nahezu eindeutig, und die empfangende Lehrkraft kennt die Handschrift. Ob ein Handschriftenbild darüber hinaus</w:t>
      </w:r>
      <w:r>
        <w:t xml:space="preserve"> </w:t>
      </w:r>
      <w:r>
        <w:rPr>
          <w:iCs/>
          <w:i/>
        </w:rPr>
        <w:t xml:space="preserve">biometrisches</w:t>
      </w:r>
      <w:r>
        <w:t xml:space="preserve"> </w:t>
      </w:r>
      <w:r>
        <w:t xml:space="preserve">Datum im Sinne des Art. 9 ist, ist eine gesonderte Frage; sie wird in §3.10 behandelt. Siehe §3.1 und §3.10.</w:t>
      </w:r>
    </w:p>
    <w:p>
      <w:pPr>
        <w:pStyle w:val="BodyText"/>
      </w:pPr>
      <w:r>
        <w:rPr>
          <w:bCs/>
          <w:b/>
        </w:rPr>
        <w:t xml:space="preserve">(ii) Was ist die Rechtsgrundlage, und kann die Einwilligung sie tragen?</w:t>
      </w:r>
      <w:r>
        <w:t xml:space="preserve"> </w:t>
      </w:r>
      <w:r>
        <w:t xml:space="preserve">Für eine staatliche Schule ist es Art. 6 Abs. 1 Buchst. e DSGVO — Verarbeitung zur Wahrnehmung einer Aufgabe im öffentlichen Interesse oder in Ausübung öffentlicher Gewalt — in Verbindung mit mitgliedstaatlichem Recht, in Deutschland also dem Schul- und Datenschutzrecht des Landes. Die Einwilligung ist im Regelfall ausgeschlossen: ErwGr. 43 hält sie für unwirksam, wo ein klares Ungleichgewicht zwischen Verantwortlichem und betroffener Person besteht, was der Lage eines Schülers gegenüber einer ihn bewertenden öffentlichen Stelle entspricht; die Bewertung kann zudem nicht von der Zustimmung des Schülers abhängig gemacht werden. Verantwortlicher ist die Schule (bzw. der Trust, die Landesstelle oder der Schulbezirk); ein Anbieter, der Arbeiten auf deren Weisung verarbeitet, ist Auftragsverarbeiter und bedarf eines Vertrags nach Art. 28. Am stärksten wirken in der Praxis Art. 5 Abs. 1 Buchst. b (Zweckbindung), Art. 15, Art. 22 und Art. 35. Siehe §3.2.</w:t>
      </w:r>
    </w:p>
    <w:p>
      <w:pPr>
        <w:pStyle w:val="BodyText"/>
      </w:pPr>
      <w:r>
        <w:rPr>
          <w:bCs/>
          <w:b/>
        </w:rPr>
        <w:t xml:space="preserve">(iii) Ist das System nach der KI-VO hochriskant, und steht die Ausnahme des Art. 6 Abs. 3 offen?</w:t>
      </w:r>
      <w:r>
        <w:t xml:space="preserve"> </w:t>
      </w:r>
      <w:r>
        <w:t xml:space="preserve">Es ist hochriskant nach Anhang III Nr. 3 Buchst. b. Nach der Analyse in §4.3 steht die Ausnahme des Art. 6 Abs. 3 einem System dieser Art aus den drei in Befund 4 genannten, voneinander unabhängigen Gründen nicht offen. Die Hochrisikopflichten gelten ab dem 2. Dezember 2027 nach der Verordnung (EU) 2026/1744, mit der in Befund 5 benannten ungeklärten Lage zu Kapitel III Abschnitt 5. Die Pflichten treffen nicht allein den Anbieter: Eine Schule, die ein Hochrisiko-KI-System einsetzt, übernimmt die Betreiberpflichten des Art. 26 KI-VO und muss als Einrichtung des öffentlichen Rechts eine Grundrechte-Folgenabschätzung nach Art. 27 durchführen; und eine Schule, die ein Allzwecksystem für die Korrektur zweckändert, kann selbst in</w:t>
      </w:r>
      <w:r>
        <w:t xml:space="preserve"> </w:t>
      </w:r>
      <w:r>
        <w:rPr>
          <w:bCs/>
          <w:b/>
        </w:rPr>
        <w:t xml:space="preserve">Anbieterpflichten</w:t>
      </w:r>
      <w:r>
        <w:t xml:space="preserve"> </w:t>
      </w:r>
      <w:r>
        <w:t xml:space="preserve">nach Art. 25 KI-VO geraten — ein Punkt, den das Gutachten Kloppenburg (§5.12) entwickelt. Siehe §4.1, §4.3 und §4.5.</w:t>
      </w:r>
    </w:p>
    <w:p>
      <w:pPr>
        <w:pStyle w:val="BodyText"/>
      </w:pPr>
      <w:r>
        <w:rPr>
          <w:bCs/>
          <w:b/>
        </w:rPr>
        <w:t xml:space="preserve">(iv) Führt die Prüfung durch den Prüfer aus dem Anwendungsbereich des Art. 22 DSGVO heraus?</w:t>
      </w:r>
      <w:r>
        <w:t xml:space="preserve"> </w:t>
      </w:r>
      <w:r>
        <w:t xml:space="preserve">Das ist streitig. Der Maßstab ist verhaltensbezogen, nicht formell: Nach C-634/21</w:t>
      </w:r>
      <w:r>
        <w:t xml:space="preserve"> </w:t>
      </w:r>
      <w:r>
        <w:rPr>
          <w:iCs/>
          <w:i/>
        </w:rPr>
        <w:t xml:space="preserve">SCHUFA</w:t>
      </w:r>
      <w:r>
        <w:t xml:space="preserve"> </w:t>
      </w:r>
      <w:r>
        <w:t xml:space="preserve">und der Formulierung der DSK zur</w:t>
      </w:r>
      <w:r>
        <w:t xml:space="preserve"> </w:t>
      </w:r>
      <w:r>
        <w:rPr>
          <w:iCs/>
          <w:i/>
        </w:rPr>
        <w:t xml:space="preserve">„lediglich formellen Beteiligung”</w:t>
      </w:r>
      <w:r>
        <w:t xml:space="preserve"> </w:t>
      </w:r>
      <w:r>
        <w:t xml:space="preserve">nimmt eine Prüfung, die im Übernehmen des Bewertungsvorschlags besteht, die Entscheidung nicht aus Art. 22 heraus, was immer das Prozessdiagramm besagt. Entschieden wird die Frage für den konkreten Einsatz durch die Gestaltung des Prüfschritts und die dabei gemessenen Abweichungs- und Übersteuerungsquoten. Siehe §3.5.</w:t>
      </w:r>
    </w:p>
    <w:p>
      <w:pPr>
        <w:pStyle w:val="BodyText"/>
      </w:pPr>
      <w:r>
        <w:rPr>
          <w:bCs/>
          <w:b/>
        </w:rPr>
        <w:t xml:space="preserve">(v) Was liegt unterhalb der EU-Ebene?</w:t>
      </w:r>
      <w:r>
        <w:t xml:space="preserve"> </w:t>
      </w:r>
      <w:r>
        <w:t xml:space="preserve">In Deutschland das Schul- und Prüfungsrecht der Länder, Handreichungen und Verwaltungsvorschriften der Ministerien sowie die Mitbestimmung des Personal- bzw. Betriebsrats bei Einrichtungen, die zur Leistungs- oder Verhaltensüberwachung geeignet sind. Im Vereinigten Königreich und in den USA gelten vollständig eigene Regime: das UK GDPR in der Fassung des Data (Use and Access) Act 2025 mit dem eigenen Schema der Art. 22A–22D, und in den USA eine Bundesebene (FERPA, PPRA, COPPA) nebst einer Ebene der Einzelstaaten, auf der die Vorgaben der Landesbildungsbehörden auf die Regel konvergieren, dass KI nicht alleinige Grundlage einer Note sein darf — in Oklahoma bereits Gesetz nach SB 1734. Siehe §5, §9, §10 und §11.</w:t>
      </w:r>
    </w:p>
    <w:p>
      <w:pPr>
        <w:pStyle w:val="BodyText"/>
      </w:pPr>
      <w:r>
        <w:t xml:space="preserve">Die Antworten auf (iii) und (iv) sind diejenigen, von denen die Compliance-Last im Wesentlichen abhängt.</w:t>
      </w:r>
    </w:p>
    <w:bookmarkEnd w:id="117"/>
    <w:bookmarkStart w:id="128" w:name="frage-1-was-verlangt-die-dsgvo"/>
    <w:p>
      <w:pPr>
        <w:pStyle w:val="Heading2"/>
      </w:pPr>
      <w:r>
        <w:t xml:space="preserve">3. Frage 1 — Was verlangt die DSGVO?</w:t>
      </w:r>
    </w:p>
    <w:bookmarkStart w:id="118" w:name="die-daten"/>
    <w:p>
      <w:pPr>
        <w:pStyle w:val="Heading3"/>
      </w:pPr>
      <w:r>
        <w:t xml:space="preserve">3.1 Die Daten</w:t>
      </w:r>
    </w:p>
    <w:p>
      <w:pPr>
        <w:pStyle w:val="FirstParagraph"/>
      </w:pPr>
      <w:r>
        <w:t xml:space="preserve">Klausuren, Prüferanmerkungen, Noten, maschinell erzeugtes Feedback und interne Teilbewertungen sind sämtlich personenbezogene Daten des Prüflings. EuGH</w:t>
      </w:r>
      <w:r>
        <w:t xml:space="preserve"> </w:t>
      </w:r>
      <w:r>
        <w:rPr>
          <w:bCs/>
          <w:b/>
        </w:rPr>
        <w:t xml:space="preserve">C-434/16</w:t>
      </w:r>
      <w:r>
        <w:rPr>
          <w:bCs/>
          <w:b/>
        </w:rPr>
        <w:t xml:space="preserve"> </w:t>
      </w:r>
      <w:r>
        <w:rPr>
          <w:iCs/>
          <w:i/>
          <w:bCs/>
          <w:b/>
        </w:rPr>
        <w:t xml:space="preserve">Nowak</w:t>
      </w:r>
      <w:r>
        <w:t xml:space="preserve"> </w:t>
      </w:r>
      <w:r>
        <w:t xml:space="preserve">(20.12.2017), Tenor:</w:t>
      </w:r>
      <w:r>
        <w:t xml:space="preserve"> </w:t>
      </w:r>
      <w:r>
        <w:rPr>
          <w:iCs/>
          <w:i/>
        </w:rPr>
        <w:t xml:space="preserve">„die schriftlichen Antworten eines Prüflings bei einer berufsbezogenen Prüfung und etwaige Anmerkungen des Prüfers zu diesen Antworten [stellen] personenbezogene Daten dar”</w:t>
      </w:r>
      <w:r>
        <w:t xml:space="preserve">. Begründung: Die Antworten spiegeln Kenntnisse und Kompetenz des Prüflings wider und werden erhoben, um berufliche Fähigkeiten zu bewerten. Zwei Grenzen zog der Gerichtshof ebenfalls: Das Auskunftsrecht erstreckt sich nicht auf die</w:t>
      </w:r>
      <w:r>
        <w:t xml:space="preserve"> </w:t>
      </w:r>
      <w:r>
        <w:rPr>
          <w:iCs/>
          <w:i/>
        </w:rPr>
        <w:t xml:space="preserve">Prüfungsfragen</w:t>
      </w:r>
      <w:r>
        <w:t xml:space="preserve">, und die Berichtigung erlaubt es nicht, falsche Antworten nachträglich zu korrigieren.</w:t>
      </w:r>
    </w:p>
    <w:p>
      <w:pPr>
        <w:pStyle w:val="BodyText"/>
      </w:pPr>
      <w:r>
        <w:t xml:space="preserve">Folge für die Systemgestaltung: Arbeit, Begründung und Bewertungstelemetrie müssen exportierbar sein. Ein System darf nicht auf der Annahme aufbauen, interne Bewertungstelemetrie sei für die betroffene Person unsichtbar.</w:t>
      </w:r>
    </w:p>
    <w:bookmarkEnd w:id="118"/>
    <w:bookmarkStart w:id="119" w:name="X7d6fa7a9b3983260a9c3f0a30f00c6e03663094"/>
    <w:p>
      <w:pPr>
        <w:pStyle w:val="Heading3"/>
      </w:pPr>
      <w:r>
        <w:t xml:space="preserve">3.2 Rechtsgrundlage — und warum Einwilligung die falsche Antwort ist</w:t>
      </w:r>
    </w:p>
    <w:p>
      <w:pPr>
        <w:pStyle w:val="FirstParagraph"/>
      </w:pPr>
      <w:r>
        <w:t xml:space="preserve">Für die staatliche Schule ist die Grundlage</w:t>
      </w:r>
      <w:r>
        <w:t xml:space="preserve"> </w:t>
      </w:r>
      <w:r>
        <w:rPr>
          <w:bCs/>
          <w:b/>
        </w:rPr>
        <w:t xml:space="preserve">Art. 6 Abs. 1 Buchst. e</w:t>
      </w:r>
      <w:r>
        <w:t xml:space="preserve"> </w:t>
      </w:r>
      <w:r>
        <w:t xml:space="preserve">i.V.m.</w:t>
      </w:r>
      <w:r>
        <w:t xml:space="preserve"> </w:t>
      </w:r>
      <w:r>
        <w:rPr>
          <w:bCs/>
          <w:b/>
        </w:rPr>
        <w:t xml:space="preserve">Art. 6 Abs. 3</w:t>
      </w:r>
      <w:r>
        <w:t xml:space="preserve"> </w:t>
      </w:r>
      <w:r>
        <w:t xml:space="preserve">(Regelung im mitgliedstaatlichen Recht — Schulgesetz und Datenverordnung). Die Einwilligung ist vermutungsweise ausgeschlossen: ErwGr. 43 schließt sie bei klarem Ungleichgewicht aus,</w:t>
      </w:r>
      <w:r>
        <w:t xml:space="preserve"> </w:t>
      </w:r>
      <w:r>
        <w:rPr>
          <w:iCs/>
          <w:i/>
        </w:rPr>
        <w:t xml:space="preserve">„insbesondere wenn es sich bei dem Verantwortlichen um eine Behörde handelt”</w:t>
      </w:r>
      <w:r>
        <w:t xml:space="preserve"> </w:t>
      </w:r>
      <w:r>
        <w:t xml:space="preserve">— und das Ungleichgewicht ist hier dreifach: Behörde, Minderjährigkeit und eine verpflichtende, nicht substituierbare Leistung. Ein Schüler kann sich der Bewertung nicht entziehen, die Einwilligung wäre also nicht ohne Nachteil widerrufbar und damit nicht freiwillig. Operativ wäre sie zudem unstimmig: Ein Widerruf nach Art. 7 Abs. 3 müsste die Note rückabwickeln.</w:t>
      </w:r>
    </w:p>
    <w:p>
      <w:pPr>
        <w:pStyle w:val="BodyText"/>
      </w:pPr>
      <w:r>
        <w:t xml:space="preserve">Eine Rolle behält die Einwilligung nur für eine echt freiwillige, strukturell getrennte Funktion — additives formatives Feedback jenseits der gesetzlichen Leistungsfeststellung oder ein Forschungsprogramm. Sie darf nicht gekoppelt werden.</w:t>
      </w:r>
    </w:p>
    <w:p>
      <w:pPr>
        <w:pStyle w:val="BodyText"/>
      </w:pPr>
      <w:r>
        <w:rPr>
          <w:bCs/>
          <w:b/>
        </w:rPr>
        <w:t xml:space="preserve">Die Stellung des Anbieters.</w:t>
      </w:r>
      <w:r>
        <w:t xml:space="preserve"> </w:t>
      </w:r>
      <w:r>
        <w:t xml:space="preserve">Im Regelfall ist der Anbieter eines KI-gestützten Korrektursystems</w:t>
      </w:r>
      <w:r>
        <w:t xml:space="preserve"> </w:t>
      </w:r>
      <w:r>
        <w:rPr>
          <w:bCs/>
          <w:b/>
        </w:rPr>
        <w:t xml:space="preserve">Auftragsverarbeiter</w:t>
      </w:r>
      <w:r>
        <w:t xml:space="preserve"> </w:t>
      </w:r>
      <w:r>
        <w:t xml:space="preserve">ohne eigene Rechtsgrundlage. Sobald Arbeiten zur Modellverbesserung genutzt werden, wird der Anbieter insoweit</w:t>
      </w:r>
      <w:r>
        <w:t xml:space="preserve"> </w:t>
      </w:r>
      <w:r>
        <w:rPr>
          <w:bCs/>
          <w:b/>
        </w:rPr>
        <w:t xml:space="preserve">Verantwortlicher</w:t>
      </w:r>
      <w:r>
        <w:t xml:space="preserve"> </w:t>
      </w:r>
      <w:r>
        <w:t xml:space="preserve">— Art. 28 Abs. 10 ist eindeutig, dass ein Auftragsverarbeiter, der Zwecke und Mittel bestimmt, „als Verantwortlicher gilt” — und benötigt dann eigene Rechtsgrundlage und eigene Transparenz. Dies ist die folgenreichste architektonische Unterscheidung eines solchen Systems.</w:t>
      </w:r>
    </w:p>
    <w:bookmarkEnd w:id="119"/>
    <w:bookmarkStart w:id="120" w:name="besondere-kategorien-art.-9"/>
    <w:p>
      <w:pPr>
        <w:pStyle w:val="Heading3"/>
      </w:pPr>
      <w:r>
        <w:t xml:space="preserve">3.3 Besondere Kategorien (Art. 9)</w:t>
      </w:r>
    </w:p>
    <w:p>
      <w:pPr>
        <w:pStyle w:val="FirstParagraph"/>
      </w:pPr>
      <w:r>
        <w:t xml:space="preserve">Freitextantworten in Gesellschaftswissenschaften, Ethik, Religion, Biologie und Sozialkunde offenbaren regelmäßig religiöse oder weltanschauliche Überzeugungen, politische Meinungen, Gesundheitsdaten und Sexualleben — als Gegenstand oder als freiwillige Selbstoffenbarung. Die Behauptung, es würden keine besonderen Kategorien erhoben, ist nicht haltbar. Schärfer noch: Handschrift und Fehlermuster können Lese-Rechtschreib-Schwäche, Dyskalkulie und motorische Beeinträchtigungen offenlegen — das sind Gesundheitsdaten, ob beabsichtigt oder nicht. Das DKJS-Memorandum (§5.6) macht diesen Punkt zu Recht.</w:t>
      </w:r>
    </w:p>
    <w:p>
      <w:pPr>
        <w:pStyle w:val="BodyText"/>
      </w:pPr>
      <w:r>
        <w:rPr>
          <w:bCs/>
          <w:b/>
        </w:rPr>
        <w:t xml:space="preserve">Eine echte Erleichterung.</w:t>
      </w:r>
      <w:r>
        <w:t xml:space="preserve"> </w:t>
      </w:r>
      <w:r>
        <w:t xml:space="preserve">Die Verordnung (EU) 2026/1744 hat</w:t>
      </w:r>
      <w:r>
        <w:t xml:space="preserve"> </w:t>
      </w:r>
      <w:r>
        <w:rPr>
          <w:bCs/>
          <w:b/>
        </w:rPr>
        <w:t xml:space="preserve">Art. 4a KI-VO</w:t>
      </w:r>
      <w:r>
        <w:t xml:space="preserve"> </w:t>
      </w:r>
      <w:r>
        <w:t xml:space="preserve">eingefügt: eine unionsrechtliche Grundlage für Anbieter und Betreiber, besondere Datenkategorien</w:t>
      </w:r>
      <w:r>
        <w:t xml:space="preserve"> </w:t>
      </w:r>
      <w:r>
        <w:rPr>
          <w:bCs/>
          <w:b/>
        </w:rPr>
        <w:t xml:space="preserve">ausschließlich zur Erkennung und Korrektur von Verzerrungen</w:t>
      </w:r>
      <w:r>
        <w:t xml:space="preserve"> </w:t>
      </w:r>
      <w:r>
        <w:t xml:space="preserve">zu verarbeiten, unter sechs kumulativen Bedingungen, darunter dass synthetische oder anonymisierte Daten nicht genügen, dass die Daten nicht weitergegeben werden und dass sie nach Behebung der Verzerrung gelöscht werden. Art. 10 Abs. 5 KI-VO wurde gestrichen und darin überführt. Vor Juli 2026 gab es für Betreiber keinen sauberen Weg zu Fairness-Tests auf geschützten Merkmalen; jetzt gibt es ihn. Die Inanspruchnahme setzt die Dokumentation der sechs Bedingungen voraus.</w:t>
      </w:r>
    </w:p>
    <w:bookmarkEnd w:id="120"/>
    <w:bookmarkStart w:id="121" w:name="transparenz-und-auskunft"/>
    <w:p>
      <w:pPr>
        <w:pStyle w:val="Heading3"/>
      </w:pPr>
      <w:r>
        <w:t xml:space="preserve">3.4 Transparenz und Auskunft</w:t>
      </w:r>
    </w:p>
    <w:p>
      <w:pPr>
        <w:pStyle w:val="FirstParagraph"/>
      </w:pPr>
      <w:r>
        <w:t xml:space="preserve">Art. 13/14 verpflichten die Schule, Schüler und Eltern in kindgerechter Sprache (Art. 12 Abs. 1) darüber zu informieren, dass ein KI-System Noten vorschlägt, welche Logik zugrunde liegt und welche Folgen bestehen.</w:t>
      </w:r>
      <w:r>
        <w:t xml:space="preserve"> </w:t>
      </w:r>
      <w:r>
        <w:rPr>
          <w:bCs/>
          <w:b/>
        </w:rPr>
        <w:t xml:space="preserve">Operativ teuer ist Art. 15</w:t>
      </w:r>
      <w:r>
        <w:t xml:space="preserve">, weil</w:t>
      </w:r>
      <w:r>
        <w:t xml:space="preserve"> </w:t>
      </w:r>
      <w:r>
        <w:rPr>
          <w:iCs/>
          <w:i/>
        </w:rPr>
        <w:t xml:space="preserve">Nowak</w:t>
      </w:r>
      <w:r>
        <w:t xml:space="preserve"> </w:t>
      </w:r>
      <w:r>
        <w:t xml:space="preserve">Arbeit und Anmerkungen auskunftspflichtig macht.</w:t>
      </w:r>
    </w:p>
    <w:p>
      <w:pPr>
        <w:pStyle w:val="BodyText"/>
      </w:pPr>
      <w:r>
        <w:rPr>
          <w:bCs/>
          <w:b/>
        </w:rPr>
        <w:t xml:space="preserve">C-203/22</w:t>
      </w:r>
      <w:r>
        <w:rPr>
          <w:bCs/>
          <w:b/>
        </w:rPr>
        <w:t xml:space="preserve"> </w:t>
      </w:r>
      <w:r>
        <w:rPr>
          <w:iCs/>
          <w:i/>
          <w:bCs/>
          <w:b/>
        </w:rPr>
        <w:t xml:space="preserve">Dun &amp; Bradstreet Austria</w:t>
      </w:r>
      <w:r>
        <w:t xml:space="preserve"> </w:t>
      </w:r>
      <w:r>
        <w:t xml:space="preserve">(27.02.2025) ist nunmehr die maßgebliche Entscheidung zu Art. 15 Abs. 1 Buchst. h: Der Verantwortliche muss „das Verfahren und die Grundsätze, die tatsächlich angewandt wurden” so erläutern, dass die betroffene Person versteht, welche Daten wie verwendet wurden —</w:t>
      </w:r>
      <w:r>
        <w:t xml:space="preserve"> </w:t>
      </w:r>
      <w:r>
        <w:rPr>
          <w:bCs/>
          <w:b/>
        </w:rPr>
        <w:t xml:space="preserve">nicht</w:t>
      </w:r>
      <w:r>
        <w:t xml:space="preserve"> </w:t>
      </w:r>
      <w:r>
        <w:t xml:space="preserve">aber den Algorithmus oder die Formeln offenlegen. Werden Geschäftsgeheimnisse eingewandt, ist das Material der Aufsichtsbehörde oder dem Gericht zur Abwägung vorzulegen; eine pauschale Verweigerung ist unionsrechtswidrig. Die Folge ist doppelt: Ein Anbieter ist nicht verpflichtet, Gewichte oder Prompts zu veröffentlichen, aber das System muss je Note angeben können, welche Merkmale der Arbeit den Vorschlag getragen haben. Das ist eine Anforderung an das System, keine juristische Fußnote.</w:t>
      </w:r>
    </w:p>
    <w:bookmarkEnd w:id="121"/>
    <w:bookmarkStart w:id="122" w:name="artikel-22-die-kernfrage"/>
    <w:p>
      <w:pPr>
        <w:pStyle w:val="Heading3"/>
      </w:pPr>
      <w:r>
        <w:t xml:space="preserve">3.5 Artikel 22 — die Kernfrage</w:t>
      </w:r>
    </w:p>
    <w:p>
      <w:pPr>
        <w:pStyle w:val="FirstParagraph"/>
      </w:pPr>
      <w:r>
        <w:rPr>
          <w:bCs/>
          <w:b/>
        </w:rPr>
        <w:t xml:space="preserve">Art. 22 Abs. 1</w:t>
      </w:r>
      <w:r>
        <w:t xml:space="preserve"> </w:t>
      </w:r>
      <w:r>
        <w:t xml:space="preserve">gibt der betroffenen Person das Recht, keiner</w:t>
      </w:r>
      <w:r>
        <w:t xml:space="preserve"> </w:t>
      </w:r>
      <w:r>
        <w:rPr>
          <w:iCs/>
          <w:i/>
        </w:rPr>
        <w:t xml:space="preserve">ausschließlich</w:t>
      </w:r>
      <w:r>
        <w:t xml:space="preserve"> </w:t>
      </w:r>
      <w:r>
        <w:t xml:space="preserve">auf automatisierter Verarbeitung beruhenden Entscheidung unterworfen zu werden, die rechtliche Wirkung entfaltet oder sie in ähnlicher Weise erheblich beeinträchtigt. Drei kumulative Voraussetzungen (</w:t>
      </w:r>
      <w:r>
        <w:rPr>
          <w:iCs/>
          <w:i/>
        </w:rPr>
        <w:t xml:space="preserve">SCHUFA</w:t>
      </w:r>
      <w:r>
        <w:t xml:space="preserve">, Rn. 43): eine Entscheidung; ausschließlich automatisierte Verarbeitung; rechtliche oder ähnlich erhebliche Wirkung.</w:t>
      </w:r>
    </w:p>
    <w:p>
      <w:pPr>
        <w:pStyle w:val="BodyText"/>
      </w:pPr>
      <w:r>
        <w:rPr>
          <w:bCs/>
          <w:b/>
        </w:rPr>
        <w:t xml:space="preserve">Ist eine Note erheblich?</w:t>
      </w:r>
      <w:r>
        <w:t xml:space="preserve"> </w:t>
      </w:r>
      <w:r>
        <w:t xml:space="preserve">Ja, und dies ist der am wenigsten bestreitbare Punkt. WP251rev.01 nennt ausdrücklich</w:t>
      </w:r>
      <w:r>
        <w:t xml:space="preserve"> </w:t>
      </w:r>
      <w:r>
        <w:rPr>
          <w:iCs/>
          <w:i/>
        </w:rPr>
        <w:t xml:space="preserve">„Entscheidungen, die den Zugang einer Person zu Bildung betreffen, etwa Hochschulzulassungen”</w:t>
      </w:r>
      <w:r>
        <w:t xml:space="preserve">. Eine Abiturnote, eine GCSE-Note oder eine Modulnote bestimmt den Zugang zu weiterer Bildung und zu reglementierten Berufen; in Deutschland ist die staatliche Prüfungsnote ein Verwaltungsakt, mithin eher eine echte Rechtswirkung.</w:t>
      </w:r>
    </w:p>
    <w:p>
      <w:pPr>
        <w:pStyle w:val="BodyText"/>
      </w:pPr>
      <w:r>
        <w:t xml:space="preserve">Ein echter Übungstest ohne Aktenrelevanz kann unter der Schwelle bleiben.</w:t>
      </w:r>
      <w:r>
        <w:t xml:space="preserve"> </w:t>
      </w:r>
      <w:r>
        <w:rPr>
          <w:bCs/>
          <w:b/>
        </w:rPr>
        <w:t xml:space="preserve">Formative und summative Betriebsarten müssen daher technisch und vertraglich getrennt sein</w:t>
      </w:r>
      <w:r>
        <w:t xml:space="preserve">, weil die Rechtsfolgen weit auseinandergehen — und die Entwürfe der Kommissionsleitlinien ziehen dieselbe Linie.</w:t>
      </w:r>
    </w:p>
    <w:p>
      <w:pPr>
        <w:pStyle w:val="BodyText"/>
      </w:pPr>
      <w:r>
        <w:rPr>
          <w:bCs/>
          <w:b/>
        </w:rPr>
        <w:t xml:space="preserve">Beseitigt die Prüfung durch die Lehrkraft das „ausschließlich”?</w:t>
      </w:r>
      <w:r>
        <w:t xml:space="preserve"> </w:t>
      </w:r>
      <w:r>
        <w:t xml:space="preserve">WP251rev.01 ist der Maßstab und stellt auf das tatsächliche Verhalten ab, nicht auf die Form:</w:t>
      </w:r>
    </w:p>
    <w:p>
      <w:pPr>
        <w:pStyle w:val="BlockText"/>
      </w:pPr>
      <w:r>
        <w:rPr>
          <w:iCs/>
          <w:i/>
        </w:rPr>
        <w:t xml:space="preserve">„Der Verantwortliche kann die Bestimmungen des Artikels 22 nicht dadurch umgehen, dass er eine menschliche Beteiligung fingiert. … Damit eine Beteiligung als menschliche Beteiligung gilt, muss der Verantwortliche sicherstellen, dass jede Überwachung der Entscheidung aussagekräftig ist und nicht nur eine symbolische Geste darstellt. Sie sollte von einer Person durchgeführt werden, die befugt und kompetent ist, die Entscheidung zu ändern.”</w:t>
      </w:r>
    </w:p>
    <w:p>
      <w:pPr>
        <w:pStyle w:val="FirstParagraph"/>
      </w:pPr>
      <w:r>
        <w:rPr>
          <w:bCs/>
          <w:b/>
        </w:rPr>
        <w:t xml:space="preserve">EuGH C-634/21</w:t>
      </w:r>
      <w:r>
        <w:rPr>
          <w:bCs/>
          <w:b/>
        </w:rPr>
        <w:t xml:space="preserve"> </w:t>
      </w:r>
      <w:r>
        <w:rPr>
          <w:iCs/>
          <w:i/>
          <w:bCs/>
          <w:b/>
        </w:rPr>
        <w:t xml:space="preserve">SCHUFA</w:t>
      </w:r>
      <w:r>
        <w:t xml:space="preserve"> </w:t>
      </w:r>
      <w:r>
        <w:t xml:space="preserve">(07.12.2023) nimmt die einfache Antwort. Die SCHUFA hatte vorgetragen, sie erzeuge lediglich einen Wert und ein Mensch entscheide; der Gerichtshof hat dies zurückgewiesen: Wenn ein Dritter dem Wahrscheinlichkeitswert „maßgeblich” folgt, ist bereits dessen Erstellung eine automatisierte Einzelfallentscheidung. Tragend war der Umgehungsschutz: Eine enge Auslegung erzeuge eine Schutzlücke.</w:t>
      </w:r>
    </w:p>
    <w:p>
      <w:pPr>
        <w:pStyle w:val="BodyText"/>
      </w:pPr>
      <w:r>
        <w:t xml:space="preserve">Auf die Korrektur angewandt: Übernehmen Prüfer den Vorschlag in 90–95 % der Fälle, folgen sie ihm „maßgeblich”, und der Vorschlag ist die Entscheidung.</w:t>
      </w:r>
      <w:r>
        <w:t xml:space="preserve"> </w:t>
      </w:r>
      <w:r>
        <w:rPr>
          <w:bCs/>
          <w:b/>
        </w:rPr>
        <w:t xml:space="preserve">Je höher die tatsächliche Übernahmequote, desto schwächer das Argument, die Entscheidung beruhe nicht ausschließlich auf automatisierter Verarbeitung.</w:t>
      </w:r>
      <w:r>
        <w:t xml:space="preserve"> </w:t>
      </w:r>
      <w:r>
        <w:t xml:space="preserve">Diese Spannung ist dem Einsatz immanent und will gesteuert, nicht geleugnet werden.</w:t>
      </w:r>
    </w:p>
    <w:p>
      <w:pPr>
        <w:pStyle w:val="BodyText"/>
      </w:pPr>
      <w:r>
        <w:rPr>
          <w:bCs/>
          <w:b/>
        </w:rPr>
        <w:t xml:space="preserve">Die Elemente, die eine menschliche Beteiligung aussagekräftig machen: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Anforderung</w:t>
            </w:r>
          </w:p>
        </w:tc>
        <w:tc>
          <w:tcPr/>
          <w:p>
            <w:pPr>
              <w:pStyle w:val="Compact"/>
              <w:jc w:val="left"/>
            </w:pPr>
            <w:r>
              <w:t xml:space="preserve">Grundlage</w:t>
            </w:r>
          </w:p>
        </w:tc>
      </w:tr>
      <w:tr>
        <w:tc>
          <w:tcPr/>
          <w:p>
            <w:pPr>
              <w:pStyle w:val="Compact"/>
              <w:jc w:val="left"/>
            </w:pPr>
            <w:r>
              <w:t xml:space="preserve">Der Prüfer sieht zuerst die Arbeit und</w:t>
            </w:r>
            <w:r>
              <w:t xml:space="preserve"> </w:t>
            </w:r>
            <w:r>
              <w:rPr>
                <w:bCs/>
                <w:b/>
              </w:rPr>
              <w:t xml:space="preserve">bildet sich seine eigene Bewertung, bevor er die KI hinzuzieht</w:t>
            </w:r>
            <w:r>
              <w:t xml:space="preserve"> </w:t>
            </w:r>
            <w:r>
              <w:t xml:space="preserve">(oder kann den Vorschlag ausblenden)</w:t>
            </w:r>
          </w:p>
        </w:tc>
        <w:tc>
          <w:tcPr/>
          <w:p>
            <w:pPr>
              <w:pStyle w:val="Compact"/>
              <w:jc w:val="left"/>
            </w:pPr>
            <w:r>
              <w:t xml:space="preserve">wirkt dem Ankereffekt entgegen; belegt Berücksichtigung aller relevanten Daten. Das dem NRW-Landtag vorgelegte Gutachten Kloppenburg (§5.12) empfiehlt genau diese Reihenfolge als Ankerschutz</w:t>
            </w:r>
          </w:p>
        </w:tc>
      </w:tr>
      <w:tr>
        <w:tc>
          <w:tcPr/>
          <w:p>
            <w:pPr>
              <w:pStyle w:val="Compact"/>
              <w:jc w:val="left"/>
            </w:pPr>
            <w:r>
              <w:t xml:space="preserve">Ausdrückliche Befugnis zur Abweichung ohne Eskalation oder Begründungslast</w:t>
            </w:r>
          </w:p>
        </w:tc>
        <w:tc>
          <w:tcPr/>
          <w:p>
            <w:pPr>
              <w:pStyle w:val="Compact"/>
              <w:jc w:val="left"/>
            </w:pPr>
            <w:r>
              <w:t xml:space="preserve">WP251 „befugt, die Entscheidung zu ändern”</w:t>
            </w:r>
          </w:p>
        </w:tc>
      </w:tr>
      <w:tr>
        <w:tc>
          <w:tcPr/>
          <w:p>
            <w:pPr>
              <w:pStyle w:val="Compact"/>
              <w:jc w:val="left"/>
            </w:pPr>
            <w:r>
              <w:t xml:space="preserve">Fachliche Kompetenz plus Schulung zu den Fehlermodi des Systems</w:t>
            </w:r>
          </w:p>
        </w:tc>
        <w:tc>
          <w:tcPr/>
          <w:p>
            <w:pPr>
              <w:pStyle w:val="Compact"/>
              <w:jc w:val="left"/>
            </w:pPr>
            <w:r>
              <w:t xml:space="preserve">WP251 „kompetent”; Art. 26 Abs. 2 KI-VO</w:t>
            </w:r>
          </w:p>
        </w:tc>
      </w:tr>
      <w:tr>
        <w:tc>
          <w:tcPr/>
          <w:p>
            <w:pPr>
              <w:pStyle w:val="Compact"/>
              <w:jc w:val="left"/>
            </w:pPr>
            <w:r>
              <w:t xml:space="preserve">Abweichungs- und Änderungsquoten gemessen, protokolliert, berichtet</w:t>
            </w:r>
          </w:p>
        </w:tc>
        <w:tc>
          <w:tcPr/>
          <w:p>
            <w:pPr>
              <w:pStyle w:val="Compact"/>
              <w:jc w:val="left"/>
            </w:pPr>
            <w:r>
              <w:t xml:space="preserve">widerlegt den</w:t>
            </w:r>
            <w:r>
              <w:t xml:space="preserve"> </w:t>
            </w:r>
            <w:r>
              <w:rPr>
                <w:iCs/>
                <w:i/>
              </w:rPr>
              <w:t xml:space="preserve">SCHUFA</w:t>
            </w:r>
            <w:r>
              <w:t xml:space="preserve">-Maßstab empirisch</w:t>
            </w:r>
          </w:p>
        </w:tc>
      </w:tr>
      <w:tr>
        <w:tc>
          <w:tcPr/>
          <w:p>
            <w:pPr>
              <w:pStyle w:val="Compact"/>
              <w:jc w:val="left"/>
            </w:pPr>
            <w:r>
              <w:t xml:space="preserve">Keine Massenübernahme; Mindestbearbeitungszeit je Arbeit</w:t>
            </w:r>
          </w:p>
        </w:tc>
        <w:tc>
          <w:tcPr/>
          <w:p>
            <w:pPr>
              <w:pStyle w:val="Compact"/>
              <w:jc w:val="left"/>
            </w:pPr>
            <w:r>
              <w:t xml:space="preserve">eine Oberfläche, auf der Zustimmung einen und Abweichung zehn Klicks kostet, belegt die symbolische Geste</w:t>
            </w:r>
          </w:p>
        </w:tc>
      </w:tr>
      <w:tr>
        <w:tc>
          <w:tcPr/>
          <w:p>
            <w:pPr>
              <w:pStyle w:val="Compact"/>
              <w:jc w:val="left"/>
            </w:pPr>
            <w:r>
              <w:t xml:space="preserve">Zweitprüfung bei niedriger Modellkonfidenz oder Notengrenze</w:t>
            </w:r>
          </w:p>
        </w:tc>
        <w:tc>
          <w:tcPr/>
          <w:p>
            <w:pPr>
              <w:pStyle w:val="Compact"/>
              <w:jc w:val="left"/>
            </w:pPr>
            <w:r>
              <w:t xml:space="preserve">verhältnismäßige Schutzmaßnahme</w:t>
            </w:r>
          </w:p>
        </w:tc>
      </w:tr>
    </w:tbl>
    <w:p>
      <w:pPr>
        <w:pStyle w:val="BodyText"/>
      </w:pPr>
      <w:r>
        <w:t xml:space="preserve">Zwei weitere Stimmen weisen in dieselbe Richtung. Die</w:t>
      </w:r>
      <w:r>
        <w:t xml:space="preserve"> </w:t>
      </w:r>
      <w:r>
        <w:rPr>
          <w:bCs/>
          <w:b/>
        </w:rPr>
        <w:t xml:space="preserve">spanische Aufsichtsbehörde (AEPD)</w:t>
      </w:r>
      <w:r>
        <w:t xml:space="preserve"> </w:t>
      </w:r>
      <w:r>
        <w:t xml:space="preserve">hat denselben Maßstab praxisnah erläutert: Eine aussagekräftige Beteiligung erfordert Kompetenz und die Befugnis, das Ergebnis zu ändern, nicht eine symbolische Mitwirkung — bedeutsam, weil hier eine Aufsichtsbehörde den Test operativ formuliert. Und das</w:t>
      </w:r>
      <w:r>
        <w:t xml:space="preserve"> </w:t>
      </w:r>
      <w:r>
        <w:rPr>
          <w:bCs/>
          <w:b/>
        </w:rPr>
        <w:t xml:space="preserve">Gutachten Kloppenburg</w:t>
      </w:r>
      <w:r>
        <w:t xml:space="preserve"> </w:t>
      </w:r>
      <w:r>
        <w:t xml:space="preserve">wendet ihn unmittelbar auf die Leistungsbewertung an: Nach Art. 22 kommt es auf eine substanzielle eigenständige Beurteilung an; eine oberflächliche Kontrolle oder eine bloß formale Freigabe genügt nicht.</w:t>
      </w:r>
    </w:p>
    <w:p>
      <w:pPr>
        <w:pStyle w:val="BodyText"/>
      </w:pPr>
      <w:r>
        <w:t xml:space="preserve">Da die Garantien des Art. 22 Abs. 3 — Eingreifen einer Person, Darlegung des eigenen Standpunkts, Anfechtung — im Prüfungskontext, in dem Rechtsbehelfe ohnehin bestehen, kostengünstig sind, nimmt ihre Umsetzung unabhängig davon, ob Art. 22 formal einschlägig ist, die Frage aus dem Streit.</w:t>
      </w:r>
    </w:p>
    <w:p>
      <w:pPr>
        <w:pStyle w:val="BodyText"/>
      </w:pPr>
      <w:r>
        <w:rPr>
          <w:bCs/>
          <w:b/>
        </w:rPr>
        <w:t xml:space="preserve">Zwei weitere Einschränkungen.</w:t>
      </w:r>
      <w:r>
        <w:t xml:space="preserve"> </w:t>
      </w:r>
      <w:r>
        <w:t xml:space="preserve">Erstens ist der Rückgriff auf Art. 22 Abs. 2 Buchst. b (Zulassung durch mitgliedstaatliches Recht mit Garantien) für Schulen geschwächt: ErwGr. 71 sagt, eine solche Maßnahme</w:t>
      </w:r>
      <w:r>
        <w:t xml:space="preserve"> </w:t>
      </w:r>
      <w:r>
        <w:rPr>
          <w:iCs/>
          <w:i/>
        </w:rPr>
        <w:t xml:space="preserve">„sollte kein Kind betreffen”</w:t>
      </w:r>
      <w:r>
        <w:t xml:space="preserve">, und WP251 rät, sich bei Kindern regelmäßig nicht auf die Ausnahmen des Art. 22 Abs. 2 zu stützen. Zweitens ist das</w:t>
      </w:r>
      <w:r>
        <w:t xml:space="preserve"> </w:t>
      </w:r>
      <w:r>
        <w:rPr>
          <w:bCs/>
          <w:b/>
        </w:rPr>
        <w:t xml:space="preserve">Widerspruchsrecht nach Art. 21</w:t>
      </w:r>
      <w:r>
        <w:t xml:space="preserve"> </w:t>
      </w:r>
      <w:r>
        <w:t xml:space="preserve">bei Verarbeitungen auf Grundlage des Art. 6 Abs. 1 Buchst. e wenig analysiert: Eltern könnten der KI-gestützten</w:t>
      </w:r>
      <w:r>
        <w:t xml:space="preserve"> </w:t>
      </w:r>
      <w:r>
        <w:rPr>
          <w:iCs/>
          <w:i/>
        </w:rPr>
        <w:t xml:space="preserve">Methode</w:t>
      </w:r>
      <w:r>
        <w:t xml:space="preserve"> </w:t>
      </w:r>
      <w:r>
        <w:t xml:space="preserve">widersprechen, nicht der Bewertung als solcher — und das Argument der zwingenden schutzwürdigen Gründe ist dort schwächer, weil eine rein menschliche Alternative existiert. Mit der Forderung mindestens einer Landesaufsichtsbehörde nach einem rein menschlichen Weg auf Verlangen ist zu rechnen.</w:t>
      </w:r>
    </w:p>
    <w:bookmarkEnd w:id="122"/>
    <w:bookmarkStart w:id="123" w:name="X1b2ece233817ff39c3e6bb08e2ee1c2c8212da4"/>
    <w:p>
      <w:pPr>
        <w:pStyle w:val="Heading3"/>
      </w:pPr>
      <w:r>
        <w:t xml:space="preserve">3.6 DSFA — zwingend, ohne ernsthaftes Gegenargument</w:t>
      </w:r>
    </w:p>
    <w:p>
      <w:pPr>
        <w:pStyle w:val="FirstParagraph"/>
      </w:pPr>
      <w:r>
        <w:t xml:space="preserve">Drei Wege führen zum selben Ergebnis:</w:t>
      </w:r>
    </w:p>
    <w:p>
      <w:pPr>
        <w:numPr>
          <w:ilvl w:val="0"/>
          <w:numId w:val="1034"/>
        </w:numPr>
        <w:pStyle w:val="Compact"/>
      </w:pPr>
      <w:r>
        <w:rPr>
          <w:bCs/>
          <w:b/>
        </w:rPr>
        <w:t xml:space="preserve">Art. 35 Abs. 3 Buchst. a</w:t>
      </w:r>
      <w:r>
        <w:t xml:space="preserve"> </w:t>
      </w:r>
      <w:r>
        <w:t xml:space="preserve">— systematische und umfassende Bewertung persönlicher Aspekte auf Grundlage automatisierter Verarbeitung, auf die sich Entscheidungen stützen.</w:t>
      </w:r>
    </w:p>
    <w:p>
      <w:pPr>
        <w:numPr>
          <w:ilvl w:val="0"/>
          <w:numId w:val="1034"/>
        </w:numPr>
        <w:pStyle w:val="Compact"/>
      </w:pPr>
      <w:r>
        <w:rPr>
          <w:bCs/>
          <w:b/>
        </w:rPr>
        <w:t xml:space="preserve">WP248rev.01</w:t>
      </w:r>
      <w:r>
        <w:t xml:space="preserve"> </w:t>
      </w:r>
      <w:r>
        <w:t xml:space="preserve">— zehn Kriterien, Faustregel ab zwei. Ein KI-gestützter Korrektureinsatz erfüllt mindestens fünf: Bewertung/Scoring; automatisierte Entscheidung mit erheblicher Wirkung; wahrscheinlich besondere Kategorien; große Datenmenge; schutzbedürftige Betroffene (Kinder werden ausdrücklich genannt); innovative Technologie; Drittlandsübermittlung bei US-Modellendpunkt.</w:t>
      </w:r>
    </w:p>
    <w:p>
      <w:pPr>
        <w:numPr>
          <w:ilvl w:val="0"/>
          <w:numId w:val="1034"/>
        </w:numPr>
        <w:pStyle w:val="Compact"/>
      </w:pPr>
      <w:r>
        <w:rPr>
          <w:bCs/>
          <w:b/>
        </w:rPr>
        <w:t xml:space="preserve">Nationale „Muss-Listen” nach Art. 35 Abs. 4.</w:t>
      </w:r>
      <w:r>
        <w:t xml:space="preserve"> </w:t>
      </w:r>
      <w:r>
        <w:t xml:space="preserve">Deutschland ist hier entscheidend: Die</w:t>
      </w:r>
      <w:r>
        <w:t xml:space="preserve"> </w:t>
      </w:r>
      <w:r>
        <w:rPr>
          <w:bCs/>
          <w:b/>
        </w:rPr>
        <w:t xml:space="preserve">DSK-Muss-Liste v1.1 vom 17.10.2018, Nr. 11</w:t>
      </w:r>
      <w:r>
        <w:t xml:space="preserve">, nennt den</w:t>
      </w:r>
      <w:r>
        <w:t xml:space="preserve"> </w:t>
      </w:r>
      <w:r>
        <w:rPr>
          <w:iCs/>
          <w:i/>
        </w:rPr>
        <w:t xml:space="preserve">„Einsatz von künstlicher Intelligenz zur Verarbeitung personenbezogener Daten … zur Bewertung persönlicher Aspekte der betroffenen Person”</w:t>
      </w:r>
      <w:r>
        <w:t xml:space="preserve">. Das ist ein Volltreffer.</w:t>
      </w:r>
    </w:p>
    <w:p>
      <w:pPr>
        <w:pStyle w:val="FirstParagraph"/>
      </w:pPr>
      <w:r>
        <w:t xml:space="preserve">Jeder Einsatz im deutschen öffentlichen Sektor erfordert daher vor Inbetriebnahme eine DSFA, und der Betreiber benötigt dafür Vorlage und technische Zuarbeit des Anbieters. Da die Verordnung (EU) 2026/1744 Art. 27 Abs. 4 KI-VO so geändert hat, dass der Betreiber die DSFA in die Grundrechte-Folgenabschätzung hineinverweisen darf, ist ein einheitliches kombiniertes DSFA/GRFA-Paket ausdrücklich vorgesehen.</w:t>
      </w:r>
    </w:p>
    <w:bookmarkEnd w:id="123"/>
    <w:bookmarkStart w:id="124" w:name="X59ede63032adb977b4d8e5e252135560b378423"/>
    <w:p>
      <w:pPr>
        <w:pStyle w:val="Heading3"/>
      </w:pPr>
      <w:r>
        <w:t xml:space="preserve">3.7 Auftragsverarbeitung, Unterauftragnehmer, Drittlandstransfer</w:t>
      </w:r>
    </w:p>
    <w:p>
      <w:pPr>
        <w:numPr>
          <w:ilvl w:val="0"/>
          <w:numId w:val="1035"/>
        </w:numPr>
        <w:pStyle w:val="Compact"/>
      </w:pPr>
      <w:r>
        <w:rPr>
          <w:bCs/>
          <w:b/>
        </w:rPr>
        <w:t xml:space="preserve">Art. 28 Abs. 2/4:</w:t>
      </w:r>
      <w:r>
        <w:t xml:space="preserve"> </w:t>
      </w:r>
      <w:r>
        <w:t xml:space="preserve">Ein US-Modellanbieter ist</w:t>
      </w:r>
      <w:r>
        <w:t xml:space="preserve"> </w:t>
      </w:r>
      <w:r>
        <w:rPr>
          <w:bCs/>
          <w:b/>
        </w:rPr>
        <w:t xml:space="preserve">Unterauftragnehmer</w:t>
      </w:r>
      <w:r>
        <w:t xml:space="preserve">. Öffentliche Käufer verlangen gesonderte vorherige Genehmigung; ein Wechsel des Modellanbieters ist damit ein Vertrags-, nicht nur ein Engineering-Problem.</w:t>
      </w:r>
    </w:p>
    <w:p>
      <w:pPr>
        <w:numPr>
          <w:ilvl w:val="0"/>
          <w:numId w:val="1035"/>
        </w:numPr>
        <w:pStyle w:val="Compact"/>
      </w:pPr>
      <w:r>
        <w:rPr>
          <w:bCs/>
          <w:b/>
        </w:rPr>
        <w:t xml:space="preserve">Art. 28 Abs. 3 Buchst. a:</w:t>
      </w:r>
      <w:r>
        <w:t xml:space="preserve"> </w:t>
      </w:r>
      <w:r>
        <w:t xml:space="preserve">Der Auftragsverarbeiter handelt nur auf dokumentierte Weisung; jede Nutzung zur Modellverbesserung liegt außerhalb der Weisung und macht den Anbieter zum Verantwortlichen.</w:t>
      </w:r>
    </w:p>
    <w:p>
      <w:pPr>
        <w:numPr>
          <w:ilvl w:val="0"/>
          <w:numId w:val="1035"/>
        </w:numPr>
        <w:pStyle w:val="Compact"/>
      </w:pPr>
      <w:r>
        <w:rPr>
          <w:bCs/>
          <w:b/>
        </w:rPr>
        <w:t xml:space="preserve">Art. 32:</w:t>
      </w:r>
      <w:r>
        <w:t xml:space="preserve"> </w:t>
      </w:r>
      <w:r>
        <w:t xml:space="preserve">Eine Zero-Retention-Konfiguration der Modell-API samt vertraglicher Zusicherung, dass der Anbieter Prompts weder speichert noch zum Training nutzt, ist hier faktisch Sicherheitsanforderung, nicht Komfort.</w:t>
      </w:r>
    </w:p>
    <w:p>
      <w:pPr>
        <w:numPr>
          <w:ilvl w:val="0"/>
          <w:numId w:val="1035"/>
        </w:numPr>
        <w:pStyle w:val="Compact"/>
      </w:pPr>
      <w:r>
        <w:rPr>
          <w:bCs/>
          <w:b/>
        </w:rPr>
        <w:t xml:space="preserve">Kapitel V:</w:t>
      </w:r>
      <w:r>
        <w:t xml:space="preserve"> </w:t>
      </w:r>
      <w:r>
        <w:t xml:space="preserve">Die Nutzung eines US-Modellendpunkts ist eine Übermittlung. Der EU-US-Datenschutzrahmen hat die erste Instanz überstanden (</w:t>
      </w:r>
      <w:r>
        <w:rPr>
          <w:bCs/>
          <w:b/>
        </w:rPr>
        <w:t xml:space="preserve">T-553/23</w:t>
      </w:r>
      <w:r>
        <w:rPr>
          <w:bCs/>
          <w:b/>
        </w:rPr>
        <w:t xml:space="preserve"> </w:t>
      </w:r>
      <w:r>
        <w:rPr>
          <w:iCs/>
          <w:i/>
          <w:bCs/>
          <w:b/>
        </w:rPr>
        <w:t xml:space="preserve">Latombe</w:t>
      </w:r>
      <w:r>
        <w:t xml:space="preserve">, EuG, 03.09.2025, Klage abgewiesen); ob ein Rechtsmittel eingelegt wurde und wie der Rahmen politisch steht,</w:t>
      </w:r>
      <w:r>
        <w:t xml:space="preserve"> </w:t>
      </w:r>
      <w:r>
        <w:rPr>
          <w:bCs/>
          <w:b/>
        </w:rPr>
        <w:t xml:space="preserve">konnte für diese Prüfung nicht verifiziert werden</w:t>
      </w:r>
      <w:r>
        <w:t xml:space="preserve"> </w:t>
      </w:r>
      <w:r>
        <w:t xml:space="preserve">und ist vor jeder Zusage erneut zu prüfen. Das System ist so zu konstruieren, dass der Rahmen nicht tragend ist: EU-Endpunkte, Standardvertragsklauseln, Transfer-Folgenabschätzung. Deutsche öffentliche Käufer behandeln US-Mutterkonzern-Cloud unabhängig von Angemessenheitsbeschlüssen wiederholt als Problem.</w:t>
      </w:r>
    </w:p>
    <w:bookmarkEnd w:id="124"/>
    <w:bookmarkStart w:id="125" w:name="modelltraining-und-zweckbindung"/>
    <w:p>
      <w:pPr>
        <w:pStyle w:val="Heading3"/>
      </w:pPr>
      <w:r>
        <w:t xml:space="preserve">3.8 Modelltraining und Zweckbindung</w:t>
      </w:r>
    </w:p>
    <w:p>
      <w:pPr>
        <w:pStyle w:val="FirstParagraph"/>
      </w:pPr>
      <w:r>
        <w:rPr>
          <w:bCs/>
          <w:b/>
        </w:rPr>
        <w:t xml:space="preserve">EDSA-Stellungnahme 28/2024</w:t>
      </w:r>
      <w:r>
        <w:t xml:space="preserve"> </w:t>
      </w:r>
      <w:r>
        <w:t xml:space="preserve">(17.12.2024): Mit personenbezogenen Daten trainierte KI-Modelle können nicht in allen Fällen als anonym gelten; Anonymität setzt voraus, dass sowohl die direkte Extraktion als auch die Gewinnung über Abfragen unerheblich ist; unrechtmäßig verarbeitete Trainingsdaten wirken sich auf den nachgelagerten Betrieb aus. Ein auf Klausuren eines Jahrgangs feinabgestimmtes Modell kann selbst personenbezogenes Datum sein.</w:t>
      </w:r>
    </w:p>
    <w:p>
      <w:pPr>
        <w:pStyle w:val="BodyText"/>
      </w:pPr>
      <w:r>
        <w:t xml:space="preserve">Zusammen mit der Zweckbindung des Art. 5 Abs. 1 Buchst. b — und der für Verantwortliche nach Art. 6 Abs. 1 Buchst. e deutlich engeren Vereinbarkeitsprüfung des Art. 6 Abs. 4 — folgt daraus, dass</w:t>
      </w:r>
      <w:r>
        <w:t xml:space="preserve"> </w:t>
      </w:r>
      <w:r>
        <w:rPr>
          <w:bCs/>
          <w:b/>
        </w:rPr>
        <w:t xml:space="preserve">Kundenarbeiten nicht zur Feinabstimmung verwendet werden dürfen</w:t>
      </w:r>
      <w:r>
        <w:t xml:space="preserve">. Eine Domänenanpassung ist, soweit erforderlich, auf synthetischen oder ordnungsgemäß lizenzierten Korpora vorzunehmen, und dies muss nachweisbar sein. Eine Klausel, die die Modellverbesserung mit Kundendaten erlaubt, ist die Klausel, die eine deutsche Schulaufsicht streicht, die im veröffentlichten Beispielfall des britischen DfE zur Ablehnung eines Anbieters führt und die die US-Analyse in §10 auslöst.</w:t>
      </w:r>
    </w:p>
    <w:bookmarkEnd w:id="125"/>
    <w:bookmarkStart w:id="126" w:name="kinder"/>
    <w:p>
      <w:pPr>
        <w:pStyle w:val="Heading3"/>
      </w:pPr>
      <w:r>
        <w:t xml:space="preserve">3.9 Kinder</w:t>
      </w:r>
    </w:p>
    <w:p>
      <w:pPr>
        <w:pStyle w:val="FirstParagraph"/>
      </w:pPr>
      <w:r>
        <w:rPr>
          <w:bCs/>
          <w:b/>
        </w:rPr>
        <w:t xml:space="preserve">Art. 8 DSGVO gilt hier nicht</w:t>
      </w:r>
      <w:r>
        <w:t xml:space="preserve">, und das klar zu sagen ist wichtig, weil EdTech-Anbieter ihn regelmäßig falsch anwenden. Art. 8 greift nur, wenn die Einwilligung Grundlage ist</w:t>
      </w:r>
      <w:r>
        <w:t xml:space="preserve"> </w:t>
      </w:r>
      <w:r>
        <w:rPr>
          <w:bCs/>
          <w:b/>
        </w:rPr>
        <w:t xml:space="preserve">und</w:t>
      </w:r>
      <w:r>
        <w:t xml:space="preserve"> </w:t>
      </w:r>
      <w:r>
        <w:t xml:space="preserve">ein Dienst der Informationsgesellschaft</w:t>
      </w:r>
      <w:r>
        <w:t xml:space="preserve"> </w:t>
      </w:r>
      <w:r>
        <w:rPr>
          <w:iCs/>
          <w:i/>
        </w:rPr>
        <w:t xml:space="preserve">unmittelbar einem Kind</w:t>
      </w:r>
      <w:r>
        <w:t xml:space="preserve"> </w:t>
      </w:r>
      <w:r>
        <w:t xml:space="preserve">angeboten wird. Beides ist nicht erfüllt: Grundlage ist Art. 6 Abs. 1 Buchst. e, und der Dienst wird der Schule angeboten. Ein Elterneinwilligungsmechanismus wäre ein Kategorienfehler, der eine Rechtsgrundlage suggeriert, die die Schule nicht nutzen darf.</w:t>
      </w:r>
    </w:p>
    <w:p>
      <w:pPr>
        <w:pStyle w:val="BodyText"/>
      </w:pPr>
      <w:r>
        <w:t xml:space="preserve">Was gilt, ist inhaltlich stärker: Art. 12 Abs. 1 (kindgerechte Information), ErwGr. 38 und das DSFA-Kriterium der Schutzbedürftigkeit sowie die Warnung aus ErwGr. 71/WP251 vor ausschließlich automatisierten erheblichen Entscheidungen über Kinder.</w:t>
      </w:r>
    </w:p>
    <w:bookmarkEnd w:id="126"/>
    <w:bookmarkStart w:id="127" w:name="X8ee259c225340310ca4cb1d61da08d7339544b2"/>
    <w:p>
      <w:pPr>
        <w:pStyle w:val="Heading3"/>
      </w:pPr>
      <w:r>
        <w:t xml:space="preserve">3.10 Ist ein Handschriftbild ein biometrisches Datum?</w:t>
      </w:r>
    </w:p>
    <w:p>
      <w:pPr>
        <w:pStyle w:val="FirstParagraph"/>
      </w:pPr>
      <w:r>
        <w:rPr>
          <w:bCs/>
          <w:b/>
        </w:rPr>
        <w:t xml:space="preserve">Nach der DSGVO: bei dieser Nutzung wohl nicht.</w:t>
      </w:r>
      <w:r>
        <w:t xml:space="preserve"> </w:t>
      </w:r>
      <w:r>
        <w:t xml:space="preserve">Art. 4 Nr. 14 verlangt „spezifische technische Verfahren … die die</w:t>
      </w:r>
      <w:r>
        <w:t xml:space="preserve"> </w:t>
      </w:r>
      <w:r>
        <w:rPr>
          <w:iCs/>
          <w:i/>
        </w:rPr>
        <w:t xml:space="preserve">eindeutige Identifizierung</w:t>
      </w:r>
      <w:r>
        <w:t xml:space="preserve"> </w:t>
      </w:r>
      <w:r>
        <w:t xml:space="preserve">ermöglichen oder bestätigen”. OCR zur Transkription ist das nicht.</w:t>
      </w:r>
    </w:p>
    <w:p>
      <w:pPr>
        <w:pStyle w:val="BodyText"/>
      </w:pPr>
      <w:r>
        <w:t xml:space="preserve">Zwei Vorbehalte. Erstens: Ein System, das eine Schreiberverifikation oder einen Identitätsabgleich umsetzt,</w:t>
      </w:r>
      <w:r>
        <w:t xml:space="preserve"> </w:t>
      </w:r>
      <w:r>
        <w:rPr>
          <w:iCs/>
          <w:i/>
        </w:rPr>
        <w:t xml:space="preserve">verarbeitet</w:t>
      </w:r>
      <w:r>
        <w:t xml:space="preserve"> </w:t>
      </w:r>
      <w:r>
        <w:t xml:space="preserve">zur eindeutigen Identifizierung, und das macht die Verarbeitung zu einer solchen nach Art. 9. Eine solche Funktion — als Anti-Täuschungsmaßnahme plausibel und kundenseitig gewünscht — verändert die Regulierungsklasse des Systems still; ihre Einführung ist eine Governance-Entscheidung, keine Engineering-Entscheidung. Zweitens verwendet</w:t>
      </w:r>
      <w:r>
        <w:t xml:space="preserve"> </w:t>
      </w:r>
      <w:r>
        <w:rPr>
          <w:bCs/>
          <w:b/>
        </w:rPr>
        <w:t xml:space="preserve">die KI-VO eine weitere Definition</w:t>
      </w:r>
      <w:r>
        <w:t xml:space="preserve"> </w:t>
      </w:r>
      <w:r>
        <w:t xml:space="preserve">(Art. 3 Nr. 34 ohne das Merkmal der eindeutigen Identifizierung), sodass eine Handschriftanalyse KI-VO-biometrisch sein kann, ohne DSGVO-biometrisch zu sein.</w:t>
      </w:r>
    </w:p>
    <w:p>
      <w:pPr>
        <w:pStyle w:val="BodyText"/>
      </w:pPr>
      <w:r>
        <w:t xml:space="preserve">Unabhängig davon ist Handschrift ein starkes Quasi-Identifikationsmerkmal: In einer Klasse von 25–30 ermöglicht sie zuverlässig das „Aussondern” im Sinne des ErwGr. 26.</w:t>
      </w:r>
    </w:p>
    <w:p>
      <w:pPr>
        <w:pStyle w:val="BodyText"/>
      </w:pPr>
      <w:r>
        <w:t xml:space="preserve">Zwei symmetrische Klarstellungen, weil dies in beide Richtungen wirkt und in beiden Genauigkeit verlangt ist. Handschrift ist</w:t>
      </w:r>
      <w:r>
        <w:t xml:space="preserve"> </w:t>
      </w:r>
      <w:r>
        <w:rPr>
          <w:bCs/>
          <w:b/>
        </w:rPr>
        <w:t xml:space="preserve">nicht</w:t>
      </w:r>
      <w:r>
        <w:t xml:space="preserve"> </w:t>
      </w:r>
      <w:r>
        <w:t xml:space="preserve">automatisch biometrisches Datum nach Art. 9 — maßgeblich sind die konkrete Verarbeitung und der Identifizierungszweck; der Punkt sollte daher weder pauschal preisgegeben noch von einem Datenschutzbeauftragten der einsetzenden Stelle unbesehen unterstellt werden. Ebenso gilt:</w:t>
      </w:r>
      <w:r>
        <w:t xml:space="preserve"> </w:t>
      </w:r>
      <w:r>
        <w:rPr>
          <w:bCs/>
          <w:b/>
        </w:rPr>
        <w:t xml:space="preserve">Leistungsdaten sind personenbezogene Daten, aber nicht automatisch besondere Kategorien</w:t>
      </w:r>
      <w:r>
        <w:t xml:space="preserve">; das entscheidet ihr Inhalt, der bei Freitextantworten außerhalb der Kontrolle des Anbieters liegt (§3.3). Beide Formulierungen entsprechen der in den für dieses Papier geprüften NRW-Materialien vertretenen Position.</w:t>
      </w:r>
    </w:p>
    <w:p>
      <w:pPr>
        <w:pStyle w:val="BodyText"/>
      </w:pPr>
      <w:r>
        <w:rPr>
          <w:bCs/>
          <w:b/>
        </w:rPr>
        <w:t xml:space="preserve">Und eine Umgehung, die nicht funktioniert.</w:t>
      </w:r>
      <w:r>
        <w:t xml:space="preserve"> </w:t>
      </w:r>
      <w:r>
        <w:t xml:space="preserve">Die NRW-FAQ zu KI und Datenschutz unterscheidet Anonymisierung von Pseudonymisierung und schließt damit die naheliegenden technischen Abkürzungen: Das Ersetzen von Namen durch Schülernummern hebt den Personenbezug nicht notwendig auf; und</w:t>
      </w:r>
      <w:r>
        <w:t xml:space="preserve"> </w:t>
      </w:r>
      <w:r>
        <w:rPr>
          <w:bCs/>
          <w:b/>
        </w:rPr>
        <w:t xml:space="preserve">die Anonymisierung ist selbst eine Verarbeitung mit eigener Rechtsgrundlage, sodass die Übermittlung identifizierter Daten an einen KI-Dienst zum Zweck der Anonymisierung die ursprüngliche Offenlegung nicht heilt.</w:t>
      </w:r>
      <w:r>
        <w:t xml:space="preserve"> </w:t>
      </w:r>
      <w:r>
        <w:t xml:space="preserve">Jede Architektur „Anonymisierung bei der Erfassung” muss vor dem Verlassen des Verantwortungsbereichs der Schule anonymisieren, nicht nach Eingang beim Anbieter.</w:t>
      </w:r>
    </w:p>
    <w:bookmarkEnd w:id="127"/>
    <w:bookmarkEnd w:id="128"/>
    <w:bookmarkStart w:id="136" w:name="frage-2-was-folgt-aus-der-ki-vo"/>
    <w:p>
      <w:pPr>
        <w:pStyle w:val="Heading2"/>
      </w:pPr>
      <w:r>
        <w:t xml:space="preserve">4. Frage 2 — Was folgt aus der KI-VO?</w:t>
      </w:r>
    </w:p>
    <w:bookmarkStart w:id="129" w:name="einstufung"/>
    <w:p>
      <w:pPr>
        <w:pStyle w:val="Heading3"/>
      </w:pPr>
      <w:r>
        <w:t xml:space="preserve">4.1 Einstufung</w:t>
      </w:r>
    </w:p>
    <w:p>
      <w:pPr>
        <w:pStyle w:val="FirstParagraph"/>
      </w:pPr>
      <w:r>
        <w:rPr>
          <w:bCs/>
          <w:b/>
        </w:rPr>
        <w:t xml:space="preserve">Anhang III Nr. 3 (allgemeine und berufliche Bildung)</w:t>
      </w:r>
      <w:r>
        <w:t xml:space="preserve">, im maßgeblichen Teil:</w:t>
      </w:r>
    </w:p>
    <w:p>
      <w:pPr>
        <w:pStyle w:val="BlockText"/>
      </w:pPr>
      <w:r>
        <w:rPr>
          <w:iCs/>
          <w:i/>
        </w:rPr>
        <w:t xml:space="preserve">„b) KI-Systeme, die bestimmungsgemäß zur Bewertung von Lernergebnissen verwendet werden sollen, einschließlich des Falles, dass diese Ergebnisse dazu dienen, den Lernprozess natürlicher Personen in Einrichtungen der allgemeinen und beruflichen Bildung aller Ebenen zu steuern;“</w:t>
      </w:r>
    </w:p>
    <w:p>
      <w:pPr>
        <w:pStyle w:val="FirstParagraph"/>
      </w:pPr>
      <w:r>
        <w:t xml:space="preserve">Das beschreibt Klausurkorrektur wörtlich. Zu beachten ist die Formulierung: Der Zusatz „einschließlich des Falles…”</w:t>
      </w:r>
      <w:r>
        <w:t xml:space="preserve"> </w:t>
      </w:r>
      <w:r>
        <w:rPr>
          <w:bCs/>
          <w:b/>
        </w:rPr>
        <w:t xml:space="preserve">erweitert</w:t>
      </w:r>
      <w:r>
        <w:t xml:space="preserve">, er schränkt nicht ein. Anhang III Nr. 3 wurde durch die Verordnung (EU) 2026/1744 nicht geändert.</w:t>
      </w:r>
    </w:p>
    <w:p>
      <w:pPr>
        <w:pStyle w:val="BodyText"/>
      </w:pPr>
      <w:r>
        <w:t xml:space="preserve">Nr. 3 Buchst. d erfasst gesondert die</w:t>
      </w:r>
      <w:r>
        <w:t xml:space="preserve"> </w:t>
      </w:r>
      <w:r>
        <w:rPr>
          <w:bCs/>
          <w:b/>
        </w:rPr>
        <w:t xml:space="preserve">Überwachung und Erkennung verbotenen Verhaltens während Prüfungen</w:t>
      </w:r>
      <w:r>
        <w:t xml:space="preserve"> </w:t>
      </w:r>
      <w:r>
        <w:t xml:space="preserve">— jede Aufsichtsfunktion schafft also einen zweiten Anknüpfungspunkt. ErwGr. 56 nennt den Grund: Solche Systeme können „den Verlauf der Bildung und des Berufslebens einer Person bestimmen” und bei mangelhafter Gestaltung das Recht auf Bildung und das Diskriminierungsverbot verletzen.</w:t>
      </w:r>
    </w:p>
    <w:p>
      <w:pPr>
        <w:pStyle w:val="BodyText"/>
      </w:pPr>
      <w:r>
        <w:t xml:space="preserve">Wer ein solches System unter eigenem Namen in Verkehr bringt, ist</w:t>
      </w:r>
      <w:r>
        <w:t xml:space="preserve"> </w:t>
      </w:r>
      <w:r>
        <w:rPr>
          <w:bCs/>
          <w:b/>
        </w:rPr>
        <w:t xml:space="preserve">Anbieter</w:t>
      </w:r>
      <w:r>
        <w:t xml:space="preserve"> </w:t>
      </w:r>
      <w:r>
        <w:t xml:space="preserve">(Art. 3 Nr. 3). Der Aufbau auf einem fremden Basismodell ändert daran nichts — Art. 25 Abs. 1 Buchst. a und c erfassen den Anbieter doppelt, weil er seine Marke anbringt und ein Allzweckmodell auf einen Zweck des Anhangs III richtet. Das Modellhaus ist Anbieter des GPAI-</w:t>
      </w:r>
      <w:r>
        <w:rPr>
          <w:iCs/>
          <w:i/>
        </w:rPr>
        <w:t xml:space="preserve">Modells</w:t>
      </w:r>
      <w:r>
        <w:t xml:space="preserve">, nicht des</w:t>
      </w:r>
      <w:r>
        <w:t xml:space="preserve"> </w:t>
      </w:r>
      <w:r>
        <w:rPr>
          <w:iCs/>
          <w:i/>
        </w:rPr>
        <w:t xml:space="preserve">Systems</w:t>
      </w:r>
      <w:r>
        <w:t xml:space="preserve">; seine Bedingungen werden das auch so sagen.</w:t>
      </w:r>
    </w:p>
    <w:p>
      <w:pPr>
        <w:pStyle w:val="BodyText"/>
      </w:pPr>
      <w:r>
        <w:rPr>
          <w:bCs/>
          <w:b/>
        </w:rPr>
        <w:t xml:space="preserve">Dieselbe Norm erzeugt auf der Käuferseite eine entsprechende Gefährdung.</w:t>
      </w:r>
      <w:r>
        <w:t xml:space="preserve"> </w:t>
      </w:r>
      <w:r>
        <w:t xml:space="preserve">Art. 25 Abs. 1 Buchst. c erfasst ebenso eine</w:t>
      </w:r>
      <w:r>
        <w:t xml:space="preserve"> </w:t>
      </w:r>
      <w:r>
        <w:rPr>
          <w:bCs/>
          <w:b/>
        </w:rPr>
        <w:t xml:space="preserve">Schule</w:t>
      </w:r>
      <w:r>
        <w:t xml:space="preserve">, die ein nicht als hochriskant eingestuftes Allzwecksystem für die Korrektur zweckändert: Sie ändert die Zweckbestimmung so, dass das System hochriskant wird, und übernimmt damit</w:t>
      </w:r>
      <w:r>
        <w:t xml:space="preserve"> </w:t>
      </w:r>
      <w:r>
        <w:rPr>
          <w:bCs/>
          <w:b/>
        </w:rPr>
        <w:t xml:space="preserve">Anbieterpflichten</w:t>
      </w:r>
      <w:r>
        <w:t xml:space="preserve">. Das dem NRW-Landtag vorgelegte Gutachten Kloppenburg (§5.12) benennt genau diese Gefahr. Eine Lehrkraft, die einen Verbraucher-Chatbot zur Korrektur eines Klassensatzes nutzt, wählt keine informelle Abkürzung; es ist die Schule, die zum KI-VO-Anbieter wird — ohne technische Dokumentation, ohne Risikomanagement, ohne Konformitätsbewertung.</w:t>
      </w:r>
    </w:p>
    <w:bookmarkEnd w:id="129"/>
    <w:bookmarkStart w:id="130" w:name="die-pflichten-im-hochrisikofall"/>
    <w:p>
      <w:pPr>
        <w:pStyle w:val="Heading3"/>
      </w:pPr>
      <w:r>
        <w:t xml:space="preserve">4.2 Die Pflichten im Hochrisikofall</w:t>
      </w:r>
    </w:p>
    <w:p>
      <w:pPr>
        <w:pStyle w:val="FirstParagraph"/>
      </w:pPr>
      <w:r>
        <w:rPr>
          <w:bCs/>
          <w:b/>
        </w:rPr>
        <w:t xml:space="preserve">Anforderungen (Art. 8–15):</w:t>
      </w:r>
      <w:r>
        <w:t xml:space="preserve"> </w:t>
      </w:r>
      <w:r>
        <w:t xml:space="preserve">Risikomanagement (Art. 9);</w:t>
      </w:r>
      <w:r>
        <w:t xml:space="preserve"> </w:t>
      </w:r>
      <w:r>
        <w:rPr>
          <w:bCs/>
          <w:b/>
        </w:rPr>
        <w:t xml:space="preserve">Daten-Governance (Art. 10)</w:t>
      </w:r>
      <w:r>
        <w:t xml:space="preserve"> </w:t>
      </w:r>
      <w:r>
        <w:t xml:space="preserve">— Trainings-, Validierungs- und Testdatensätze „relevant, hinreichend repräsentativ und so weit wie möglich fehlerfrei und vollständig”, auf Verzerrungen untersucht, unter Berücksichtigung der Merkmale des Einsatzumfelds (Art. 10 Abs. 4 verlangt faktisch curriculums- und länderspezifische Validierung); technische Dokumentation nach Anhang IV (Art. 11); Protokollierung (Art. 12); Betriebsanleitung (Art. 13);</w:t>
      </w:r>
      <w:r>
        <w:t xml:space="preserve"> </w:t>
      </w:r>
      <w:r>
        <w:rPr>
          <w:bCs/>
          <w:b/>
        </w:rPr>
        <w:t xml:space="preserve">menschliche Aufsicht (Art. 14)</w:t>
      </w:r>
      <w:r>
        <w:t xml:space="preserve">; Genauigkeit, Robustheit und Cybersicherheit mit ausgewiesenen Kennzahlen (Art. 15).</w:t>
      </w:r>
    </w:p>
    <w:p>
      <w:pPr>
        <w:pStyle w:val="BodyText"/>
      </w:pPr>
      <w:r>
        <w:rPr>
          <w:bCs/>
          <w:b/>
        </w:rPr>
        <w:t xml:space="preserve">Art. 14 Abs. 4 Buchst. b ist die für die Gestaltung eines solchen Systems wichtigste Einzelnorm.</w:t>
      </w:r>
      <w:r>
        <w:t xml:space="preserve"> </w:t>
      </w:r>
      <w:r>
        <w:t xml:space="preserve">Aufsichtspersonen müssen in die Lage versetzt werden,</w:t>
      </w:r>
      <w:r>
        <w:t xml:space="preserve"> </w:t>
      </w:r>
      <w:r>
        <w:rPr>
          <w:iCs/>
          <w:i/>
        </w:rPr>
        <w:t xml:space="preserve">„sich der möglichen Neigung zu einem automatischen oder übermäßigen Vertrauen in die von einem Hochrisiko-KI-System hervorgebrachte Ausgabe (Automatisierungsbias) bewusst zu bleiben”</w:t>
      </w:r>
      <w:r>
        <w:t xml:space="preserve">. Damit wird Automation Bias von einer UX-Frage zu einer gesetzlichen Designpflicht</w:t>
      </w:r>
      <w:r>
        <w:t xml:space="preserve"> </w:t>
      </w:r>
      <w:r>
        <w:rPr>
          <w:bCs/>
          <w:b/>
        </w:rPr>
        <w:t xml:space="preserve">des Anbieters</w:t>
      </w:r>
      <w:r>
        <w:t xml:space="preserve">. Zugleich ist dies die strukturelle Antwort der KI-VO auf das</w:t>
      </w:r>
      <w:r>
        <w:t xml:space="preserve"> </w:t>
      </w:r>
      <w:r>
        <w:rPr>
          <w:iCs/>
          <w:i/>
        </w:rPr>
        <w:t xml:space="preserve">SCHUFA</w:t>
      </w:r>
      <w:r>
        <w:t xml:space="preserve">-Problem: Eine Oberfläche, die die Note zuerst und prominent zeigt und die Übernahme mit einem Klick erlaubt, genügt Art. 14 Abs. 4 Buchst. b nicht</w:t>
      </w:r>
      <w:r>
        <w:t xml:space="preserve"> </w:t>
      </w:r>
      <w:r>
        <w:rPr>
          <w:bCs/>
          <w:b/>
        </w:rPr>
        <w:t xml:space="preserve">und</w:t>
      </w:r>
      <w:r>
        <w:t xml:space="preserve"> </w:t>
      </w:r>
      <w:r>
        <w:t xml:space="preserve">untergräbt zugleich das Argument, die Entscheidung beruhe nicht ausschließlich auf automatisierter Verarbeitung. Eine einzige Gestaltung der Oberfläche erfüllt beide Anforderungen.</w:t>
      </w:r>
    </w:p>
    <w:p>
      <w:pPr>
        <w:pStyle w:val="BodyText"/>
      </w:pPr>
      <w:r>
        <w:rPr>
          <w:bCs/>
          <w:b/>
        </w:rPr>
        <w:t xml:space="preserve">Anbieterpflichten (Art. 16):</w:t>
      </w:r>
      <w:r>
        <w:t xml:space="preserve"> </w:t>
      </w:r>
      <w:r>
        <w:t xml:space="preserve">Qualitätsmanagementsystem (Art. 17), Dokumentations- und Protokollaufbewahrung, Konformitätsbewertung, EU-Konformitätserklärung (Art. 47), CE-Kennzeichnung (Art. 48), Registrierung (Art. 49 Abs. 1), Korrekturmaßnahmen, Nachweis auf Verlangen und — Art. 16 Buchst. l — Einhaltung der Barrierefreiheitsanforderungen der Richtlinien (EU) 2016/2102 und (EU) 2019/882.</w:t>
      </w:r>
    </w:p>
    <w:p>
      <w:pPr>
        <w:pStyle w:val="BodyText"/>
      </w:pPr>
      <w:r>
        <w:rPr>
          <w:bCs/>
          <w:b/>
        </w:rPr>
        <w:t xml:space="preserve">Konformitätsbewertung.</w:t>
      </w:r>
      <w:r>
        <w:t xml:space="preserve"> </w:t>
      </w:r>
      <w:r>
        <w:t xml:space="preserve">Art. 43 verweist Anhang III Nr.</w:t>
      </w:r>
      <w:r>
        <w:t xml:space="preserve"> </w:t>
      </w:r>
      <w:r>
        <w:rPr>
          <w:bCs/>
          <w:b/>
        </w:rPr>
        <w:t xml:space="preserve">2–8</w:t>
      </w:r>
      <w:r>
        <w:t xml:space="preserve">, also auch Bildung, auf das</w:t>
      </w:r>
      <w:r>
        <w:t xml:space="preserve"> </w:t>
      </w:r>
      <w:r>
        <w:rPr>
          <w:bCs/>
          <w:b/>
        </w:rPr>
        <w:t xml:space="preserve">interne Kontrollverfahren nach Anhang VI</w:t>
      </w:r>
      <w:r>
        <w:t xml:space="preserve">. Keine benannte Stelle, kein Drittaudit. Nur Anhang III Nr. 1 (Biometrie) kann eine benannte Stelle erfordern. Ein Vorbehalt: Die Verordnung (EU) 2026/1744 ermächtigt die Kommission, Nr. 2–8 künftig auf Anhang VII umzustellen; soweit für diese Prüfung feststellbar nicht ausgeübt, aber zu beobachten.</w:t>
      </w:r>
    </w:p>
    <w:p>
      <w:pPr>
        <w:pStyle w:val="BodyText"/>
      </w:pPr>
      <w:r>
        <w:rPr>
          <w:bCs/>
          <w:b/>
        </w:rPr>
        <w:t xml:space="preserve">Wesentliche Änderung</w:t>
      </w:r>
      <w:r>
        <w:t xml:space="preserve"> </w:t>
      </w:r>
      <w:r>
        <w:t xml:space="preserve">(Art. 43 Abs. 4) löst eine Neubewertung aus, außer bei Änderungen, die im ursprünglichen Dossier vorab festgelegt und dokumentiert sind. Für ein auf einem Basismodell aufsetzendes Produkt wirft die Aktualisierung auf die nächste Modellversion genau diese Frage auf. Ein Anbieter, der den vorgesehenen Rahmen für Modellaktualisierungen nicht in der Anhang-IV-Dokumentation festlegt, sieht sich bei jedem Modellwechsel einer Neubewertung ausgesetzt.</w:t>
      </w:r>
    </w:p>
    <w:p>
      <w:pPr>
        <w:pStyle w:val="BodyText"/>
      </w:pPr>
      <w:r>
        <w:rPr>
          <w:bCs/>
          <w:b/>
        </w:rPr>
        <w:t xml:space="preserve">Nach dem Inverkehrbringen:</w:t>
      </w:r>
      <w:r>
        <w:t xml:space="preserve"> </w:t>
      </w:r>
      <w:r>
        <w:t xml:space="preserve">Beobachtungsplan nach Art. 72 (Teil der Anhang-IV-Dokumentation; Kommissionsvorlage bis 2. September 2027) und</w:t>
      </w:r>
      <w:r>
        <w:t xml:space="preserve"> </w:t>
      </w:r>
      <w:r>
        <w:rPr>
          <w:bCs/>
          <w:b/>
        </w:rPr>
        <w:t xml:space="preserve">Meldung schwerwiegender Vorfälle nach Art. 73 binnen 15 Tagen</w:t>
      </w:r>
      <w:r>
        <w:t xml:space="preserve"> </w:t>
      </w:r>
      <w:r>
        <w:t xml:space="preserve">(2 Tage bei weitreichenden Verstößen). Eine Modellregression, die einen ganzen Prüfungstermin falsch bewertet, ist plausibel ein schwerwiegender Vorfall; die Meldefrist muss im Incident-Runbook abgebildet sein.</w:t>
      </w:r>
    </w:p>
    <w:p>
      <w:pPr>
        <w:pStyle w:val="BodyText"/>
      </w:pPr>
      <w:r>
        <w:rPr>
          <w:bCs/>
          <w:b/>
        </w:rPr>
        <w:t xml:space="preserve">Sanktionen (Art. 99):</w:t>
      </w:r>
      <w:r>
        <w:t xml:space="preserve"> </w:t>
      </w:r>
      <w:r>
        <w:t xml:space="preserve">35 Mio. € oder 7 % des weltweiten Jahresumsatzes für verbotene Praktiken nach Art. 5; 15 Mio. € oder 3 % für Verstöße u. a. gegen Art. 16, 25 Abs. 2–4, 26 und 50. Für einen KMU-Anbieter gilt die geänderte „jeweils niedrigerer Betrag”-Deckelung. Die Folgen jenseits der Geldbuße sind die öffentliche Registrierung in der EU-Datenbank, die Feststellung der Marktüberwachung und der gleichzeitige Verlust sämtlicher öffentlicher Einsätze.</w:t>
      </w:r>
    </w:p>
    <w:bookmarkEnd w:id="130"/>
    <w:bookmarkStart w:id="131" w:name="X75e4b0b94780884ffd99d8d5bead50f4173dacd"/>
    <w:p>
      <w:pPr>
        <w:pStyle w:val="Heading3"/>
      </w:pPr>
      <w:r>
        <w:t xml:space="preserve">4.3 Warum die Ausnahme des Art. 6 Abs. 3 nicht zur Verfügung steht</w:t>
      </w:r>
    </w:p>
    <w:p>
      <w:pPr>
        <w:pStyle w:val="FirstParagraph"/>
      </w:pPr>
      <w:r>
        <w:t xml:space="preserve">Die Ausnahme hat einen Einleitungssatz, vier alternative Fälle und eine Rückausnahme. Alle drei wirken gegen ein Korrektursystem.</w:t>
      </w:r>
    </w:p>
    <w:p>
      <w:pPr>
        <w:pStyle w:val="BodyText"/>
      </w:pPr>
      <w:r>
        <w:rPr>
          <w:bCs/>
          <w:b/>
        </w:rPr>
        <w:t xml:space="preserve">Der Einleitungssatz</w:t>
      </w:r>
      <w:r>
        <w:t xml:space="preserve"> </w:t>
      </w:r>
      <w:r>
        <w:t xml:space="preserve">verlangt, dass das System kein erhebliches Risiko für Grundrechte birgt,</w:t>
      </w:r>
      <w:r>
        <w:t xml:space="preserve"> </w:t>
      </w:r>
      <w:r>
        <w:rPr>
          <w:iCs/>
          <w:i/>
        </w:rPr>
        <w:t xml:space="preserve">„auch indem es das Ergebnis der Entscheidungsfindung nicht wesentlich beeinflusst”</w:t>
      </w:r>
      <w:r>
        <w:t xml:space="preserve">. Die Funktion eines KI-gestützten Korrektursystems besteht darin, dass der Vorschlag das Ergebnis wesentlich beeinflusst — das ist die Zeitersparnis für den Prüfer. Ein System, das dies nicht täte, hätte keinen Zweck.</w:t>
      </w:r>
    </w:p>
    <w:p>
      <w:pPr>
        <w:pStyle w:val="BodyText"/>
      </w:pPr>
      <w:r>
        <w:rPr>
          <w:bCs/>
          <w:b/>
        </w:rPr>
        <w:t xml:space="preserve">Die Rückausnahme entscheidet.</w:t>
      </w:r>
      <w:r>
        <w:t xml:space="preserve"> </w:t>
      </w:r>
      <w:r>
        <w:t xml:space="preserve">Letzter Unterabsatz:</w:t>
      </w:r>
      <w:r>
        <w:t xml:space="preserve"> </w:t>
      </w:r>
      <w:r>
        <w:rPr>
          <w:iCs/>
          <w:i/>
        </w:rPr>
        <w:t xml:space="preserve">„Ungeachtet des Unterabsatzes 1 gilt ein in Anhang III genanntes KI-System immer dann als hochriskant, wenn es ein Profiling natürlicher Personen vornimmt.”</w:t>
      </w:r>
      <w:r>
        <w:t xml:space="preserve"> </w:t>
      </w:r>
      <w:r>
        <w:t xml:space="preserve">Art. 3 Nr. 52 KI-VO übernimmt die Definition des Art. 4 Nr. 4 DSGVO — „jede Art der automatisierten Verarbeitung personenbezogener Daten … um bestimmte persönliche Aspekte … zu bewerten” —, und die dortige Aufzählung ist nicht abschließend, das Fehlen von „schulischer Leistung” also unerheblich. Die Bewertung schulischer Leistung bewertet persönliche Aspekte;</w:t>
      </w:r>
      <w:r>
        <w:t xml:space="preserve"> </w:t>
      </w:r>
      <w:r>
        <w:rPr>
          <w:iCs/>
          <w:i/>
        </w:rPr>
        <w:t xml:space="preserve">Nowak</w:t>
      </w:r>
      <w:r>
        <w:t xml:space="preserve"> </w:t>
      </w:r>
      <w:r>
        <w:t xml:space="preserve">sagt ausdrücklich, dass Prüfungsantworten Kenntnisse und Kompetenz widerspiegeln.</w:t>
      </w:r>
    </w:p>
    <w:p>
      <w:pPr>
        <w:pStyle w:val="BodyText"/>
      </w:pPr>
      <w:r>
        <w:rPr>
          <w:bCs/>
          <w:b/>
        </w:rPr>
        <w:t xml:space="preserve">Die vier Fälle scheitern einzeln</w:t>
      </w:r>
      <w:r>
        <w:t xml:space="preserve"> </w:t>
      </w:r>
      <w:r>
        <w:t xml:space="preserve">nach den Kommissionsleitlinien-Entwürfen vom 19. Mai 2026: „eng gefasste Verfahrensaufgabe” schließt Systeme aus, die ranken, bewerten oder etikettieren; „Verbesserung des Ergebnisses einer zuvor abgeschlossenen menschlichen Tätigkeit” hat die falsche Reihenfolge, weil das System</w:t>
      </w:r>
      <w:r>
        <w:t xml:space="preserve"> </w:t>
      </w:r>
      <w:r>
        <w:rPr>
          <w:iCs/>
          <w:i/>
        </w:rPr>
        <w:t xml:space="preserve">vor</w:t>
      </w:r>
      <w:r>
        <w:t xml:space="preserve"> </w:t>
      </w:r>
      <w:r>
        <w:t xml:space="preserve">der menschlichen Entscheidung vorschlägt; Buchst. c setzt voraus, dass das System die vorherige menschliche Bewertung nicht beeinflussen soll; und „vorbereitende Aufgabe” stellt auf die Nähe zur Endentscheidung ab und schließt Systeme aus, die konkrete Empfehlungen erzeugen — ein Notenvorschlag ist die konkretest mögliche Empfehlung. Dieselben Leitlinien trennen summative Bewertung (hochriskant) von formativem Feedback (regelmäßig nicht).</w:t>
      </w:r>
      <w:r>
        <w:t xml:space="preserve"> </w:t>
      </w:r>
      <w:r>
        <w:rPr>
          <w:iCs/>
          <w:i/>
        </w:rPr>
        <w:t xml:space="preserve">(Statusvorbehalt: Die Leitlinien waren beim letzten überprüfbaren Stand noch Entwurf und sind ohnehin unverbindlich — aber sie sind das beste verfügbare Signal für die Vollzugspraxis, und sie weisen einheitlich gegen die Ausnahme.)</w:t>
      </w:r>
    </w:p>
    <w:p>
      <w:pPr>
        <w:pStyle w:val="BodyText"/>
      </w:pPr>
      <w:r>
        <w:rPr>
          <w:bCs/>
          <w:b/>
        </w:rPr>
        <w:t xml:space="preserve">Das beste Gegenargument, und warum es scheitert.</w:t>
      </w:r>
      <w:r>
        <w:t xml:space="preserve"> </w:t>
      </w:r>
      <w:r>
        <w:t xml:space="preserve">Man könnte vortragen, das System bewerte</w:t>
      </w:r>
      <w:r>
        <w:t xml:space="preserve"> </w:t>
      </w:r>
      <w:r>
        <w:rPr>
          <w:iCs/>
          <w:i/>
        </w:rPr>
        <w:t xml:space="preserve">die Antwort</w:t>
      </w:r>
      <w:r>
        <w:t xml:space="preserve">, nicht</w:t>
      </w:r>
      <w:r>
        <w:t xml:space="preserve"> </w:t>
      </w:r>
      <w:r>
        <w:rPr>
          <w:iCs/>
          <w:i/>
        </w:rPr>
        <w:t xml:space="preserve">die Person</w:t>
      </w:r>
      <w:r>
        <w:t xml:space="preserve"> </w:t>
      </w:r>
      <w:r>
        <w:t xml:space="preserve">— ein Raster auf einen Text angewandt. Es scheitert, weil</w:t>
      </w:r>
      <w:r>
        <w:t xml:space="preserve"> </w:t>
      </w:r>
      <w:r>
        <w:rPr>
          <w:iCs/>
          <w:i/>
        </w:rPr>
        <w:t xml:space="preserve">Nowak</w:t>
      </w:r>
      <w:r>
        <w:t xml:space="preserve"> </w:t>
      </w:r>
      <w:r>
        <w:t xml:space="preserve">die Antworten gerade deshalb als personenbezogene Daten</w:t>
      </w:r>
      <w:r>
        <w:t xml:space="preserve"> </w:t>
      </w:r>
      <w:r>
        <w:rPr>
          <w:bCs/>
          <w:b/>
        </w:rPr>
        <w:t xml:space="preserve">über den Prüfling</w:t>
      </w:r>
      <w:r>
        <w:t xml:space="preserve"> </w:t>
      </w:r>
      <w:r>
        <w:t xml:space="preserve">einordnet, weil sie dessen Kompetenz widerspiegeln; weil die Ausgabe der Schülerakte und nicht dem Text zugeordnet wird; und weil die Kommissionsleitlinien Ranking und Scoring ausdrücklich aus der Verfahrensaufgabe ausnehmen. Vor einer Marktüberwachungsbehörde ist dem Argument nicht mehr als 15–20 % Erfolgsaussicht beizumessen, vor einer Landesaufsichtsbehörde nahezu keine.</w:t>
      </w:r>
    </w:p>
    <w:p>
      <w:pPr>
        <w:pStyle w:val="BodyText"/>
      </w:pPr>
      <w:r>
        <w:rPr>
          <w:bCs/>
          <w:b/>
        </w:rPr>
        <w:t xml:space="preserve">Und die Ausnahme ist ohnehin keine Befreiung.</w:t>
      </w:r>
      <w:r>
        <w:t xml:space="preserve"> </w:t>
      </w:r>
      <w:r>
        <w:t xml:space="preserve">Art. 6 Abs. 4 verlangt eine vor dem Inverkehrbringen dokumentierte Bewertung, die aufzubewahren und vorzulegen ist. Art. 49 Abs. 2 verlangt, dass sich der Anbieter und das System auf dieser Grundlage</w:t>
      </w:r>
      <w:r>
        <w:t xml:space="preserve"> </w:t>
      </w:r>
      <w:r>
        <w:rPr>
          <w:bCs/>
          <w:b/>
        </w:rPr>
        <w:t xml:space="preserve">in der öffentlichen EU-Datenbank registrieren</w:t>
      </w:r>
      <w:r>
        <w:t xml:space="preserve">. Eine registrierte Erklärung, ein Korrektursystem sei nicht hochriskant, zieht die Aufmerksamkeit der Marktüberwachung auf sich.</w:t>
      </w:r>
    </w:p>
    <w:p>
      <w:pPr>
        <w:pStyle w:val="BodyText"/>
      </w:pPr>
      <w:r>
        <w:t xml:space="preserve">Einzuplanen ist daher der Anbieterstatus für Hochrisiko. Ein Argument nach Art. 6 Abs. 3 ist nur für eine rein formative, nicht aktenrelevante Variante vertretbar, die gesondert abzugrenzen und zu dokumentieren ist.</w:t>
      </w:r>
    </w:p>
    <w:bookmarkEnd w:id="131"/>
    <w:bookmarkStart w:id="132" w:name="pflichten-der-einsetzenden-einrichtung"/>
    <w:p>
      <w:pPr>
        <w:pStyle w:val="Heading3"/>
      </w:pPr>
      <w:r>
        <w:t xml:space="preserve">4.4 Pflichten der einsetzenden Einrichtung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Norm</w:t>
            </w:r>
          </w:p>
        </w:tc>
        <w:tc>
          <w:tcPr/>
          <w:p>
            <w:pPr>
              <w:pStyle w:val="Compact"/>
              <w:jc w:val="left"/>
            </w:pPr>
            <w:r>
              <w:t xml:space="preserve">Was die einsetzende Schule tun muss</w:t>
            </w:r>
          </w:p>
        </w:tc>
      </w:tr>
      <w:tr>
        <w:tc>
          <w:tcPr/>
          <w:p>
            <w:pPr>
              <w:pStyle w:val="Compact"/>
              <w:jc w:val="left"/>
            </w:pPr>
            <w:r>
              <w:t xml:space="preserve">Art. 26 Abs. 1</w:t>
            </w:r>
          </w:p>
        </w:tc>
        <w:tc>
          <w:tcPr/>
          <w:p>
            <w:pPr>
              <w:pStyle w:val="Compact"/>
              <w:jc w:val="left"/>
            </w:pPr>
            <w:r>
              <w:t xml:space="preserve">System entsprechend der Betriebsanleitung verwenden</w:t>
            </w:r>
          </w:p>
        </w:tc>
      </w:tr>
      <w:tr>
        <w:tc>
          <w:tcPr/>
          <w:p>
            <w:pPr>
              <w:pStyle w:val="Compact"/>
              <w:jc w:val="left"/>
            </w:pPr>
            <w:r>
              <w:t xml:space="preserve">Art. 26 Abs. 2</w:t>
            </w:r>
          </w:p>
        </w:tc>
        <w:tc>
          <w:tcPr/>
          <w:p>
            <w:pPr>
              <w:pStyle w:val="Compact"/>
              <w:jc w:val="left"/>
            </w:pPr>
            <w:r>
              <w:t xml:space="preserve">Menschliche Aufsicht Personen übertragen, die die</w:t>
            </w:r>
            <w:r>
              <w:t xml:space="preserve"> </w:t>
            </w:r>
            <w:r>
              <w:rPr>
                <w:bCs/>
                <w:b/>
              </w:rPr>
              <w:t xml:space="preserve">erforderliche Kompetenz, Ausbildung und Befugnis</w:t>
            </w:r>
            <w:r>
              <w:t xml:space="preserve"> </w:t>
            </w:r>
            <w:r>
              <w:t xml:space="preserve">besitzen, und sie unterstützen</w:t>
            </w:r>
          </w:p>
        </w:tc>
      </w:tr>
      <w:tr>
        <w:tc>
          <w:tcPr/>
          <w:p>
            <w:pPr>
              <w:pStyle w:val="Compact"/>
              <w:jc w:val="left"/>
            </w:pPr>
            <w:r>
              <w:t xml:space="preserve">Art. 26 Abs. 4</w:t>
            </w:r>
          </w:p>
        </w:tc>
        <w:tc>
          <w:tcPr/>
          <w:p>
            <w:pPr>
              <w:pStyle w:val="Compact"/>
              <w:jc w:val="left"/>
            </w:pPr>
            <w:r>
              <w:t xml:space="preserve">Sicherstellen, dass Eingabedaten relevant und hinreichend repräsentativ sind</w:t>
            </w:r>
          </w:p>
        </w:tc>
      </w:tr>
      <w:tr>
        <w:tc>
          <w:tcPr/>
          <w:p>
            <w:pPr>
              <w:pStyle w:val="Compact"/>
              <w:jc w:val="left"/>
            </w:pPr>
            <w:r>
              <w:t xml:space="preserve">Art. 26 Abs. 5</w:t>
            </w:r>
          </w:p>
        </w:tc>
        <w:tc>
          <w:tcPr/>
          <w:p>
            <w:pPr>
              <w:pStyle w:val="Compact"/>
              <w:jc w:val="left"/>
            </w:pPr>
            <w:r>
              <w:t xml:space="preserve">Betrieb überwachen; Anbieter und Behörden unverzüglich über Risiken oder schwerwiegende Vorfälle unterrichten</w:t>
            </w:r>
          </w:p>
        </w:tc>
      </w:tr>
      <w:tr>
        <w:tc>
          <w:tcPr/>
          <w:p>
            <w:pPr>
              <w:pStyle w:val="Compact"/>
              <w:jc w:val="left"/>
            </w:pPr>
            <w:r>
              <w:t xml:space="preserve">Art. 26 Abs. 6</w:t>
            </w:r>
          </w:p>
        </w:tc>
        <w:tc>
          <w:tcPr/>
          <w:p>
            <w:pPr>
              <w:pStyle w:val="Compact"/>
              <w:jc w:val="left"/>
            </w:pPr>
            <w:r>
              <w:rPr>
                <w:bCs/>
                <w:b/>
              </w:rPr>
              <w:t xml:space="preserve">Protokolle mindestens sechs Monate aufbewahren</w:t>
            </w:r>
          </w:p>
        </w:tc>
      </w:tr>
      <w:tr>
        <w:tc>
          <w:tcPr/>
          <w:p>
            <w:pPr>
              <w:pStyle w:val="Compact"/>
              <w:jc w:val="left"/>
            </w:pPr>
            <w:r>
              <w:t xml:space="preserve">Art. 26 Abs. 7</w:t>
            </w:r>
          </w:p>
        </w:tc>
        <w:tc>
          <w:tcPr/>
          <w:p>
            <w:pPr>
              <w:pStyle w:val="Compact"/>
              <w:jc w:val="left"/>
            </w:pPr>
            <w:r>
              <w:t xml:space="preserve">Vor Inbetriebnahme</w:t>
            </w:r>
            <w:r>
              <w:t xml:space="preserve"> </w:t>
            </w:r>
            <w:r>
              <w:rPr>
                <w:bCs/>
                <w:b/>
              </w:rPr>
              <w:t xml:space="preserve">am Arbeitsplatz</w:t>
            </w:r>
            <w:r>
              <w:t xml:space="preserve"> </w:t>
            </w:r>
            <w:r>
              <w:t xml:space="preserve">die Arbeitnehmervertreter und die betroffenen Beschäftigten informieren</w:t>
            </w:r>
          </w:p>
        </w:tc>
      </w:tr>
      <w:tr>
        <w:tc>
          <w:tcPr/>
          <w:p>
            <w:pPr>
              <w:pStyle w:val="Compact"/>
              <w:jc w:val="left"/>
            </w:pPr>
            <w:r>
              <w:t xml:space="preserve">Art. 26 Abs. 11</w:t>
            </w:r>
          </w:p>
        </w:tc>
        <w:tc>
          <w:tcPr/>
          <w:p>
            <w:pPr>
              <w:pStyle w:val="Compact"/>
              <w:jc w:val="left"/>
            </w:pPr>
            <w:r>
              <w:t xml:space="preserve">Die Personen informieren, über die mithilfe des Systems entschieden wird</w:t>
            </w:r>
          </w:p>
        </w:tc>
      </w:tr>
      <w:tr>
        <w:tc>
          <w:tcPr/>
          <w:p>
            <w:pPr>
              <w:pStyle w:val="Compact"/>
              <w:jc w:val="left"/>
            </w:pPr>
            <w:r>
              <w:rPr>
                <w:bCs/>
                <w:b/>
              </w:rPr>
              <w:t xml:space="preserve">Art. 27</w:t>
            </w:r>
          </w:p>
        </w:tc>
        <w:tc>
          <w:tcPr/>
          <w:p>
            <w:pPr>
              <w:pStyle w:val="Compact"/>
              <w:jc w:val="left"/>
            </w:pPr>
            <w:r>
              <w:rPr>
                <w:bCs/>
                <w:b/>
              </w:rPr>
              <w:t xml:space="preserve">Grundrechte-Folgenabschätzung</w:t>
            </w:r>
            <w:r>
              <w:t xml:space="preserve"> </w:t>
            </w:r>
            <w:r>
              <w:t xml:space="preserve">— Pflicht für Betreiber, die Einrichtungen des öffentlichen Rechts sind oder öffentliche Dienste erbringen</w:t>
            </w:r>
          </w:p>
        </w:tc>
      </w:tr>
    </w:tbl>
    <w:p>
      <w:pPr>
        <w:pStyle w:val="BodyText"/>
      </w:pPr>
      <w:r>
        <w:t xml:space="preserve">Zwei davon haben besonderes institutionelles Gewicht.</w:t>
      </w:r>
      <w:r>
        <w:t xml:space="preserve"> </w:t>
      </w:r>
      <w:r>
        <w:rPr>
          <w:bCs/>
          <w:b/>
        </w:rPr>
        <w:t xml:space="preserve">Art. 26 Abs. 7</w:t>
      </w:r>
      <w:r>
        <w:t xml:space="preserve"> </w:t>
      </w:r>
      <w:r>
        <w:t xml:space="preserve">bedeutet, dass der Personalrat vor Inbetriebnahme zu informieren ist; in Deutschland trifft dies auf die Mitbestimmungsregime der Länder, die bei zur Leistungsüberwachung geeigneten technischen Einrichtungen nicht nur Information, sondern Zustimmung verlangen können (§5.8). Dieses Verfahren dauert typischerweise ein bis drei Monate und setzt ein vorbereitetes Informationspaket voraus.</w:t>
      </w:r>
      <w:r>
        <w:t xml:space="preserve"> </w:t>
      </w:r>
      <w:r>
        <w:rPr>
          <w:bCs/>
          <w:b/>
        </w:rPr>
        <w:t xml:space="preserve">Art. 27</w:t>
      </w:r>
      <w:r>
        <w:t xml:space="preserve"> </w:t>
      </w:r>
      <w:r>
        <w:t xml:space="preserve">trifft jede staatliche Schule; die Abschätzung muss Prozesse, Zeitraum und Häufigkeit der Nutzung, betroffene Personengruppen, konkrete Schadensrisiken, Aufsichtsmaßnahmen und Beschwerdemechanismen beschreiben. Das ist eine erhebliche Dokumentationslast für eine Einrichtung, die die dafür erforderliche Expertise regelmäßig nicht vorhält. Art. 27 Abs. 4 erlaubt nunmehr den Verweis auf die DSFA, Art. 27 Abs. 5 stellt eine Vorlage des KI-Büros in Aussicht (</w:t>
      </w:r>
      <w:r>
        <w:rPr>
          <w:bCs/>
          <w:b/>
        </w:rPr>
        <w:t xml:space="preserve">Veröffentlichung konnte für diese Prüfung nicht verifiziert werden</w:t>
      </w:r>
      <w:r>
        <w:t xml:space="preserve">).</w:t>
      </w:r>
    </w:p>
    <w:p>
      <w:pPr>
        <w:pStyle w:val="BodyText"/>
      </w:pPr>
      <w:r>
        <w:t xml:space="preserve">Eine rein kommerzielle Prüfungsorganisation oder ein Unternehmensbildungsanbieter fällt</w:t>
      </w:r>
      <w:r>
        <w:t xml:space="preserve"> </w:t>
      </w:r>
      <w:r>
        <w:rPr>
          <w:bCs/>
          <w:b/>
        </w:rPr>
        <w:t xml:space="preserve">nicht</w:t>
      </w:r>
      <w:r>
        <w:t xml:space="preserve"> </w:t>
      </w:r>
      <w:r>
        <w:t xml:space="preserve">unter die erste Alternative des Art. 27.</w:t>
      </w:r>
    </w:p>
    <w:bookmarkEnd w:id="132"/>
    <w:bookmarkStart w:id="133" w:name="zeitplan-nach-aktuellem-stand"/>
    <w:p>
      <w:pPr>
        <w:pStyle w:val="Heading3"/>
      </w:pPr>
      <w:r>
        <w:t xml:space="preserve">4.5 Zeitplan nach aktuellem Stand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Datum</w:t>
            </w:r>
          </w:p>
        </w:tc>
        <w:tc>
          <w:tcPr/>
          <w:p>
            <w:pPr>
              <w:pStyle w:val="Compact"/>
              <w:jc w:val="left"/>
            </w:pPr>
            <w:r>
              <w:t xml:space="preserve">Was gilt</w:t>
            </w:r>
          </w:p>
        </w:tc>
        <w:tc>
          <w:tcPr/>
          <w:p>
            <w:pPr>
              <w:pStyle w:val="Compact"/>
              <w:jc w:val="left"/>
            </w:pPr>
            <w:r>
              <w:t xml:space="preserve">Status</w:t>
            </w:r>
          </w:p>
        </w:tc>
      </w:tr>
      <w:tr>
        <w:tc>
          <w:tcPr/>
          <w:p>
            <w:pPr>
              <w:pStyle w:val="Compact"/>
              <w:jc w:val="left"/>
            </w:pPr>
            <w:r>
              <w:t xml:space="preserve">2. Feb. 2025</w:t>
            </w:r>
          </w:p>
        </w:tc>
        <w:tc>
          <w:tcPr/>
          <w:p>
            <w:pPr>
              <w:pStyle w:val="Compact"/>
              <w:jc w:val="left"/>
            </w:pPr>
            <w:r>
              <w:t xml:space="preserve">Kapitel I (u. a.</w:t>
            </w:r>
            <w:r>
              <w:t xml:space="preserve"> </w:t>
            </w:r>
            <w:r>
              <w:rPr>
                <w:bCs/>
                <w:b/>
              </w:rPr>
              <w:t xml:space="preserve">Art. 4 KI-Kompetenz</w:t>
            </w:r>
            <w:r>
              <w:t xml:space="preserve">) und Kapitel II (</w:t>
            </w:r>
            <w:r>
              <w:rPr>
                <w:bCs/>
                <w:b/>
              </w:rPr>
              <w:t xml:space="preserve">Art. 5 Verbote</w:t>
            </w:r>
            <w:r>
              <w:t xml:space="preserve">, u. a. Emotionserkennung im Bildungsbereich)</w:t>
            </w:r>
          </w:p>
        </w:tc>
        <w:tc>
          <w:tcPr/>
          <w:p>
            <w:pPr>
              <w:pStyle w:val="Compact"/>
              <w:jc w:val="left"/>
            </w:pPr>
            <w:r>
              <w:t xml:space="preserve">in Kraft</w:t>
            </w:r>
          </w:p>
        </w:tc>
      </w:tr>
      <w:tr>
        <w:tc>
          <w:tcPr/>
          <w:p>
            <w:pPr>
              <w:pStyle w:val="Compact"/>
              <w:jc w:val="left"/>
            </w:pPr>
            <w:r>
              <w:t xml:space="preserve">2. Aug. 2025</w:t>
            </w:r>
          </w:p>
        </w:tc>
        <w:tc>
          <w:tcPr/>
          <w:p>
            <w:pPr>
              <w:pStyle w:val="Compact"/>
              <w:jc w:val="left"/>
            </w:pPr>
            <w:r>
              <w:t xml:space="preserve">Benannte Stellen; GPAI; Governance; Sanktionen</w:t>
            </w:r>
          </w:p>
        </w:tc>
        <w:tc>
          <w:tcPr/>
          <w:p>
            <w:pPr>
              <w:pStyle w:val="Compact"/>
              <w:jc w:val="left"/>
            </w:pPr>
            <w:r>
              <w:t xml:space="preserve">in Kraft</w:t>
            </w:r>
          </w:p>
        </w:tc>
      </w:tr>
      <w:tr>
        <w:tc>
          <w:tcPr/>
          <w:p>
            <w:pPr>
              <w:pStyle w:val="Compact"/>
              <w:jc w:val="left"/>
            </w:pPr>
            <w:r>
              <w:t xml:space="preserve">27. Juli 2026</w:t>
            </w:r>
          </w:p>
        </w:tc>
        <w:tc>
          <w:tcPr/>
          <w:p>
            <w:pPr>
              <w:pStyle w:val="Compact"/>
              <w:jc w:val="left"/>
            </w:pPr>
            <w:r>
              <w:t xml:space="preserve">VO (EU) 2026/1744: neuer Art. 4; neuer Art. 4a; Art. 27 Abs. 4–5; KMU-Deckelungen</w:t>
            </w:r>
          </w:p>
        </w:tc>
        <w:tc>
          <w:tcPr/>
          <w:p>
            <w:pPr>
              <w:pStyle w:val="Compact"/>
              <w:jc w:val="left"/>
            </w:pPr>
            <w:r>
              <w:t xml:space="preserve">in Kraft</w:t>
            </w:r>
          </w:p>
        </w:tc>
      </w:tr>
      <w:tr>
        <w:tc>
          <w:tcPr/>
          <w:p>
            <w:pPr>
              <w:pStyle w:val="Compact"/>
              <w:jc w:val="left"/>
            </w:pPr>
            <w:r>
              <w:t xml:space="preserve">2. Aug. 2026</w:t>
            </w:r>
          </w:p>
        </w:tc>
        <w:tc>
          <w:tcPr/>
          <w:p>
            <w:pPr>
              <w:pStyle w:val="Compact"/>
              <w:jc w:val="left"/>
            </w:pPr>
            <w:r>
              <w:t xml:space="preserve">Allgemeiner Geltungsbeginn, u. a. Art. 50 und</w:t>
            </w:r>
            <w:r>
              <w:t xml:space="preserve"> </w:t>
            </w:r>
            <w:r>
              <w:rPr>
                <w:bCs/>
                <w:b/>
              </w:rPr>
              <w:t xml:space="preserve">Kapitel III Abschnitt 5 (Art. 40–49)</w:t>
            </w:r>
          </w:p>
        </w:tc>
        <w:tc>
          <w:tcPr/>
          <w:p>
            <w:pPr>
              <w:pStyle w:val="Compact"/>
              <w:jc w:val="left"/>
            </w:pPr>
            <w:r>
              <w:t xml:space="preserve">in Kraft — s. Lücke</w:t>
            </w:r>
          </w:p>
        </w:tc>
      </w:tr>
      <w:tr>
        <w:tc>
          <w:tcPr/>
          <w:p>
            <w:pPr>
              <w:pStyle w:val="Compact"/>
              <w:jc w:val="left"/>
            </w:pPr>
            <w:r>
              <w:t xml:space="preserve">2. Dez. 2026</w:t>
            </w:r>
          </w:p>
        </w:tc>
        <w:tc>
          <w:tcPr/>
          <w:p>
            <w:pPr>
              <w:pStyle w:val="Compact"/>
              <w:jc w:val="left"/>
            </w:pPr>
            <w:r>
              <w:t xml:space="preserve">Neue Verbote des Art. 5; Art. 50 Abs. 2 für Altsysteme</w:t>
            </w:r>
          </w:p>
        </w:tc>
        <w:tc>
          <w:tcPr/>
          <w:p>
            <w:pPr>
              <w:pStyle w:val="Compact"/>
              <w:jc w:val="left"/>
            </w:pPr>
            <w:r>
              <w:t xml:space="preserve">offen</w:t>
            </w:r>
          </w:p>
        </w:tc>
      </w:tr>
      <w:tr>
        <w:tc>
          <w:tcPr/>
          <w:p>
            <w:pPr>
              <w:pStyle w:val="Compact"/>
              <w:jc w:val="left"/>
            </w:pPr>
            <w:r>
              <w:rPr>
                <w:bCs/>
                <w:b/>
              </w:rPr>
              <w:t xml:space="preserve">2. Dez. 2027</w:t>
            </w:r>
          </w:p>
        </w:tc>
        <w:tc>
          <w:tcPr/>
          <w:p>
            <w:pPr>
              <w:pStyle w:val="Compact"/>
              <w:jc w:val="left"/>
            </w:pPr>
            <w:r>
              <w:rPr>
                <w:bCs/>
                <w:b/>
              </w:rPr>
              <w:t xml:space="preserve">Kapitel III Abschnitte 1–3 für Hochrisiko nach Anhang III: Art. 6–7, Art. 8–15, Art. 16–27</w:t>
            </w:r>
          </w:p>
        </w:tc>
        <w:tc>
          <w:tcPr/>
          <w:p>
            <w:pPr>
              <w:pStyle w:val="Compact"/>
              <w:jc w:val="left"/>
            </w:pPr>
            <w:r>
              <w:rPr>
                <w:bCs/>
                <w:b/>
              </w:rPr>
              <w:t xml:space="preserve">das maßgebliche Datum</w:t>
            </w:r>
          </w:p>
        </w:tc>
      </w:tr>
      <w:tr>
        <w:tc>
          <w:tcPr/>
          <w:p>
            <w:pPr>
              <w:pStyle w:val="Compact"/>
              <w:jc w:val="left"/>
            </w:pPr>
            <w:r>
              <w:t xml:space="preserve">2. Aug. 2028</w:t>
            </w:r>
          </w:p>
        </w:tc>
        <w:tc>
          <w:tcPr/>
          <w:p>
            <w:pPr>
              <w:pStyle w:val="Compact"/>
              <w:jc w:val="left"/>
            </w:pPr>
            <w:r>
              <w:t xml:space="preserve">Kapitel III Abschnitte 1–3 für Anhang I</w:t>
            </w:r>
          </w:p>
        </w:tc>
        <w:tc>
          <w:tcPr/>
          <w:p>
            <w:pPr>
              <w:pStyle w:val="Compact"/>
              <w:jc w:val="left"/>
            </w:pPr>
            <w:r>
              <w:t xml:space="preserve">offen</w:t>
            </w:r>
          </w:p>
        </w:tc>
      </w:tr>
    </w:tbl>
    <w:p>
      <w:pPr>
        <w:pStyle w:val="BodyText"/>
      </w:pPr>
      <w:r>
        <w:rPr>
          <w:bCs/>
          <w:b/>
        </w:rPr>
        <w:t xml:space="preserve">Die offene Lücke.</w:t>
      </w:r>
      <w:r>
        <w:t xml:space="preserve"> </w:t>
      </w:r>
      <w:r>
        <w:t xml:space="preserve">Art. 113 n.F. verschiebt nur „Kapitel III Abschnitte 1, 2 und 3”. Abschnitt 5 (Art. 40–49) wurde nicht verschoben und gilt seit dem 2. August 2026 — Art. 6 (Einstufung) und Art. 16 (Pflicht zu Konformitätsbewertung und Registrierung) gelten dagegen erst ab 2. Dezember 2027. Eine Äußerung der Kommission, des KI-Büros oder einer nationalen Behörde dazu war nicht auffindbar. Die vertretbare Lesart ist, dass niemand zur Registrierung eines Hochrisikosystems verpflichtet sein kann, bevor die es als hochriskant einstufende Norm gilt; die praktische Lesart ist, dass keine Marktüberwachungsbehörde Art. 49 vor Dezember 2027 gegen einen Anhang-III-Anbieter durchsetzen wird. Es handelt sich um eine offene Frage, nicht um ein Schlupfloch; sie ist anwaltlich zu klären, und die Position sollte gegenüber niemandem als geklärt dargestellt werden.</w:t>
      </w:r>
    </w:p>
    <w:p>
      <w:pPr>
        <w:pStyle w:val="BodyText"/>
      </w:pPr>
      <w:r>
        <w:rPr>
          <w:bCs/>
          <w:b/>
        </w:rPr>
        <w:t xml:space="preserve">Ein Punkt wird regelmäßig falsch gelesen und gehört in jedes Gespräch über die Verschiebung:</w:t>
      </w:r>
      <w:r>
        <w:t xml:space="preserve"> </w:t>
      </w:r>
      <w:r>
        <w:t xml:space="preserve">Die Verschiebung betrifft die Hochrisikopflichten der KI-VO. Sie suspendiert nichts in der DSGVO und nichts im Schul- und Prüfungsrecht. Beides gilt heute vollumfänglich. Unterlagen, die für das Anhang-III-Paket noch den 2. August 2026 nennen, sind schlicht veraltet.</w:t>
      </w:r>
    </w:p>
    <w:p>
      <w:pPr>
        <w:pStyle w:val="BodyText"/>
      </w:pPr>
      <w:r>
        <w:rPr>
          <w:bCs/>
          <w:b/>
        </w:rPr>
        <w:t xml:space="preserve">Harmonisierte Normen.</w:t>
      </w:r>
      <w:r>
        <w:t xml:space="preserve"> </w:t>
      </w:r>
      <w:r>
        <w:t xml:space="preserve">Der Erwägungsgrund der Verordnung (EU) 2026/1744 hält als Feststellung des Gesetzgebers die</w:t>
      </w:r>
      <w:r>
        <w:t xml:space="preserve"> </w:t>
      </w:r>
      <w:r>
        <w:rPr>
          <w:iCs/>
          <w:i/>
        </w:rPr>
        <w:t xml:space="preserve">„verzögerte Verfügbarkeit von Normen, gemeinsamen Spezifikationen und alternativen Leitlinien”</w:t>
      </w:r>
      <w:r>
        <w:t xml:space="preserve"> </w:t>
      </w:r>
      <w:r>
        <w:t xml:space="preserve">fest — und nennt sie als Grund für die fünfzehnmonatige Verschiebung. Ob</w:t>
      </w:r>
      <w:r>
        <w:t xml:space="preserve"> </w:t>
      </w:r>
      <w:r>
        <w:rPr>
          <w:bCs/>
          <w:b/>
        </w:rPr>
        <w:t xml:space="preserve">überhaupt</w:t>
      </w:r>
      <w:r>
        <w:t xml:space="preserve"> </w:t>
      </w:r>
      <w:r>
        <w:t xml:space="preserve">eine harmonisierte Norm zur KI-VO im Amtsblatt fundstellenveröffentlicht wurde,</w:t>
      </w:r>
      <w:r>
        <w:t xml:space="preserve"> </w:t>
      </w:r>
      <w:r>
        <w:rPr>
          <w:bCs/>
          <w:b/>
        </w:rPr>
        <w:t xml:space="preserve">konnte für diese Prüfung nicht verifiziert werden</w:t>
      </w:r>
      <w:r>
        <w:t xml:space="preserve">; Belege dafür fanden sich nicht. Ohne Veröffentlichung gibt es keine Konformitätsvermutung nach Art. 40, die Anhang-VI-Bewertung ist also unmittelbar aus Art. 8–15 zu begründen. In der Praxis stützen sich Anbieter auf</w:t>
      </w:r>
      <w:r>
        <w:t xml:space="preserve"> </w:t>
      </w:r>
      <w:r>
        <w:rPr>
          <w:bCs/>
          <w:b/>
        </w:rPr>
        <w:t xml:space="preserve">ISO/IEC 42001</w:t>
      </w:r>
      <w:r>
        <w:t xml:space="preserve"> </w:t>
      </w:r>
      <w:r>
        <w:t xml:space="preserve">(KI-Managementsysteme) und</w:t>
      </w:r>
      <w:r>
        <w:t xml:space="preserve"> </w:t>
      </w:r>
      <w:r>
        <w:rPr>
          <w:bCs/>
          <w:b/>
        </w:rPr>
        <w:t xml:space="preserve">ISO/IEC 23894</w:t>
      </w:r>
      <w:r>
        <w:t xml:space="preserve"> </w:t>
      </w:r>
      <w:r>
        <w:t xml:space="preserve">(KI-Risikomanagement). Diese sind keine harmonisierten Normen und begründen keine Vermutung, sind aber die beste verfügbare Struktur und dem Einkauf vertraut. Ein auf ISO/IEC 42001 aufgebautes und zertifiziertes QMS nach Art. 17 ist demnach Nachweis, nicht Konformität, und muss auch so bezeichnet werden.</w:t>
      </w:r>
    </w:p>
    <w:bookmarkEnd w:id="133"/>
    <w:bookmarkStart w:id="134" w:name="Xbe93a93813595ce50c63ef0f5ca78c4751b8e6f"/>
    <w:p>
      <w:pPr>
        <w:pStyle w:val="Heading3"/>
      </w:pPr>
      <w:r>
        <w:t xml:space="preserve">4.6 Zwei weitere Grenzen des Funktionsumfangs</w:t>
      </w:r>
    </w:p>
    <w:p>
      <w:pPr>
        <w:pStyle w:val="FirstParagraph"/>
      </w:pPr>
      <w:r>
        <w:rPr>
          <w:bCs/>
          <w:b/>
        </w:rPr>
        <w:t xml:space="preserve">Art. 5 Abs. 1 Buchst. f — verboten, nicht bloß reguliert.</w:t>
      </w:r>
      <w:r>
        <w:t xml:space="preserve"> </w:t>
      </w:r>
      <w:r>
        <w:rPr>
          <w:iCs/>
          <w:i/>
        </w:rPr>
        <w:t xml:space="preserve">„KI-Systeme zur Ableitung von Emotionen einer natürlichen Person am Arbeitsplatz und in Bildungseinrichtungen”</w:t>
      </w:r>
      <w:r>
        <w:t xml:space="preserve"> </w:t>
      </w:r>
      <w:r>
        <w:t xml:space="preserve">sind</w:t>
      </w:r>
      <w:r>
        <w:t xml:space="preserve"> </w:t>
      </w:r>
      <w:r>
        <w:rPr>
          <w:bCs/>
          <w:b/>
        </w:rPr>
        <w:t xml:space="preserve">verboten</w:t>
      </w:r>
      <w:r>
        <w:t xml:space="preserve">, vorbehaltlich einer engen medizinischen bzw. Sicherheitsausnahme. Sanktionsstufe: 35 Mio. € bzw. 7 %. Gilt seit 2. Februar 2025 und wurde nicht verschoben. Jede Funktion zur Engagement-, Stress- oder Belastungserkennung oder affektbasierten Aufsicht ist in Bildungseinrichtungen rechtswidrig. Zur Nachbarschaft: Aufsicht nach Anhang III Nr. 3 Buchst. d ist</w:t>
      </w:r>
      <w:r>
        <w:t xml:space="preserve"> </w:t>
      </w:r>
      <w:r>
        <w:rPr>
          <w:iCs/>
          <w:i/>
        </w:rPr>
        <w:t xml:space="preserve">hochriskant</w:t>
      </w:r>
      <w:r>
        <w:t xml:space="preserve"> </w:t>
      </w:r>
      <w:r>
        <w:t xml:space="preserve">(erlaubt, reguliert); Emotionsableitung ist</w:t>
      </w:r>
      <w:r>
        <w:t xml:space="preserve"> </w:t>
      </w:r>
      <w:r>
        <w:rPr>
          <w:iCs/>
          <w:i/>
        </w:rPr>
        <w:t xml:space="preserve">verboten</w:t>
      </w:r>
      <w:r>
        <w:t xml:space="preserve">. Die Grenze ist in einem realen Aufsichtsprodukt schmal und auf Umsetzungsebene nicht erkennbar; sie ist daher auf Governance-Ebene durchzusetzen und nicht der Einschätzung der Entwicklung zu überlassen.</w:t>
      </w:r>
    </w:p>
    <w:p>
      <w:pPr>
        <w:pStyle w:val="BodyText"/>
      </w:pPr>
      <w:r>
        <w:rPr>
          <w:bCs/>
          <w:b/>
        </w:rPr>
        <w:t xml:space="preserve">Art. 50 Abs. 2 — Kennzeichnung synthetischer Inhalte.</w:t>
      </w:r>
      <w:r>
        <w:t xml:space="preserve"> </w:t>
      </w:r>
      <w:r>
        <w:t xml:space="preserve">Anbieter von Systemen, die synthetischen Text erzeugen, müssen die Ausgaben maschinenlesbar und als künstlich erzeugt erkennbar kennzeichnen. KI-erzeugter Feedbacktext ist vertretbar synthetischer Text. Gilt ab 2. August 2026 (2. Dezember 2026 für Altsysteme) und ist für feedbackerzeugende Systeme zu wenig bedacht. Die Ausnahme des Art. 50 Abs. 4 für menschlich geprüfte Texte mit redaktioneller Verantwortung hilft für jene Alternative, Art. 50 Abs. 2 ist aber eine eigenständige Pflicht.</w:t>
      </w:r>
    </w:p>
    <w:bookmarkEnd w:id="134"/>
    <w:bookmarkStart w:id="135" w:name="der-übrige-eu-rahmen-in-kürze"/>
    <w:p>
      <w:pPr>
        <w:pStyle w:val="Heading3"/>
      </w:pPr>
      <w:r>
        <w:t xml:space="preserve">4.7 Der übrige EU-Rahmen in Kürze</w:t>
      </w:r>
    </w:p>
    <w:p>
      <w:pPr>
        <w:numPr>
          <w:ilvl w:val="0"/>
          <w:numId w:val="1036"/>
        </w:numPr>
        <w:pStyle w:val="Compact"/>
      </w:pPr>
      <w:r>
        <w:rPr>
          <w:bCs/>
          <w:b/>
        </w:rPr>
        <w:t xml:space="preserve">KI-Haftungsrichtlinie: zurückgezogen</w:t>
      </w:r>
      <w:r>
        <w:t xml:space="preserve"> </w:t>
      </w:r>
      <w:r>
        <w:t xml:space="preserve">(ABl. C/2025/5423 vom 6.10.2025). Es gibt kein harmonisiertes unionsrechtliches Verschuldenshaftungsregime für KI und keine widerlegliche Kausalitätsvermutung außerhalb der Produkthaftung. Verschuldensansprüche richten sich nach nationalem Recht — in Deutschland realistisch</w:t>
      </w:r>
      <w:r>
        <w:t xml:space="preserve"> </w:t>
      </w:r>
      <w:r>
        <w:rPr>
          <w:bCs/>
          <w:b/>
        </w:rPr>
        <w:t xml:space="preserve">Amtshaftung</w:t>
      </w:r>
      <w:r>
        <w:t xml:space="preserve"> </w:t>
      </w:r>
      <w:r>
        <w:t xml:space="preserve">gegen den Schulträger nach § 839 BGB i.V.m. Art. 34 GG mit Rückgriff auf den Anbieter. Der Vertrag sollte diese Struktur abbilden.</w:t>
      </w:r>
    </w:p>
    <w:p>
      <w:pPr>
        <w:numPr>
          <w:ilvl w:val="0"/>
          <w:numId w:val="1036"/>
        </w:numPr>
        <w:pStyle w:val="Compact"/>
      </w:pPr>
      <w:r>
        <w:rPr>
          <w:bCs/>
          <w:b/>
        </w:rPr>
        <w:t xml:space="preserve">Neue Produkthaftungsrichtlinie (EU) 2024/2853</w:t>
      </w:r>
      <w:r>
        <w:t xml:space="preserve"> </w:t>
      </w:r>
      <w:r>
        <w:t xml:space="preserve">— Umsetzung bis 9. Dezember 2026;</w:t>
      </w:r>
      <w:r>
        <w:t xml:space="preserve"> </w:t>
      </w:r>
      <w:r>
        <w:rPr>
          <w:bCs/>
          <w:b/>
        </w:rPr>
        <w:t xml:space="preserve">Software einschließlich KI ist ausdrücklich „Produkt”</w:t>
      </w:r>
      <w:r>
        <w:t xml:space="preserve">, es greift also verschuldensunabhängige Haftung des Anbieters als Hersteller, mit Offenlegungspflichten und einer Vermutung bei technischer Komplexität, die maschinelles Lernen ausdrücklich nennt.</w:t>
      </w:r>
      <w:r>
        <w:t xml:space="preserve"> </w:t>
      </w:r>
      <w:r>
        <w:rPr>
          <w:bCs/>
          <w:b/>
        </w:rPr>
        <w:t xml:space="preserve">Art. 6 Abs. 1 beschränkt den ersatzfähigen Schaden jedoch auf Tod oder Körperverletzung (einschließlich medizinisch anerkannter psychischer Schäden), Sachschaden und die Zerstörung oder Beschädigung nicht beruflich genutzter Daten.</w:t>
      </w:r>
      <w:r>
        <w:t xml:space="preserve"> </w:t>
      </w:r>
      <w:r>
        <w:t xml:space="preserve">Eine falsche Note ist reiner Vermögens- und Reputationsschaden und keines davon.</w:t>
      </w:r>
      <w:r>
        <w:t xml:space="preserve"> </w:t>
      </w:r>
      <w:r>
        <w:rPr>
          <w:bCs/>
          <w:b/>
        </w:rPr>
        <w:t xml:space="preserve">Der realistische Haftungsweg für eine falsche Note ist nationales Verwaltungs- und Vertragsrecht, nicht die Produkthaftung</w:t>
      </w:r>
      <w:r>
        <w:t xml:space="preserve"> </w:t>
      </w:r>
      <w:r>
        <w:t xml:space="preserve">— ein Punkt, der klar auszusprechen ist, weil er regelmäßig in beide Richtungen überzeichnet wird. Zwei Restrisiken: medizinisch anerkannte psychische Schäden nach einem katastrophalen Fehler und die Zerstörung eingescannter Schülerarbeiten, die ausdrücklich ersatzfähig ist.</w:t>
      </w:r>
    </w:p>
    <w:p>
      <w:pPr>
        <w:numPr>
          <w:ilvl w:val="0"/>
          <w:numId w:val="1036"/>
        </w:numPr>
        <w:pStyle w:val="Compact"/>
      </w:pPr>
      <w:r>
        <w:rPr>
          <w:bCs/>
          <w:b/>
        </w:rPr>
        <w:t xml:space="preserve">Data Act (EU) 2023/2854</w:t>
      </w:r>
      <w:r>
        <w:t xml:space="preserve">, anwendbar seit 12. September 2025 — Kapitel VI (Wechsel und Exit) gilt für einen SaaS-Anbieter. Eine konforme Exit- und Portabilitätsklausel ist günstig und nimmt einen Einkaufseinwand vorweg.</w:t>
      </w:r>
    </w:p>
    <w:p>
      <w:pPr>
        <w:numPr>
          <w:ilvl w:val="0"/>
          <w:numId w:val="1036"/>
        </w:numPr>
        <w:pStyle w:val="Compact"/>
      </w:pPr>
      <w:r>
        <w:rPr>
          <w:bCs/>
          <w:b/>
        </w:rPr>
        <w:t xml:space="preserve">Barrierefreiheit.</w:t>
      </w:r>
      <w:r>
        <w:t xml:space="preserve"> </w:t>
      </w:r>
      <w:r>
        <w:t xml:space="preserve">Der European Accessibility Act listet Bildungsdienste nicht auf und gilt für ein solches System als Dienst daher nicht. Die Webrichtlinie erfasst öffentliche Stellen, erlaubt aber in Art. 1 Abs. 5 den Mitgliedstaaten, Schulen auszunehmen, „mit Ausnahme von Inhalten, die wesentliche Online-Verwaltungsfunktionen betreffen” (ob die Notenübermittlung dazu zählt, ist offen).</w:t>
      </w:r>
      <w:r>
        <w:t xml:space="preserve"> </w:t>
      </w:r>
      <w:r>
        <w:rPr>
          <w:bCs/>
          <w:b/>
        </w:rPr>
        <w:t xml:space="preserve">Entscheidend ist Art. 16 Buchst. l KI-VO</w:t>
      </w:r>
      <w:r>
        <w:t xml:space="preserve">, der den Anbieter ab 2. Dezember 2027 unmittelbar verpflichtet, die Barrierefreiheitsanforderungen beider Richtlinien einzuhalten. Maßgeblicher technischer Maßstab ist</w:t>
      </w:r>
      <w:r>
        <w:t xml:space="preserve"> </w:t>
      </w:r>
      <w:r>
        <w:rPr>
          <w:bCs/>
          <w:b/>
        </w:rPr>
        <w:t xml:space="preserve">EN 301 549 / WCAG 2.1 AA</w:t>
      </w:r>
      <w:r>
        <w:t xml:space="preserve">. Und inhaltlich: Ein Modell, das die Handschrift eines Schülers mit Dysgraphie systematisch schlechter liest, ist zugleich ein Barrierefreiheitsmangel, ein Bias-Problem nach Art. 10 Abs. 2 Buchst. f–g KI-VO und ein Verstoß gegen die Fairness nach Art. 5 Abs. 1 Buchst. a DSGVO.</w:t>
      </w:r>
    </w:p>
    <w:p>
      <w:pPr>
        <w:numPr>
          <w:ilvl w:val="0"/>
          <w:numId w:val="1036"/>
        </w:numPr>
        <w:pStyle w:val="Compact"/>
      </w:pPr>
      <w:r>
        <w:rPr>
          <w:bCs/>
          <w:b/>
        </w:rPr>
        <w:t xml:space="preserve">NIS2</w:t>
      </w:r>
      <w:r>
        <w:t xml:space="preserve"> </w:t>
      </w:r>
      <w:r>
        <w:t xml:space="preserve">nennt Bildung nicht als Sektor und erfasst einen solchen Anbieter voraussichtlich nicht unmittelbar; NIS2-regulierte Kunden werden Lieferkettenanforderungen dennoch vertraglich weiterreichen.</w:t>
      </w:r>
      <w:r>
        <w:t xml:space="preserve"> </w:t>
      </w:r>
      <w:r>
        <w:rPr>
          <w:bCs/>
          <w:b/>
        </w:rPr>
        <w:t xml:space="preserve">DGA</w:t>
      </w:r>
      <w:r>
        <w:t xml:space="preserve"> </w:t>
      </w:r>
      <w:r>
        <w:t xml:space="preserve">wird nur relevant, wenn ein Forschungskorpus aus öffentlichen Schuldaten aufgebaut wird.</w:t>
      </w:r>
      <w:r>
        <w:t xml:space="preserve"> </w:t>
      </w:r>
      <w:r>
        <w:rPr>
          <w:bCs/>
          <w:b/>
        </w:rPr>
        <w:t xml:space="preserve">eIDAS</w:t>
      </w:r>
      <w:r>
        <w:t xml:space="preserve"> </w:t>
      </w:r>
      <w:r>
        <w:t xml:space="preserve">begründet hier keine Pflicht: Eine qualifizierte elektronische Signatur unter der Prüferfreigabe wäre gleichwohl ein starker Beleg für eine höchstpersönliche, nicht delegierbare menschliche Entscheidung.</w:t>
      </w:r>
    </w:p>
    <w:bookmarkEnd w:id="135"/>
    <w:bookmarkEnd w:id="136"/>
    <w:bookmarkStart w:id="149" w:name="X369e03a99b2beaca33c92e05209048be2d0ccf5"/>
    <w:p>
      <w:pPr>
        <w:pStyle w:val="Heading2"/>
      </w:pPr>
      <w:r>
        <w:t xml:space="preserve">5. Frage 3 — Welche Regelungen bestehen unterhalb der EU-Ebene in Deutschland?</w:t>
      </w:r>
    </w:p>
    <w:p>
      <w:pPr>
        <w:pStyle w:val="FirstParagraph"/>
      </w:pPr>
      <w:r>
        <w:t xml:space="preserve">Diese Ebene umfasst das Schul- und Prüfungsrecht der Länder, die Schuldatenschutzverordnungen und die darauf aufsetzenden Handreichungen der Ministerien. Sie ist die härteste Beschränkung für KI-gestützte Prüfungsbewertung im deutschen Markt — und sie ist vorrangig keine Datenschutz-, sondern eine</w:t>
      </w:r>
      <w:r>
        <w:t xml:space="preserve"> </w:t>
      </w:r>
      <w:r>
        <w:rPr>
          <w:bCs/>
          <w:b/>
        </w:rPr>
        <w:t xml:space="preserve">prüfungsrechtliche</w:t>
      </w:r>
      <w:r>
        <w:t xml:space="preserve"> </w:t>
      </w:r>
      <w:r>
        <w:t xml:space="preserve">Ebene.</w:t>
      </w:r>
    </w:p>
    <w:bookmarkStart w:id="137" w:name="X8f2cd027cc3a35e755b250fc53e0fc3706e2a8a"/>
    <w:p>
      <w:pPr>
        <w:pStyle w:val="Heading3"/>
      </w:pPr>
      <w:r>
        <w:t xml:space="preserve">5.1 Die Leistungsbewertung ist hoheitliches Handeln</w:t>
      </w:r>
    </w:p>
    <w:p>
      <w:pPr>
        <w:pStyle w:val="FirstParagraph"/>
      </w:pPr>
      <w:r>
        <w:t xml:space="preserve">Die Bildungsministerkonferenz sagt es in einem Satz:</w:t>
      </w:r>
    </w:p>
    <w:p>
      <w:pPr>
        <w:pStyle w:val="BlockText"/>
      </w:pPr>
      <w:r>
        <w:rPr>
          <w:iCs/>
          <w:i/>
        </w:rPr>
        <w:t xml:space="preserve">„Leistungsbewertung ist und bleibt eine pädagogische und hoheitliche Aufgabe, die als Verwaltungsakt im schulischen Kontext ausschließlich von Lehrkräften erfüllt werden kann.”</w:t>
      </w:r>
      <w:r>
        <w:t xml:space="preserve"> </w:t>
      </w:r>
      <w:r>
        <w:t xml:space="preserve">— Handlungsempfehlung … zum Umgang mit Künstlicher Intelligenz in schulischen Bildungsprozessen, Beschluss der Bildungsministerkonferenz vom 10.10.2024, S. 6</w:t>
      </w:r>
    </w:p>
    <w:p>
      <w:pPr>
        <w:pStyle w:val="FirstParagraph"/>
      </w:pPr>
      <w:r>
        <w:t xml:space="preserve">Zu beachten ist die Präzision:</w:t>
      </w:r>
      <w:r>
        <w:t xml:space="preserve"> </w:t>
      </w:r>
      <w:r>
        <w:rPr>
          <w:iCs/>
          <w:i/>
        </w:rPr>
        <w:t xml:space="preserve">hoheitlich</w:t>
      </w:r>
      <w:r>
        <w:t xml:space="preserve"> </w:t>
      </w:r>
      <w:r>
        <w:t xml:space="preserve">+</w:t>
      </w:r>
      <w:r>
        <w:t xml:space="preserve"> </w:t>
      </w:r>
      <w:r>
        <w:rPr>
          <w:iCs/>
          <w:i/>
        </w:rPr>
        <w:t xml:space="preserve">Verwaltungsakt</w:t>
      </w:r>
      <w:r>
        <w:t xml:space="preserve"> </w:t>
      </w:r>
      <w:r>
        <w:t xml:space="preserve">+</w:t>
      </w:r>
      <w:r>
        <w:t xml:space="preserve"> </w:t>
      </w:r>
      <w:r>
        <w:rPr>
          <w:iCs/>
          <w:i/>
        </w:rPr>
        <w:t xml:space="preserve">ausschließlich von Lehrkräften</w:t>
      </w:r>
      <w:r>
        <w:t xml:space="preserve">. Das ist eine Aussage über verwaltungsrechtliche Zuständigkeit, nicht über Datenschutz.</w:t>
      </w:r>
    </w:p>
    <w:p>
      <w:pPr>
        <w:pStyle w:val="BodyText"/>
      </w:pPr>
      <w:r>
        <w:rPr>
          <w:bCs/>
          <w:b/>
        </w:rPr>
        <w:t xml:space="preserve">Der Satz ist genau zu zitieren, denn die naheliegende Überlesung ist falsch.</w:t>
      </w:r>
      <w:r>
        <w:t xml:space="preserve"> </w:t>
      </w:r>
      <w:r>
        <w:t xml:space="preserve">Die Beschreibung der KMK bedeutet nicht, dass jede einzelne Klassenarbeitsnote ein gesondert anfechtbarer Verwaltungsakt wäre. Das dem NRW-Landtag vorgelegte Gutachten (§5.12) unterscheidet Einzelnoten von Verwaltungsakten und hält</w:t>
      </w:r>
      <w:r>
        <w:t xml:space="preserve"> </w:t>
      </w:r>
      <w:r>
        <w:rPr>
          <w:bCs/>
          <w:b/>
        </w:rPr>
        <w:t xml:space="preserve">erhebliche Auswirkungen in beiden Fällen für möglich</w:t>
      </w:r>
      <w:r>
        <w:t xml:space="preserve"> </w:t>
      </w:r>
      <w:r>
        <w:t xml:space="preserve">— was sowohl haltbarer als auch für die hier maßgebliche Prüfung ausreichend ist: Die Schwelle des Art. 22 DSGVO knüpft an die erhebliche Auswirkung an, nicht an das Etikett „Verwaltungsakt”.</w:t>
      </w:r>
    </w:p>
    <w:p>
      <w:pPr>
        <w:pStyle w:val="BodyText"/>
      </w:pPr>
      <w:r>
        <w:rPr>
          <w:bCs/>
          <w:b/>
        </w:rPr>
        <w:t xml:space="preserve">In NRW liegt der gesetzliche Anknüpfungspunkt eine Ebene tiefer und ist namentlich zu zitieren.</w:t>
      </w:r>
      <w:r>
        <w:t xml:space="preserve"> </w:t>
      </w:r>
      <w:r>
        <w:t xml:space="preserve">§ 57 Abs. 1 SchulG NRW weist die Leistungsbewertung den Lehrkräften im Rahmen der geltenden Vorschriften zu, und §§ 5 Abs. 1 und 10 Abs. 1 der</w:t>
      </w:r>
      <w:r>
        <w:t xml:space="preserve"> </w:t>
      </w:r>
      <w:r>
        <w:rPr>
          <w:iCs/>
          <w:i/>
        </w:rPr>
        <w:t xml:space="preserve">Allgemeinen Dienstordnung für Lehrerinnen und Lehrer</w:t>
      </w:r>
      <w:r>
        <w:t xml:space="preserve"> </w:t>
      </w:r>
      <w:r>
        <w:t xml:space="preserve">(ADO) führen dieselbe Verantwortung ins Dienstrecht. Die Lesart des Gutachtens Kloppenburg ist die maßgebliche:</w:t>
      </w:r>
      <w:r>
        <w:t xml:space="preserve"> </w:t>
      </w:r>
      <w:r>
        <w:rPr>
          <w:bCs/>
          <w:b/>
        </w:rPr>
        <w:t xml:space="preserve">Eine vollständige Delegation ist unzulässig; Unterstützung ist möglich.</w:t>
      </w:r>
      <w:r>
        <w:t xml:space="preserve"> </w:t>
      </w:r>
      <w:r>
        <w:t xml:space="preserve">Dieser eine Satz markiert die äußere Grenze jedes KI-gestützten Bewertungssystems im deutschen Schulrecht.</w:t>
      </w:r>
      <w:r>
        <w:t xml:space="preserve"> </w:t>
      </w:r>
      <w:r>
        <w:rPr>
          <w:iCs/>
          <w:i/>
        </w:rPr>
        <w:t xml:space="preserve">(Paragraphen dem Gutachten entnommen; SchulG- und ADO-Text konnten für diese Prüfung nicht unmittelbar verifiziert werden — siehe §14.)</w:t>
      </w:r>
    </w:p>
    <w:p>
      <w:pPr>
        <w:pStyle w:val="BodyText"/>
      </w:pPr>
      <w:r>
        <w:t xml:space="preserve">Die verfassungsrechtlichen Anker sind Art. 12 Abs. 1 GG (Berufsfreiheit — berührt bei jeder Prüfung, die den Zugang zu einem Beruf eröffnet; BVerwG 10.04.2019 – 6 C 19.18); Art. 3 Abs. 1 i.V.m. Art. 12 Abs. 1 GG (Chancengleichheit — vergleichbare Prüfungen erfordern möglichst gleiche Prüfungsbedingungen und Bewertungsmaßstäbe; BVerfGE 84, 34); Art. 19 Abs. 4 GG (weshalb es das</w:t>
      </w:r>
      <w:r>
        <w:t xml:space="preserve"> </w:t>
      </w:r>
      <w:r>
        <w:rPr>
          <w:iCs/>
          <w:i/>
        </w:rPr>
        <w:t xml:space="preserve">Überdenkensverfahren</w:t>
      </w:r>
      <w:r>
        <w:t xml:space="preserve"> </w:t>
      </w:r>
      <w:r>
        <w:t xml:space="preserve">überhaupt gibt, als Ausgleich für die eingeschränkte gerichtliche Kontrolle); Art. 7 Abs. 1 GG (staatliche Schulaufsicht); und Art. 2 Abs. 1 i.V.m. Art. 1 Abs. 1 GG (informationelle Selbstbestimmung).</w:t>
      </w:r>
    </w:p>
    <w:bookmarkEnd w:id="137"/>
    <w:bookmarkStart w:id="138" w:name="Xdd7d8e1056e7f5005f3efd6200f61cb21713a6b"/>
    <w:p>
      <w:pPr>
        <w:pStyle w:val="Heading3"/>
      </w:pPr>
      <w:r>
        <w:t xml:space="preserve">5.2 Die Doktrin, die über die Frage entscheidet</w:t>
      </w:r>
    </w:p>
    <w:p>
      <w:pPr>
        <w:pStyle w:val="FirstParagraph"/>
      </w:pPr>
      <w:r>
        <w:t xml:space="preserve">Das deutsche Prüfungsrecht verlangt nicht bloß, dass</w:t>
      </w:r>
      <w:r>
        <w:t xml:space="preserve"> </w:t>
      </w:r>
      <w:r>
        <w:rPr>
          <w:iCs/>
          <w:i/>
        </w:rPr>
        <w:t xml:space="preserve">ein</w:t>
      </w:r>
      <w:r>
        <w:t xml:space="preserve"> </w:t>
      </w:r>
      <w:r>
        <w:t xml:space="preserve">Mensch zeichnet. Es verlangt, dass die Note Ergebnis des</w:t>
      </w:r>
      <w:r>
        <w:t xml:space="preserve"> </w:t>
      </w:r>
      <w:r>
        <w:rPr>
          <w:bCs/>
          <w:b/>
        </w:rPr>
        <w:t xml:space="preserve">eigenen, persönlich gebildeten Bezugssystems dieses Prüfers</w:t>
      </w:r>
      <w:r>
        <w:t xml:space="preserve"> </w:t>
      </w:r>
      <w:r>
        <w:t xml:space="preserve">ist:</w:t>
      </w:r>
    </w:p>
    <w:p>
      <w:pPr>
        <w:pStyle w:val="BlockText"/>
      </w:pPr>
      <w:r>
        <w:rPr>
          <w:iCs/>
          <w:i/>
        </w:rPr>
        <w:t xml:space="preserve">„Der jeweilige Prüfer nimmt die Bewertung anhand von Maßstäben vor, die er in Bezug auf die konkrete Prüfungsaufgabe autonom erstellt. Diese Maßstäbe beruhen auf einem Bezugssystem, das vor allem durch seine persönlichen Erfahrungen, Einschätzungen und Vorstellungen gebildet wird. Diese Maßstäbe muss der Prüfer aus Gründen der Chancengleichheit auf die Bewertung aller Bearbeitungen derselben Prüfungsaufgabe anwenden.”</w:t>
      </w:r>
      <w:r>
        <w:t xml:space="preserve"> </w:t>
      </w:r>
      <w:r>
        <w:t xml:space="preserve">— BVerwG, Beschl. v. 15.10.2018 – 6 B 148.18</w:t>
      </w:r>
    </w:p>
    <w:p>
      <w:pPr>
        <w:pStyle w:val="FirstParagraph"/>
      </w:pPr>
      <w:r>
        <w:t xml:space="preserve">Und zur Höchstpersönlichkeit:</w:t>
      </w:r>
    </w:p>
    <w:p>
      <w:pPr>
        <w:pStyle w:val="BlockText"/>
      </w:pPr>
      <w:r>
        <w:rPr>
          <w:iCs/>
          <w:i/>
        </w:rPr>
        <w:t xml:space="preserve">„…muss jeder die Leistung persönlich unmittelbar und vollständig zur Kenntnis nehmen und eine selbständige, eigenverantwortliche Bewertungsentscheidung treffen.”</w:t>
      </w:r>
      <w:r>
        <w:t xml:space="preserve"> </w:t>
      </w:r>
      <w:r>
        <w:t xml:space="preserve">— BVerwG, Beschl. v. 19.05.2016 – 6 B 1.16</w:t>
      </w:r>
    </w:p>
    <w:p>
      <w:pPr>
        <w:pStyle w:val="FirstParagraph"/>
      </w:pPr>
      <w:r>
        <w:rPr>
          <w:bCs/>
          <w:b/>
        </w:rPr>
        <w:t xml:space="preserve">Daraus folgen drei Vorgaben für die Gestaltung jedes KI-gestützten Bewertungssystems.</w:t>
      </w:r>
    </w:p>
    <w:p>
      <w:pPr>
        <w:numPr>
          <w:ilvl w:val="0"/>
          <w:numId w:val="1037"/>
        </w:numPr>
        <w:pStyle w:val="Compact"/>
      </w:pPr>
      <w:r>
        <w:rPr>
          <w:iCs/>
          <w:i/>
        </w:rPr>
        <w:t xml:space="preserve">„Persönlich unmittelbar und vollständig zur Kenntnis nehmen”</w:t>
      </w:r>
      <w:r>
        <w:t xml:space="preserve"> </w:t>
      </w:r>
      <w:r>
        <w:t xml:space="preserve">— der Prüfer muss die</w:t>
      </w:r>
      <w:r>
        <w:t xml:space="preserve"> </w:t>
      </w:r>
      <w:r>
        <w:rPr>
          <w:bCs/>
          <w:b/>
        </w:rPr>
        <w:t xml:space="preserve">ganze Arbeit</w:t>
      </w:r>
      <w:r>
        <w:t xml:space="preserve"> </w:t>
      </w:r>
      <w:r>
        <w:t xml:space="preserve">lesen, nicht eine Zusammenfassung. Eine Oberfläche, die nur extrahierte Aussagen zeigt oder die Übernahme einer Note erlaubt, ohne dass der vollständige Scan geöffnet wurde, ist mit dieser Anforderung unvereinbar.</w:t>
      </w:r>
      <w:r>
        <w:t xml:space="preserve"> </w:t>
      </w:r>
      <w:r>
        <w:rPr>
          <w:bCs/>
          <w:b/>
        </w:rPr>
        <w:t xml:space="preserve">Die Arbeit muss die Primärfläche sein, der Vorschlag die sekundäre.</w:t>
      </w:r>
    </w:p>
    <w:p>
      <w:pPr>
        <w:numPr>
          <w:ilvl w:val="0"/>
          <w:numId w:val="1037"/>
        </w:numPr>
        <w:pStyle w:val="Compact"/>
      </w:pPr>
      <w:r>
        <w:rPr>
          <w:iCs/>
          <w:i/>
        </w:rPr>
        <w:t xml:space="preserve">„Autonom erstellt … persönliche Erfahrungen”</w:t>
      </w:r>
      <w:r>
        <w:t xml:space="preserve"> </w:t>
      </w:r>
      <w:r>
        <w:t xml:space="preserve">— ein vom System erzeugtes Raster, das unverändert übernommen wird, ersetzt das Bezugssystem des Prüfers durch das des Systems. Die Anforderung lautet daher:</w:t>
      </w:r>
      <w:r>
        <w:t xml:space="preserve"> </w:t>
      </w:r>
      <w:r>
        <w:rPr>
          <w:bCs/>
          <w:b/>
        </w:rPr>
        <w:t xml:space="preserve">Das Raster wird vom Prüfer erstellt und vom Modell angewandt, nicht vom Modell geliefert.</w:t>
      </w:r>
    </w:p>
    <w:p>
      <w:pPr>
        <w:numPr>
          <w:ilvl w:val="0"/>
          <w:numId w:val="1037"/>
        </w:numPr>
        <w:pStyle w:val="Compact"/>
      </w:pPr>
      <w:r>
        <w:rPr>
          <w:bCs/>
          <w:b/>
        </w:rPr>
        <w:t xml:space="preserve">Konsistenz.</w:t>
      </w:r>
      <w:r>
        <w:t xml:space="preserve"> </w:t>
      </w:r>
      <w:r>
        <w:t xml:space="preserve">Dieselben Maßstäbe sind auf alle Bearbeitungen derselben Aufgabe anzuwenden, und diese Pflicht erstreckt sich auf die Nachkorrektur im Überdenkensverfahren.</w:t>
      </w:r>
      <w:r>
        <w:t xml:space="preserve"> </w:t>
      </w:r>
      <w:r>
        <w:rPr>
          <w:bCs/>
          <w:b/>
        </w:rPr>
        <w:t xml:space="preserve">Ein nichtdeterministisches Modell, das dieselbe Arbeit in zwei Durchläufen unterschiedlich bewertet oder über einen Stapel driftet, erzeugt einen aktuellen Chancengleichheitsmangel.</w:t>
      </w:r>
      <w:r>
        <w:t xml:space="preserve"> </w:t>
      </w:r>
      <w:r>
        <w:t xml:space="preserve">Das ist eine Engineering-Vorgabe (Temperatur, Seeding, Stapelkalibrierung, Regressionstests) und keine Policy-Frage — und die am meisten unterschätzte technische Anforderung in diesem Feld.</w:t>
      </w:r>
    </w:p>
    <w:bookmarkEnd w:id="138"/>
    <w:bookmarkStart w:id="139" w:name="X8361ce225a019e0de47a9715097ac948b939e08"/>
    <w:p>
      <w:pPr>
        <w:pStyle w:val="Heading3"/>
      </w:pPr>
      <w:r>
        <w:t xml:space="preserve">5.3 Das nächstliegende Präzedens: die offene Zweitbewertung</w:t>
      </w:r>
    </w:p>
    <w:p>
      <w:pPr>
        <w:pStyle w:val="FirstParagraph"/>
      </w:pPr>
      <w:r>
        <w:t xml:space="preserve">Das deutsche Recht hat bereits entschieden, ob ein Prüfer in Kenntnis einer fremden Vorbewertung urteilen darf. Die Antwort lautet ja:</w:t>
      </w:r>
    </w:p>
    <w:p>
      <w:pPr>
        <w:pStyle w:val="BlockText"/>
      </w:pPr>
      <w:r>
        <w:rPr>
          <w:iCs/>
          <w:i/>
        </w:rPr>
        <w:t xml:space="preserve">„Die offene Zweitbewertung, d. h. die Bewertung der Prüfungsleistung durch den Zweitprüfer in Kenntnis der Bewertung des Erstprüfers, ist mit dem prüfungsrechtlichen Gebot der Chancengleichheit … vereinbar. Es gibt keinen Verfassungsgrundsatz der Prüfungsanonymität.”</w:t>
      </w:r>
      <w:r>
        <w:t xml:space="preserve"> </w:t>
      </w:r>
      <w:r>
        <w:t xml:space="preserve">— BVerwG, Beschl. v. 19.05.2016 – 6 B 1.16</w:t>
      </w:r>
    </w:p>
    <w:p>
      <w:pPr>
        <w:pStyle w:val="FirstParagraph"/>
      </w:pPr>
      <w:r>
        <w:t xml:space="preserve">Das deutsche Prüfungsrecht behandelt die Verankerung durch eine Vorbewertung mithin</w:t>
      </w:r>
      <w:r>
        <w:t xml:space="preserve"> </w:t>
      </w:r>
      <w:r>
        <w:rPr>
          <w:bCs/>
          <w:b/>
        </w:rPr>
        <w:t xml:space="preserve">nicht</w:t>
      </w:r>
      <w:r>
        <w:t xml:space="preserve"> </w:t>
      </w:r>
      <w:r>
        <w:t xml:space="preserve">als Mangel an sich, sofern der Zweitbeurteiler die Arbeit selbständig und vollständig zur Kenntnis nimmt.</w:t>
      </w:r>
    </w:p>
    <w:p>
      <w:pPr>
        <w:pStyle w:val="BodyText"/>
      </w:pPr>
      <w:r>
        <w:rPr>
          <w:bCs/>
          <w:b/>
        </w:rPr>
        <w:t xml:space="preserve">Die Grenze des Präzedens ist ehrlich zu benennen.</w:t>
      </w:r>
      <w:r>
        <w:t xml:space="preserve"> </w:t>
      </w:r>
      <w:r>
        <w:t xml:space="preserve">Der Erstprüfer ist dort ein Mensch, an dieselben Pflichten gebunden, persönlich verantwortlich, zur Begründung und zur Teilnahme am Überdenkensverfahren fähig. Ein Sprachmodell ist nichts davon. Die Analogie trägt „eine Vorbewertung vergiftet das Urteil nicht per se”; sie trägt nicht „der Vorschlag darf von irgendwoher kommen”. Die Unterscheidung, auf der die assistive Konstellation beruht, lautet: Das Modell hält kein Bezugssystem, der Prüfer tut es, und das Modell wendet das Raster des Prüfers an.</w:t>
      </w:r>
    </w:p>
    <w:bookmarkEnd w:id="139"/>
    <w:bookmarkStart w:id="140" w:name="X789fd83a482ffa9754615c5288b3f9bc7c8ff2e"/>
    <w:p>
      <w:pPr>
        <w:pStyle w:val="Heading3"/>
      </w:pPr>
      <w:r>
        <w:t xml:space="preserve">5.4 § 35a VwVfG schließt die vollständig automatisierte Note aus</w:t>
      </w:r>
    </w:p>
    <w:p>
      <w:pPr>
        <w:pStyle w:val="BlockText"/>
      </w:pPr>
      <w:r>
        <w:rPr>
          <w:iCs/>
          <w:i/>
        </w:rPr>
        <w:t xml:space="preserve">„Ein Verwaltungsakt kann vollständig durch automatische Einrichtungen erlassen werden, sofern dies durch Rechtsvorschrift zugelassen ist und</w:t>
      </w:r>
      <w:r>
        <w:rPr>
          <w:iCs/>
          <w:i/>
        </w:rPr>
        <w:t xml:space="preserve"> </w:t>
      </w:r>
      <w:r>
        <w:rPr>
          <w:bCs/>
          <w:b/>
          <w:iCs/>
          <w:i/>
        </w:rPr>
        <w:t xml:space="preserve">weder ein Ermessen noch ein Beurteilungsspielraum besteht</w:t>
      </w:r>
      <w:r>
        <w:rPr>
          <w:iCs/>
          <w:i/>
        </w:rPr>
        <w:t xml:space="preserve">.”</w:t>
      </w:r>
    </w:p>
    <w:p>
      <w:pPr>
        <w:pStyle w:val="FirstParagraph"/>
      </w:pPr>
      <w:r>
        <w:t xml:space="preserve">Die Leistungsbewertung ist der Musterfall des Beurteilungsspielraums. Die DSK zieht die Folgerung ausdrücklich:</w:t>
      </w:r>
      <w:r>
        <w:t xml:space="preserve"> </w:t>
      </w:r>
      <w:r>
        <w:rPr>
          <w:iCs/>
          <w:i/>
        </w:rPr>
        <w:t xml:space="preserve">„Sofern die öffentliche Stelle über einen Beurteilungsspielraum verfügt oder Ermessen ausübt, scheidet der vollständig automatisierte Erlass aus.”</w:t>
      </w:r>
    </w:p>
    <w:p>
      <w:pPr>
        <w:pStyle w:val="BodyText"/>
      </w:pPr>
      <w:r>
        <w:t xml:space="preserve">Die vollständig automatisierte Benotung ist damit durch § 35a VwVfG ausgeschlossen und lässt sich auch landesrechtlich nicht zulassen, weil die Norm die Automation nur dort eröffnet, wo überhaupt kein Beurteilungsspielraum besteht. Der einzige Raum, der für ein KI-gestütztes Bewertungssystem offensteht, ist die Entscheidungsunterstützung. Ein automatisierter Notenpfad ist unzulässig, auch als Opt-in.</w:t>
      </w:r>
    </w:p>
    <w:bookmarkEnd w:id="140"/>
    <w:bookmarkStart w:id="141" w:name="X0f4a7746165df6bae541b4fa6f4444d8adb3b07"/>
    <w:p>
      <w:pPr>
        <w:pStyle w:val="Heading3"/>
      </w:pPr>
      <w:r>
        <w:t xml:space="preserve">5.5 Die Schuldatenschutzverordnungen der Länder</w:t>
      </w:r>
    </w:p>
    <w:p>
      <w:pPr>
        <w:pStyle w:val="FirstParagraph"/>
      </w:pPr>
      <w:r>
        <w:t xml:space="preserve">Schulen sind Landesstellen; anwendbar sind daher das</w:t>
      </w:r>
      <w:r>
        <w:t xml:space="preserve"> </w:t>
      </w:r>
      <w:r>
        <w:rPr>
          <w:bCs/>
          <w:b/>
        </w:rPr>
        <w:t xml:space="preserve">Landesdatenschutzgesetz</w:t>
      </w:r>
      <w:r>
        <w:t xml:space="preserve">, die Datenklausel des Schulgesetzes und die zugehörige Verordnung — nicht das BDSG. (Zwei Normen werden in diesem Zusammenhang häufig falsch zitiert: § 37 BDSG betrifft Versicherungsentscheidungen und ist hier irrelevant; die allgemeine Norm zur automatisierten Entscheidung öffentlicher Stellen des Bundes ist § 54 BDSG.)</w:t>
      </w:r>
    </w:p>
    <w:p>
      <w:pPr>
        <w:pStyle w:val="BodyText"/>
      </w:pPr>
      <w:r>
        <w:t xml:space="preserve">Verifizierter Stand: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Land</w:t>
            </w:r>
          </w:p>
        </w:tc>
        <w:tc>
          <w:tcPr/>
          <w:p>
            <w:pPr>
              <w:pStyle w:val="Compact"/>
              <w:jc w:val="left"/>
            </w:pPr>
            <w:r>
              <w:t xml:space="preserve">Klausel im Schulgesetz</w:t>
            </w:r>
          </w:p>
        </w:tc>
        <w:tc>
          <w:tcPr/>
          <w:p>
            <w:pPr>
              <w:pStyle w:val="Compact"/>
              <w:jc w:val="left"/>
            </w:pPr>
            <w:r>
              <w:t xml:space="preserve">Verordnung / Instrument</w:t>
            </w:r>
          </w:p>
        </w:tc>
        <w:tc>
          <w:tcPr/>
          <w:p>
            <w:pPr>
              <w:pStyle w:val="Compact"/>
              <w:jc w:val="left"/>
            </w:pPr>
            <w:r>
              <w:t xml:space="preserve">Verifikation</w:t>
            </w:r>
          </w:p>
        </w:tc>
      </w:tr>
      <w:tr>
        <w:tc>
          <w:tcPr/>
          <w:p>
            <w:pPr>
              <w:pStyle w:val="Compact"/>
              <w:jc w:val="left"/>
            </w:pPr>
            <w:r>
              <w:rPr>
                <w:bCs/>
                <w:b/>
              </w:rPr>
              <w:t xml:space="preserve">NRW</w:t>
            </w:r>
          </w:p>
        </w:tc>
        <w:tc>
          <w:tcPr/>
          <w:p>
            <w:pPr>
              <w:pStyle w:val="Compact"/>
              <w:jc w:val="left"/>
            </w:pPr>
            <w:r>
              <w:t xml:space="preserve">§§ 120, 121 SchulG NRW; Verordnungsermächtigung § 122 Abs. 4;</w:t>
            </w:r>
            <w:r>
              <w:t xml:space="preserve"> </w:t>
            </w:r>
            <w:r>
              <w:rPr>
                <w:bCs/>
                <w:b/>
              </w:rPr>
              <w:t xml:space="preserve">§ 57 Abs. 1 SchulG NRW</w:t>
            </w:r>
            <w:r>
              <w:t xml:space="preserve"> </w:t>
            </w:r>
            <w:r>
              <w:t xml:space="preserve">(Bewertung ist Sache der Lehrkraft) i.V.m.</w:t>
            </w:r>
            <w:r>
              <w:t xml:space="preserve"> </w:t>
            </w:r>
            <w:r>
              <w:rPr>
                <w:bCs/>
                <w:b/>
              </w:rPr>
              <w:t xml:space="preserve">§§ 5 Abs. 1, 10 Abs. 1 ADO</w:t>
            </w:r>
            <w:r>
              <w:t xml:space="preserve">;</w:t>
            </w:r>
            <w:r>
              <w:t xml:space="preserve"> </w:t>
            </w:r>
            <w:r>
              <w:rPr>
                <w:bCs/>
                <w:b/>
              </w:rPr>
              <w:t xml:space="preserve">§§ 92–94 SchulG</w:t>
            </w:r>
            <w:r>
              <w:t xml:space="preserve"> </w:t>
            </w:r>
            <w:r>
              <w:t xml:space="preserve">(Schulfinanzierung, relevant für die Frage, wer einen Anbieter bezahlen darf)</w:t>
            </w:r>
          </w:p>
        </w:tc>
        <w:tc>
          <w:tcPr/>
          <w:p>
            <w:pPr>
              <w:pStyle w:val="Compact"/>
              <w:jc w:val="left"/>
            </w:pPr>
            <w:r>
              <w:rPr>
                <w:bCs/>
                <w:b/>
              </w:rPr>
              <w:t xml:space="preserve">VO-DV I</w:t>
            </w:r>
            <w:r>
              <w:t xml:space="preserve"> </w:t>
            </w:r>
            <w:r>
              <w:t xml:space="preserve">(Schüler/Eltern), i.d.F. v. 23.03.2022;</w:t>
            </w:r>
            <w:r>
              <w:t xml:space="preserve"> </w:t>
            </w:r>
            <w:r>
              <w:rPr>
                <w:bCs/>
                <w:b/>
              </w:rPr>
              <w:t xml:space="preserve">VO-DV II</w:t>
            </w:r>
            <w:r>
              <w:t xml:space="preserve"> </w:t>
            </w:r>
            <w:r>
              <w:t xml:space="preserve">(Lehrkräfte)</w:t>
            </w:r>
          </w:p>
        </w:tc>
        <w:tc>
          <w:tcPr/>
          <w:p>
            <w:pPr>
              <w:pStyle w:val="Compact"/>
              <w:jc w:val="left"/>
            </w:pPr>
            <w:r>
              <w:t xml:space="preserve">VO-DV wörtlich verifiziert; § 57 Abs. 1, ADO und §§ 92–94 dem Gutachten Kloppenburg entnommen, nicht unmittelbar gelesen</w:t>
            </w:r>
          </w:p>
        </w:tc>
      </w:tr>
      <w:tr>
        <w:tc>
          <w:tcPr/>
          <w:p>
            <w:pPr>
              <w:pStyle w:val="Compact"/>
              <w:jc w:val="left"/>
            </w:pPr>
            <w:r>
              <w:rPr>
                <w:bCs/>
                <w:b/>
              </w:rPr>
              <w:t xml:space="preserve">Bayern</w:t>
            </w:r>
          </w:p>
        </w:tc>
        <w:tc>
          <w:tcPr/>
          <w:p>
            <w:pPr>
              <w:pStyle w:val="Compact"/>
              <w:jc w:val="left"/>
            </w:pPr>
            <w:r>
              <w:t xml:space="preserve">Art. 85, Art. 85a BayEUG</w:t>
            </w:r>
          </w:p>
        </w:tc>
        <w:tc>
          <w:tcPr/>
          <w:p>
            <w:pPr>
              <w:pStyle w:val="Compact"/>
              <w:jc w:val="left"/>
            </w:pPr>
            <w:r>
              <w:rPr>
                <w:bCs/>
                <w:b/>
              </w:rPr>
              <w:t xml:space="preserve">VollzBek DS – Schulen</w:t>
            </w:r>
            <w:r>
              <w:t xml:space="preserve">, BayMBl. 2022 Nr. 435 —</w:t>
            </w:r>
            <w:r>
              <w:t xml:space="preserve"> </w:t>
            </w:r>
            <w:r>
              <w:rPr>
                <w:iCs/>
                <w:i/>
              </w:rPr>
              <w:t xml:space="preserve">nicht</w:t>
            </w:r>
            <w:r>
              <w:t xml:space="preserve"> </w:t>
            </w:r>
            <w:r>
              <w:t xml:space="preserve">die BaySchO</w:t>
            </w:r>
          </w:p>
        </w:tc>
        <w:tc>
          <w:tcPr/>
          <w:p>
            <w:pPr>
              <w:pStyle w:val="Compact"/>
              <w:jc w:val="left"/>
            </w:pPr>
            <w:r>
              <w:t xml:space="preserve">verifiziert</w:t>
            </w:r>
          </w:p>
        </w:tc>
      </w:tr>
      <w:tr>
        <w:tc>
          <w:tcPr/>
          <w:p>
            <w:pPr>
              <w:pStyle w:val="Compact"/>
              <w:jc w:val="left"/>
            </w:pPr>
            <w:r>
              <w:rPr>
                <w:bCs/>
                <w:b/>
              </w:rPr>
              <w:t xml:space="preserve">Baden-Württemberg</w:t>
            </w:r>
          </w:p>
        </w:tc>
        <w:tc>
          <w:tcPr/>
          <w:p>
            <w:pPr>
              <w:pStyle w:val="Compact"/>
              <w:jc w:val="left"/>
            </w:pPr>
            <w:r>
              <w:t xml:space="preserve">§ 115b SchG (so das Ministerium), insbesondere</w:t>
            </w:r>
            <w:r>
              <w:t xml:space="preserve"> </w:t>
            </w:r>
            <w:r>
              <w:rPr>
                <w:bCs/>
                <w:b/>
              </w:rPr>
              <w:t xml:space="preserve">§ 115b Abs. 9</w:t>
            </w:r>
          </w:p>
        </w:tc>
        <w:tc>
          <w:tcPr/>
          <w:p>
            <w:pPr>
              <w:pStyle w:val="Compact"/>
              <w:jc w:val="left"/>
            </w:pPr>
            <w:r>
              <w:rPr>
                <w:bCs/>
                <w:b/>
              </w:rPr>
              <w:t xml:space="preserve">DUVO</w:t>
            </w:r>
            <w:r>
              <w:t xml:space="preserve">, § 6</w:t>
            </w:r>
          </w:p>
        </w:tc>
        <w:tc>
          <w:tcPr/>
          <w:p>
            <w:pPr>
              <w:pStyle w:val="Compact"/>
              <w:jc w:val="left"/>
            </w:pPr>
            <w:r>
              <w:t xml:space="preserve">teilweise verifiziert — Zitat des Ministeriums, Texte nicht gelesen</w:t>
            </w:r>
          </w:p>
        </w:tc>
      </w:tr>
      <w:tr>
        <w:tc>
          <w:tcPr/>
          <w:p>
            <w:pPr>
              <w:pStyle w:val="Compact"/>
              <w:jc w:val="left"/>
            </w:pPr>
            <w:r>
              <w:rPr>
                <w:bCs/>
                <w:b/>
              </w:rPr>
              <w:t xml:space="preserve">Niedersachsen</w:t>
            </w:r>
          </w:p>
        </w:tc>
        <w:tc>
          <w:tcPr/>
          <w:p>
            <w:pPr>
              <w:pStyle w:val="Compact"/>
              <w:jc w:val="left"/>
            </w:pPr>
            <w:r>
              <w:rPr>
                <w:bCs/>
                <w:b/>
              </w:rPr>
              <w:t xml:space="preserve">§ 31 NSchG</w:t>
            </w:r>
            <w:r>
              <w:t xml:space="preserve">, einschl. Abs. 5</w:t>
            </w:r>
          </w:p>
        </w:tc>
        <w:tc>
          <w:tcPr/>
          <w:p>
            <w:pPr>
              <w:pStyle w:val="Compact"/>
              <w:jc w:val="left"/>
            </w:pPr>
            <w:r>
              <w:t xml:space="preserve">keine eigene Verordnung gefunden</w:t>
            </w:r>
          </w:p>
        </w:tc>
        <w:tc>
          <w:tcPr/>
          <w:p>
            <w:pPr>
              <w:pStyle w:val="Compact"/>
              <w:jc w:val="left"/>
            </w:pPr>
            <w:r>
              <w:t xml:space="preserve">wörtlich verifiziert</w:t>
            </w:r>
          </w:p>
        </w:tc>
      </w:tr>
      <w:tr>
        <w:tc>
          <w:tcPr/>
          <w:p>
            <w:pPr>
              <w:pStyle w:val="Compact"/>
              <w:jc w:val="left"/>
            </w:pPr>
            <w:r>
              <w:rPr>
                <w:bCs/>
                <w:b/>
              </w:rPr>
              <w:t xml:space="preserve">Hessen</w:t>
            </w:r>
          </w:p>
        </w:tc>
        <w:tc>
          <w:tcPr/>
          <w:p>
            <w:pPr>
              <w:pStyle w:val="Compact"/>
              <w:jc w:val="left"/>
            </w:pPr>
            <w:r>
              <w:t xml:space="preserve">§§ 83, 83a, 83b HSchG</w:t>
            </w:r>
          </w:p>
        </w:tc>
        <w:tc>
          <w:tcPr/>
          <w:p>
            <w:pPr>
              <w:pStyle w:val="Compact"/>
              <w:jc w:val="left"/>
            </w:pPr>
            <w:r>
              <w:rPr>
                <w:bCs/>
                <w:b/>
              </w:rPr>
              <w:t xml:space="preserve">SchulDSVO</w:t>
            </w:r>
            <w:r>
              <w:t xml:space="preserve"> </w:t>
            </w:r>
            <w:r>
              <w:t xml:space="preserve">(Volltitel einschließlich</w:t>
            </w:r>
            <w:r>
              <w:t xml:space="preserve"> </w:t>
            </w:r>
            <w:r>
              <w:rPr>
                <w:iCs/>
                <w:i/>
              </w:rPr>
              <w:t xml:space="preserve">„und statistische Erhebungen an Schulen”</w:t>
            </w:r>
            <w:r>
              <w:t xml:space="preserve">)</w:t>
            </w:r>
          </w:p>
        </w:tc>
        <w:tc>
          <w:tcPr/>
          <w:p>
            <w:pPr>
              <w:pStyle w:val="Compact"/>
              <w:jc w:val="left"/>
            </w:pPr>
            <w:r>
              <w:t xml:space="preserve">Name und Paragraphen mittelbar bestätigt</w:t>
            </w:r>
          </w:p>
        </w:tc>
      </w:tr>
      <w:tr>
        <w:tc>
          <w:tcPr/>
          <w:p>
            <w:pPr>
              <w:pStyle w:val="Compact"/>
              <w:jc w:val="left"/>
            </w:pPr>
            <w:r>
              <w:t xml:space="preserve">Berlin, RLP, Sachsen, Saarland, SH, HH, HB, BB, MV, ST, TH</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konnte für diese Prüfung nicht verifiziert werden — Paragraphen dieser zehn Länder nicht aus diesem Papier zitieren</w:t>
            </w:r>
          </w:p>
        </w:tc>
      </w:tr>
    </w:tbl>
    <w:p>
      <w:pPr>
        <w:pStyle w:val="BodyText"/>
      </w:pPr>
      <w:r>
        <w:rPr>
          <w:bCs/>
          <w:b/>
        </w:rPr>
        <w:t xml:space="preserve">Was die Verordnungen tatsächlich verlangen</w:t>
      </w:r>
      <w:r>
        <w:t xml:space="preserve">, anhand des verifizierten NRW-Texts:</w:t>
      </w:r>
    </w:p>
    <w:p>
      <w:pPr>
        <w:numPr>
          <w:ilvl w:val="0"/>
          <w:numId w:val="1038"/>
        </w:numPr>
        <w:pStyle w:val="Compact"/>
      </w:pPr>
      <w:r>
        <w:t xml:space="preserve">Ein</w:t>
      </w:r>
      <w:r>
        <w:t xml:space="preserve"> </w:t>
      </w:r>
      <w:r>
        <w:rPr>
          <w:bCs/>
          <w:b/>
        </w:rPr>
        <w:t xml:space="preserve">abschließender Katalog</w:t>
      </w:r>
      <w:r>
        <w:t xml:space="preserve"> </w:t>
      </w:r>
      <w:r>
        <w:t xml:space="preserve">zulässiger Daten (VO-DV I § 1 Abs. 2:</w:t>
      </w:r>
      <w:r>
        <w:t xml:space="preserve"> </w:t>
      </w:r>
      <w:r>
        <w:rPr>
          <w:iCs/>
          <w:i/>
        </w:rPr>
        <w:t xml:space="preserve">„Die zur Verarbeitung zugelassenen Daten sind in den Anlagen genannt.”</w:t>
      </w:r>
      <w:r>
        <w:t xml:space="preserve">).</w:t>
      </w:r>
    </w:p>
    <w:p>
      <w:pPr>
        <w:numPr>
          <w:ilvl w:val="0"/>
          <w:numId w:val="1038"/>
        </w:numPr>
        <w:pStyle w:val="Compact"/>
      </w:pPr>
      <w:r>
        <w:t xml:space="preserve">Eine</w:t>
      </w:r>
      <w:r>
        <w:t xml:space="preserve"> </w:t>
      </w:r>
      <w:r>
        <w:rPr>
          <w:bCs/>
          <w:b/>
        </w:rPr>
        <w:t xml:space="preserve">schriftliche Genehmigung der Schulleitung für die Verarbeitung auf privaten Geräten</w:t>
      </w:r>
      <w:r>
        <w:t xml:space="preserve">, einschließlich Verzeichnis der Verarbeitungstätigkeiten — und, entscheidend,</w:t>
      </w:r>
      <w:r>
        <w:t xml:space="preserve"> </w:t>
      </w:r>
      <w:r>
        <w:rPr>
          <w:iCs/>
          <w:i/>
        </w:rPr>
        <w:t xml:space="preserve">„ist die Schule Verantwortlicher im Sinne des Artikels 4 Nummer 7 der Datenschutz-Grundverordnung”</w:t>
      </w:r>
      <w:r>
        <w:t xml:space="preserve"> </w:t>
      </w:r>
      <w:r>
        <w:t xml:space="preserve">auch für diese Verarbeitung. Die Genehmigung darf bei ausgegebenem Dienstgerät nicht erteilt werden und erlischt mit dessen Ausgabe.</w:t>
      </w:r>
    </w:p>
    <w:p>
      <w:pPr>
        <w:numPr>
          <w:ilvl w:val="0"/>
          <w:numId w:val="1038"/>
        </w:numPr>
        <w:pStyle w:val="Compact"/>
      </w:pPr>
      <w:r>
        <w:rPr>
          <w:bCs/>
          <w:b/>
        </w:rPr>
        <w:t xml:space="preserve">Auftragsverarbeitung</w:t>
      </w:r>
      <w:r>
        <w:t xml:space="preserve"> </w:t>
      </w:r>
      <w:r>
        <w:t xml:space="preserve">nur unter Beachtung des Art. 28 und nur nach Weisung der Schule oder der Schulaufsichtsbehörden.</w:t>
      </w:r>
    </w:p>
    <w:p>
      <w:pPr>
        <w:pStyle w:val="FirstParagraph"/>
      </w:pPr>
      <w:r>
        <w:rPr>
          <w:bCs/>
          <w:b/>
        </w:rPr>
        <w:t xml:space="preserve">Ein Detail, das eine gezielte Anfrage verdient.</w:t>
      </w:r>
      <w:r>
        <w:t xml:space="preserve"> </w:t>
      </w:r>
      <w:r>
        <w:t xml:space="preserve">Anlage 3 Nr. 10 VO-DV I erlaubt der Lehrkraft auf dem Privatgerät</w:t>
      </w:r>
      <w:r>
        <w:t xml:space="preserve"> </w:t>
      </w:r>
      <w:r>
        <w:rPr>
          <w:iCs/>
          <w:i/>
        </w:rPr>
        <w:t xml:space="preserve">„Leistungsbewertungen … einschließlich digital von diesen erstellter Leistungsnachweise”</w:t>
      </w:r>
      <w:r>
        <w:t xml:space="preserve">. Eine</w:t>
      </w:r>
      <w:r>
        <w:t xml:space="preserve"> </w:t>
      </w:r>
      <w:r>
        <w:rPr>
          <w:bCs/>
          <w:b/>
        </w:rPr>
        <w:t xml:space="preserve">eingescannte handschriftliche Arbeit ist kein</w:t>
      </w:r>
      <w:r>
        <w:rPr>
          <w:bCs/>
          <w:b/>
        </w:rPr>
        <w:t xml:space="preserve"> </w:t>
      </w:r>
      <w:r>
        <w:rPr>
          <w:iCs/>
          <w:i/>
          <w:bCs/>
          <w:b/>
        </w:rPr>
        <w:t xml:space="preserve">digital erstellter</w:t>
      </w:r>
      <w:r>
        <w:rPr>
          <w:bCs/>
          <w:b/>
        </w:rPr>
        <w:t xml:space="preserve"> </w:t>
      </w:r>
      <w:r>
        <w:rPr>
          <w:bCs/>
          <w:b/>
        </w:rPr>
        <w:t xml:space="preserve">Leistungsnachweis</w:t>
      </w:r>
      <w:r>
        <w:t xml:space="preserve"> </w:t>
      </w:r>
      <w:r>
        <w:t xml:space="preserve">— sie ist das Abbild eines Papierdokuments. Es ist ernsthaft vertretbar, dass der abschließende Katalog den Kerninput eines KI-gestützten Bewertungssystems auf dem Privatgerät gar nicht erfasst. Der Punkt sollte vor jedem Einsatz in NRW schriftlich beim MSB NRW / der LDI NRW geklärt werden, und er spricht für Dienstgeräte- oder On-Premise-Verarbeitung gegenüber einem BYOD-Modell.</w:t>
      </w:r>
    </w:p>
    <w:bookmarkEnd w:id="141"/>
    <w:bookmarkStart w:id="142" w:name="X3fd449f80970ef1f1c67cacd227c275ee80ca24"/>
    <w:p>
      <w:pPr>
        <w:pStyle w:val="Heading3"/>
      </w:pPr>
      <w:r>
        <w:t xml:space="preserve">5.6 Aufsichtsbehörden — und das ungünstigste Dokument der Akte</w:t>
      </w:r>
    </w:p>
    <w:p>
      <w:pPr>
        <w:pStyle w:val="FirstParagraph"/>
      </w:pPr>
      <w:r>
        <w:rPr>
          <w:bCs/>
          <w:b/>
        </w:rPr>
        <w:t xml:space="preserve">Veröffentlicht und verifiziert:</w:t>
      </w:r>
    </w:p>
    <w:p>
      <w:pPr>
        <w:numPr>
          <w:ilvl w:val="0"/>
          <w:numId w:val="1039"/>
        </w:numPr>
        <w:pStyle w:val="Compact"/>
      </w:pPr>
      <w:r>
        <w:rPr>
          <w:bCs/>
          <w:b/>
        </w:rPr>
        <w:t xml:space="preserve">DSK</w:t>
      </w:r>
      <w:r>
        <w:t xml:space="preserve">,</w:t>
      </w:r>
      <w:r>
        <w:t xml:space="preserve"> </w:t>
      </w:r>
      <w:r>
        <w:rPr>
          <w:iCs/>
          <w:i/>
        </w:rPr>
        <w:t xml:space="preserve">Orientierungshilfe Künstliche Intelligenz und Datenschutz</w:t>
      </w:r>
      <w:r>
        <w:t xml:space="preserve">, V 1.0, 06.05.2024 — eine V 2.0 existiert nicht. Der tragende Satz:</w:t>
      </w:r>
      <w:r>
        <w:t xml:space="preserve"> </w:t>
      </w:r>
      <w:r>
        <w:rPr>
          <w:iCs/>
          <w:i/>
        </w:rPr>
        <w:t xml:space="preserve">„muss das Verfahren so gestaltet werden, dass dem entscheidenden Menschen ein tatsächlicher Entscheidungsspielraum zukommt und nicht maßgeblich aufgrund des KI-Vorschlags entschieden wird. … Eine lediglich formelle Beteiligung eines Menschen im Entscheidungsprozess ist nicht ausreichend.”</w:t>
      </w:r>
    </w:p>
    <w:p>
      <w:pPr>
        <w:numPr>
          <w:ilvl w:val="0"/>
          <w:numId w:val="1039"/>
        </w:numPr>
        <w:pStyle w:val="Compact"/>
      </w:pPr>
      <w:r>
        <w:rPr>
          <w:bCs/>
          <w:b/>
        </w:rPr>
        <w:t xml:space="preserve">DSK</w:t>
      </w:r>
      <w:r>
        <w:t xml:space="preserve">,</w:t>
      </w:r>
      <w:r>
        <w:t xml:space="preserve"> </w:t>
      </w:r>
      <w:r>
        <w:rPr>
          <w:iCs/>
          <w:i/>
        </w:rPr>
        <w:t xml:space="preserve">Technische und organisatorische Maßnahmen bei KI-Systemen</w:t>
      </w:r>
      <w:r>
        <w:t xml:space="preserve"> </w:t>
      </w:r>
      <w:r>
        <w:t xml:space="preserve">(06/2025) und</w:t>
      </w:r>
      <w:r>
        <w:t xml:space="preserve"> </w:t>
      </w:r>
      <w:r>
        <w:rPr>
          <w:iCs/>
          <w:i/>
        </w:rPr>
        <w:t xml:space="preserve">Datenschutzrechtliche Besonderheiten generativer KI-Systeme mit RAG-Methode</w:t>
      </w:r>
      <w:r>
        <w:t xml:space="preserve"> </w:t>
      </w:r>
      <w:r>
        <w:t xml:space="preserve">(10/2025).</w:t>
      </w:r>
    </w:p>
    <w:p>
      <w:pPr>
        <w:numPr>
          <w:ilvl w:val="0"/>
          <w:numId w:val="1039"/>
        </w:numPr>
        <w:pStyle w:val="Compact"/>
      </w:pPr>
      <w:r>
        <w:rPr>
          <w:bCs/>
          <w:b/>
        </w:rPr>
        <w:t xml:space="preserve">DSK</w:t>
      </w:r>
      <w:r>
        <w:t xml:space="preserve">,</w:t>
      </w:r>
      <w:r>
        <w:t xml:space="preserve"> </w:t>
      </w:r>
      <w:r>
        <w:rPr>
          <w:iCs/>
          <w:i/>
        </w:rPr>
        <w:t xml:space="preserve">Orientierungshilfe Online-Lernplattformen im Schulunterricht</w:t>
      </w:r>
      <w:r>
        <w:t xml:space="preserve">, 26.04.2018 — das für Frage 5 unmittelbar einschlägigste Dokument (§7).</w:t>
      </w:r>
    </w:p>
    <w:p>
      <w:pPr>
        <w:numPr>
          <w:ilvl w:val="0"/>
          <w:numId w:val="1039"/>
        </w:numPr>
        <w:pStyle w:val="Compact"/>
      </w:pPr>
      <w:r>
        <w:rPr>
          <w:bCs/>
          <w:b/>
        </w:rPr>
        <w:t xml:space="preserve">LfDI Baden-Württemberg</w:t>
      </w:r>
      <w:r>
        <w:t xml:space="preserve">,</w:t>
      </w:r>
      <w:r>
        <w:t xml:space="preserve"> </w:t>
      </w:r>
      <w:r>
        <w:rPr>
          <w:iCs/>
          <w:i/>
        </w:rPr>
        <w:t xml:space="preserve">Diskussionspapier Rechtsgrundlagen im Datenschutz beim Einsatz von KI</w:t>
      </w:r>
      <w:r>
        <w:t xml:space="preserve">,</w:t>
      </w:r>
      <w:r>
        <w:t xml:space="preserve"> </w:t>
      </w:r>
      <w:r>
        <w:rPr>
          <w:bCs/>
          <w:b/>
        </w:rPr>
        <w:t xml:space="preserve">V 2.0, 17.10.2024</w:t>
      </w:r>
      <w:r>
        <w:t xml:space="preserve"> </w:t>
      </w:r>
      <w:r>
        <w:t xml:space="preserve">— laut Ankündigung ergänzt um</w:t>
      </w:r>
      <w:r>
        <w:t xml:space="preserve"> </w:t>
      </w:r>
      <w:r>
        <w:rPr>
          <w:iCs/>
          <w:i/>
        </w:rPr>
        <w:t xml:space="preserve">Rechtsgrundlagen für Schulen</w:t>
      </w:r>
      <w:r>
        <w:t xml:space="preserve">. Zwei Punkte sind mittelbar aus dem es zitierenden Gutachten Kloppenburg bekannt: Es liest</w:t>
      </w:r>
      <w:r>
        <w:t xml:space="preserve"> </w:t>
      </w:r>
      <w:r>
        <w:rPr>
          <w:bCs/>
          <w:b/>
        </w:rPr>
        <w:t xml:space="preserve">§ 115b Abs. 9 SchG BW so, dass notenäquivalente Bewertung</w:t>
      </w:r>
      <w:r>
        <w:t xml:space="preserve"> </w:t>
      </w:r>
      <w:r>
        <w:t xml:space="preserve">im dort behandelten adaptiven Lernkontext ausgeschlossen ist, und es</w:t>
      </w:r>
      <w:r>
        <w:t xml:space="preserve"> </w:t>
      </w:r>
      <w:r>
        <w:rPr>
          <w:bCs/>
          <w:b/>
        </w:rPr>
        <w:t xml:space="preserve">bezweifelt die Freiwilligkeit einer Einwilligung</w:t>
      </w:r>
      <w:r>
        <w:t xml:space="preserve"> </w:t>
      </w:r>
      <w:r>
        <w:t xml:space="preserve">in automatisierte Benotung an Schulen. Beides ist für die KI-gestützte Bewertung in BW ungünstig und beides ist landesspezifisch, nicht allgemein. Zu beachten ist ferner, dass die KI-VO-Daten des Papiers überholt sind. Das Dokument konnte für diese Prüfung nicht vollständig beschafft werden; es ist nach dem bayerischen Handlungsleitfaden das wichtigste offene Dokument.</w:t>
      </w:r>
    </w:p>
    <w:p>
      <w:pPr>
        <w:numPr>
          <w:ilvl w:val="0"/>
          <w:numId w:val="1039"/>
        </w:numPr>
        <w:pStyle w:val="Compact"/>
      </w:pPr>
      <w:r>
        <w:rPr>
          <w:bCs/>
          <w:b/>
        </w:rPr>
        <w:t xml:space="preserve">HmbBfDI</w:t>
      </w:r>
      <w:r>
        <w:t xml:space="preserve">,</w:t>
      </w:r>
      <w:r>
        <w:t xml:space="preserve"> </w:t>
      </w:r>
      <w:r>
        <w:rPr>
          <w:iCs/>
          <w:i/>
        </w:rPr>
        <w:t xml:space="preserve">Diskussionspapier: Large Language Models und personenbezogene Daten</w:t>
      </w:r>
      <w:r>
        <w:t xml:space="preserve">, 15.07.2024 (ob aktualisiert: nicht bestätigt).</w:t>
      </w:r>
    </w:p>
    <w:p>
      <w:pPr>
        <w:numPr>
          <w:ilvl w:val="0"/>
          <w:numId w:val="1039"/>
        </w:numPr>
        <w:pStyle w:val="Compact"/>
      </w:pPr>
      <w:r>
        <w:rPr>
          <w:bCs/>
          <w:b/>
        </w:rPr>
        <w:t xml:space="preserve">BfDI</w:t>
      </w:r>
      <w:r>
        <w:t xml:space="preserve">,</w:t>
      </w:r>
      <w:r>
        <w:t xml:space="preserve"> </w:t>
      </w:r>
      <w:r>
        <w:rPr>
          <w:iCs/>
          <w:i/>
        </w:rPr>
        <w:t xml:space="preserve">Handreichung KI</w:t>
      </w:r>
      <w:r>
        <w:t xml:space="preserve">, 22.12.2025 (aufgefunden, nicht gelesen).</w:t>
      </w:r>
    </w:p>
    <w:p>
      <w:pPr>
        <w:pStyle w:val="FirstParagraph"/>
      </w:pPr>
      <w:r>
        <w:rPr>
          <w:bCs/>
          <w:b/>
        </w:rPr>
        <w:t xml:space="preserve">Keine deutsche Aufsichtsbehörde hat eine Position speziell zu KI-erzeugten Noten veröffentlicht.</w:t>
      </w:r>
      <w:r>
        <w:t xml:space="preserve"> </w:t>
      </w:r>
      <w:r>
        <w:t xml:space="preserve">Das ist ein Negativbefund aus einer abgebrochenen Recherche, keine bestätigte Abwesenheit.</w:t>
      </w:r>
    </w:p>
    <w:p>
      <w:pPr>
        <w:pStyle w:val="BodyText"/>
      </w:pPr>
      <w:r>
        <w:rPr>
          <w:bCs/>
          <w:b/>
        </w:rPr>
        <w:t xml:space="preserve">Das ungünstigste glaubwürdige Dokument stammt nicht von einer Behörde.</w:t>
      </w:r>
      <w:r>
        <w:t xml:space="preserve"> </w:t>
      </w:r>
      <w:r>
        <w:t xml:space="preserve">Das</w:t>
      </w:r>
      <w:r>
        <w:t xml:space="preserve"> </w:t>
      </w:r>
      <w:r>
        <w:rPr>
          <w:bCs/>
          <w:b/>
        </w:rPr>
        <w:t xml:space="preserve">DKJS-Memorandum</w:t>
      </w:r>
      <w:r>
        <w:t xml:space="preserve"> </w:t>
      </w:r>
      <w:r>
        <w:rPr>
          <w:iCs/>
          <w:i/>
        </w:rPr>
        <w:t xml:space="preserve">Zum Einsatz von generativer KI in der schulischen Leistungsbewertung</w:t>
      </w:r>
      <w:r>
        <w:t xml:space="preserve"> </w:t>
      </w:r>
      <w:r>
        <w:t xml:space="preserve">(Spirit Legal, Mai 2025) kommt berichteten Angaben zufolge zu dem Ergebnis, dass KI-basierte Bewertung von Schülerarbeiten nach geltendem deutschen und europäischen Recht grundsätzlich unzulässig sei; dass Leistungsdaten auch bei Pseudonymisierung im Verarbeitungsprozess personenbezogen blieben, weil die Lehrkraft bei der Notenvergabe re-identifiziere; dass keine taugliche Rechtsgrundlage nach Art. 6 bestehe, weil der allgemeine Bildungsauftrag nicht „objektiv unerlässlich” sei; dass Art. 22 einschlägig sei; und dass Leistungsdaten Gesundheitsinformationen etwa zu Lese-Rechtschreib- oder Lernschwächen offenbaren könnten.</w:t>
      </w:r>
      <w:r>
        <w:t xml:space="preserve"> </w:t>
      </w:r>
      <w:r>
        <w:rPr>
          <w:bCs/>
          <w:b/>
        </w:rPr>
        <w:t xml:space="preserve">Verifikationsvorbehalt: Der DKJS-Server hat den Abruf blockiert; das Memorandum konnte für diese Prüfung nicht verifiziert werden, die Angaben stammen aus einer Drittzusammenfassung. Das Original ist zu beschaffen und zu lesen, bevor es irgendwo zitiert wird.</w:t>
      </w:r>
    </w:p>
    <w:p>
      <w:pPr>
        <w:pStyle w:val="BodyText"/>
      </w:pPr>
      <w:r>
        <w:rPr>
          <w:bCs/>
          <w:b/>
        </w:rPr>
        <w:t xml:space="preserve">Bewertung.</w:t>
      </w:r>
      <w:r>
        <w:t xml:space="preserve"> </w:t>
      </w:r>
      <w:r>
        <w:t xml:space="preserve">Es handelt sich um ein stiftungsfinanziertes Anwaltsgutachten, nicht um eine Aufsichtsposition, und es adressiert offenbar KI-Bewertung im starken Sinne — die auch die KMK ablehnt und die niemand bestreitet. Der Abstand zwischen</w:t>
      </w:r>
      <w:r>
        <w:t xml:space="preserve"> </w:t>
      </w:r>
      <w:r>
        <w:rPr>
          <w:iCs/>
          <w:i/>
        </w:rPr>
        <w:t xml:space="preserve">„die KI entscheidet über die Note”</w:t>
      </w:r>
      <w:r>
        <w:t xml:space="preserve"> </w:t>
      </w:r>
      <w:r>
        <w:t xml:space="preserve">und</w:t>
      </w:r>
      <w:r>
        <w:t xml:space="preserve"> </w:t>
      </w:r>
      <w:r>
        <w:rPr>
          <w:iCs/>
          <w:i/>
        </w:rPr>
        <w:t xml:space="preserve">„die KI schlägt vor, die Lehrkraft entscheidet anhand eines selbst erstellten Rasters nach vollständiger Kenntnisnahme der Arbeit und mit Prüfpfad”</w:t>
      </w:r>
      <w:r>
        <w:t xml:space="preserve"> </w:t>
      </w:r>
      <w:r>
        <w:t xml:space="preserve">— der</w:t>
      </w:r>
      <w:r>
        <w:t xml:space="preserve"> </w:t>
      </w:r>
      <w:r>
        <w:rPr>
          <w:iCs/>
          <w:i/>
        </w:rPr>
        <w:t xml:space="preserve">Korrekturassistenz</w:t>
      </w:r>
      <w:r>
        <w:t xml:space="preserve"> </w:t>
      </w:r>
      <w:r>
        <w:t xml:space="preserve">der KMK — wird durch die berichtete Begründung des Memorandums nicht ersichtlich geschlossen. Ob er geschlossen wird, lässt sich ohne den Originaltext nicht feststellen.</w:t>
      </w:r>
    </w:p>
    <w:bookmarkEnd w:id="142"/>
    <w:bookmarkStart w:id="143" w:name="Xa3b8def0bf5e533aa586ace9d9e975d451f46e1"/>
    <w:p>
      <w:pPr>
        <w:pStyle w:val="Heading3"/>
      </w:pPr>
      <w:r>
        <w:t xml:space="preserve">5.7 Was die Länder-Handreichungen sagen — der härteste Befund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Land</w:t>
            </w:r>
          </w:p>
        </w:tc>
        <w:tc>
          <w:tcPr/>
          <w:p>
            <w:pPr>
              <w:pStyle w:val="Compact"/>
              <w:jc w:val="left"/>
            </w:pPr>
            <w:r>
              <w:t xml:space="preserve">Wortlaut</w:t>
            </w:r>
          </w:p>
        </w:tc>
        <w:tc>
          <w:tcPr/>
          <w:p>
            <w:pPr>
              <w:pStyle w:val="Compact"/>
              <w:jc w:val="left"/>
            </w:pPr>
            <w:r>
              <w:t xml:space="preserve">Wirkung</w:t>
            </w:r>
          </w:p>
        </w:tc>
      </w:tr>
      <w:tr>
        <w:tc>
          <w:tcPr/>
          <w:p>
            <w:pPr>
              <w:pStyle w:val="Compact"/>
              <w:jc w:val="left"/>
            </w:pPr>
            <w:r>
              <w:rPr>
                <w:bCs/>
                <w:b/>
              </w:rPr>
              <w:t xml:space="preserve">Baden-Württemberg</w:t>
            </w:r>
          </w:p>
        </w:tc>
        <w:tc>
          <w:tcPr/>
          <w:p>
            <w:pPr>
              <w:pStyle w:val="Compact"/>
              <w:jc w:val="left"/>
            </w:pPr>
            <w:r>
              <w:rPr>
                <w:iCs/>
                <w:i/>
              </w:rPr>
              <w:t xml:space="preserve">„Auch dürfen</w:t>
            </w:r>
            <w:r>
              <w:rPr>
                <w:iCs/>
                <w:i/>
              </w:rPr>
              <w:t xml:space="preserve"> </w:t>
            </w:r>
            <w:r>
              <w:rPr>
                <w:bCs/>
                <w:b/>
                <w:iCs/>
                <w:i/>
              </w:rPr>
              <w:t xml:space="preserve">KI-Anwendungen keine Noten vergeben</w:t>
            </w:r>
            <w:r>
              <w:rPr>
                <w:iCs/>
                <w:i/>
              </w:rPr>
              <w:t xml:space="preserve"> </w:t>
            </w:r>
            <w:r>
              <w:rPr>
                <w:iCs/>
                <w:i/>
              </w:rPr>
              <w:t xml:space="preserve">oder andere wesentlichen schulischen Entscheidungen treffen.”</w:t>
            </w:r>
            <w:r>
              <w:t xml:space="preserve"> </w:t>
            </w:r>
            <w:r>
              <w:t xml:space="preserve">/</w:t>
            </w:r>
            <w:r>
              <w:t xml:space="preserve"> </w:t>
            </w:r>
            <w:r>
              <w:rPr>
                <w:iCs/>
                <w:i/>
              </w:rPr>
              <w:t xml:space="preserve">„Die abschließende Bewertung … bleibt also weiterhin den Lehrkräften vorbehalten.”</w:t>
            </w:r>
          </w:p>
        </w:tc>
        <w:tc>
          <w:tcPr/>
          <w:p>
            <w:pPr>
              <w:pStyle w:val="Compact"/>
              <w:jc w:val="left"/>
            </w:pPr>
            <w:r>
              <w:t xml:space="preserve">Vereinbar mit einer assistiven Architektur, in der das System vorschlägt und die Lehrkraft die Note vergibt</w:t>
            </w:r>
          </w:p>
        </w:tc>
      </w:tr>
      <w:tr>
        <w:tc>
          <w:tcPr/>
          <w:p>
            <w:pPr>
              <w:pStyle w:val="Compact"/>
              <w:jc w:val="left"/>
            </w:pPr>
            <w:r>
              <w:rPr>
                <w:bCs/>
                <w:b/>
              </w:rPr>
              <w:t xml:space="preserve">Hessen</w:t>
            </w:r>
          </w:p>
        </w:tc>
        <w:tc>
          <w:tcPr/>
          <w:p>
            <w:pPr>
              <w:pStyle w:val="Compact"/>
              <w:jc w:val="left"/>
            </w:pPr>
            <w:r>
              <w:rPr>
                <w:iCs/>
                <w:i/>
              </w:rPr>
              <w:t xml:space="preserve">„…dass im Rahmen einer Nutzung</w:t>
            </w:r>
            <w:r>
              <w:rPr>
                <w:iCs/>
                <w:i/>
              </w:rPr>
              <w:t xml:space="preserve"> </w:t>
            </w:r>
            <w:r>
              <w:rPr>
                <w:bCs/>
                <w:b/>
                <w:iCs/>
                <w:i/>
              </w:rPr>
              <w:t xml:space="preserve">keine Eingabe personenbezogener Daten von Schülerinnen und Schülern</w:t>
            </w:r>
            <w:r>
              <w:rPr>
                <w:iCs/>
                <w:i/>
              </w:rPr>
              <w:t xml:space="preserve"> </w:t>
            </w:r>
            <w:r>
              <w:rPr>
                <w:iCs/>
                <w:i/>
              </w:rPr>
              <w:t xml:space="preserve">erfolgt”</w:t>
            </w:r>
            <w:r>
              <w:t xml:space="preserve"> </w:t>
            </w:r>
            <w:r>
              <w:t xml:space="preserve">(Handreichung, Juli 2023)</w:t>
            </w:r>
          </w:p>
        </w:tc>
        <w:tc>
          <w:tcPr/>
          <w:p>
            <w:pPr>
              <w:pStyle w:val="Compact"/>
              <w:jc w:val="left"/>
            </w:pPr>
            <w:r>
              <w:rPr>
                <w:bCs/>
                <w:b/>
              </w:rPr>
              <w:t xml:space="preserve">Erfasst den Kernprozess der Korrektur unmittelbar</w:t>
            </w:r>
            <w:r>
              <w:t xml:space="preserve">, unabhängig davon, wer entscheidet</w:t>
            </w:r>
          </w:p>
        </w:tc>
      </w:tr>
      <w:tr>
        <w:tc>
          <w:tcPr/>
          <w:p>
            <w:pPr>
              <w:pStyle w:val="Compact"/>
              <w:jc w:val="left"/>
            </w:pPr>
            <w:r>
              <w:rPr>
                <w:bCs/>
                <w:b/>
              </w:rPr>
              <w:t xml:space="preserve">NRW (Handlungsleitfaden 2023)</w:t>
            </w:r>
          </w:p>
        </w:tc>
        <w:tc>
          <w:tcPr/>
          <w:p>
            <w:pPr>
              <w:pStyle w:val="Compact"/>
              <w:jc w:val="left"/>
            </w:pPr>
            <w:r>
              <w:rPr>
                <w:iCs/>
                <w:i/>
              </w:rPr>
              <w:t xml:space="preserve">„…dass</w:t>
            </w:r>
            <w:r>
              <w:rPr>
                <w:iCs/>
                <w:i/>
              </w:rPr>
              <w:t xml:space="preserve"> </w:t>
            </w:r>
            <w:r>
              <w:rPr>
                <w:bCs/>
                <w:b/>
                <w:iCs/>
                <w:i/>
              </w:rPr>
              <w:t xml:space="preserve">keine personenbezogenen Daten der Schülerinnen und Schüler übertragen werden</w:t>
            </w:r>
            <w:r>
              <w:rPr>
                <w:iCs/>
                <w:i/>
              </w:rPr>
              <w:t xml:space="preserve">”</w:t>
            </w:r>
            <w:r>
              <w:t xml:space="preserve"> </w:t>
            </w:r>
            <w:r>
              <w:t xml:space="preserve">/</w:t>
            </w:r>
            <w:r>
              <w:t xml:space="preserve"> </w:t>
            </w:r>
            <w:r>
              <w:rPr>
                <w:iCs/>
                <w:i/>
              </w:rPr>
              <w:t xml:space="preserve">„Die Verantwortung für die Einhaltung des schulischen Datenschutzes trägt die Leiterin oder der Leiter der jeweiligen Schule.”</w:t>
            </w:r>
            <w:r>
              <w:t xml:space="preserve"> </w:t>
            </w:r>
            <w:r>
              <w:t xml:space="preserve">(02/2023)</w:t>
            </w:r>
          </w:p>
        </w:tc>
        <w:tc>
          <w:tcPr/>
          <w:p>
            <w:pPr>
              <w:pStyle w:val="Compact"/>
              <w:jc w:val="left"/>
            </w:pPr>
            <w:r>
              <w:rPr>
                <w:bCs/>
                <w:b/>
              </w:rPr>
              <w:t xml:space="preserve">Ebenso</w:t>
            </w:r>
          </w:p>
        </w:tc>
      </w:tr>
      <w:tr>
        <w:tc>
          <w:tcPr/>
          <w:p>
            <w:pPr>
              <w:pStyle w:val="Compact"/>
              <w:jc w:val="left"/>
            </w:pPr>
            <w:r>
              <w:rPr>
                <w:bCs/>
                <w:b/>
              </w:rPr>
              <w:t xml:space="preserve">NRW (aktuelle Ministeriumsposition speziell zur Korrektur)</w:t>
            </w:r>
          </w:p>
        </w:tc>
        <w:tc>
          <w:tcPr/>
          <w:p>
            <w:pPr>
              <w:pStyle w:val="Compact"/>
              <w:jc w:val="left"/>
            </w:pPr>
            <w:r>
              <w:t xml:space="preserve">Das Ministerium</w:t>
            </w:r>
            <w:r>
              <w:t xml:space="preserve"> </w:t>
            </w:r>
            <w:r>
              <w:rPr>
                <w:bCs/>
                <w:b/>
              </w:rPr>
              <w:t xml:space="preserve">erlaubt ausdrücklich den unterstützenden Einsatz bei der Korrektur</w:t>
            </w:r>
            <w:r>
              <w:t xml:space="preserve">, verlangt, dass die Lehrkraft sich eine eigene Bewertung bildet, bezeichnet die</w:t>
            </w:r>
            <w:r>
              <w:t xml:space="preserve"> </w:t>
            </w:r>
            <w:r>
              <w:rPr>
                <w:bCs/>
                <w:b/>
              </w:rPr>
              <w:t xml:space="preserve">automatisierte</w:t>
            </w:r>
            <w:r>
              <w:t xml:space="preserve"> </w:t>
            </w:r>
            <w:r>
              <w:t xml:space="preserve">Bewertung als hochriskant und an strenge Bedingungen geknüpft und hält daran fest, dass</w:t>
            </w:r>
            <w:r>
              <w:t xml:space="preserve"> </w:t>
            </w:r>
            <w:r>
              <w:rPr>
                <w:bCs/>
                <w:b/>
              </w:rPr>
              <w:t xml:space="preserve">personenbezogene Schülerdaten nicht übermittelt werden dürfen</w:t>
            </w:r>
            <w:r>
              <w:t xml:space="preserve">. Die begleitende FAQ ergänzt, dass Schülernummern keine Anonymisierung sind und die Anonymisierung selbst einer Rechtsgrundlage bedarf.</w:t>
            </w:r>
          </w:p>
        </w:tc>
        <w:tc>
          <w:tcPr/>
          <w:p>
            <w:pPr>
              <w:pStyle w:val="Compact"/>
              <w:jc w:val="left"/>
            </w:pPr>
            <w:r>
              <w:rPr>
                <w:bCs/>
                <w:b/>
              </w:rPr>
              <w:t xml:space="preserve">Das ist das bedeutsamste Element der aktuellen NRW-Position.</w:t>
            </w:r>
            <w:r>
              <w:t xml:space="preserve"> </w:t>
            </w:r>
            <w:r>
              <w:t xml:space="preserve">Die assistive Korrektur ist in NRW nicht verboten, sondern ausdrücklich vorgesehen. Der bindende Engpass ist der Datentransfer, und das Ministerium sagt es so. Es handelt sich um Leitlinien, nicht um die Zulassung eines benannten Werkzeugs.</w:t>
            </w:r>
          </w:p>
        </w:tc>
      </w:tr>
      <w:tr>
        <w:tc>
          <w:tcPr/>
          <w:p>
            <w:pPr>
              <w:pStyle w:val="Compact"/>
              <w:jc w:val="left"/>
            </w:pPr>
            <w:r>
              <w:rPr>
                <w:bCs/>
                <w:b/>
              </w:rPr>
              <w:t xml:space="preserve">Bayern</w:t>
            </w:r>
          </w:p>
        </w:tc>
        <w:tc>
          <w:tcPr/>
          <w:p>
            <w:pPr>
              <w:pStyle w:val="Compact"/>
              <w:jc w:val="left"/>
            </w:pPr>
            <w:r>
              <w:t xml:space="preserve">Aktuelles Instrument:</w:t>
            </w:r>
            <w:r>
              <w:t xml:space="preserve"> </w:t>
            </w:r>
            <w:r>
              <w:rPr>
                <w:iCs/>
                <w:i/>
              </w:rPr>
              <w:t xml:space="preserve">Handlungsleitfaden „Künstliche Intelligenz in der pädagogischen Praxis”</w:t>
            </w:r>
            <w:r>
              <w:t xml:space="preserve">, Fassung 19.05.2026. Bayern stellt sanktionierte Werkzeuge kostenfrei bereit (KI-Funktionen der ByCS-Lernplattform, AIS.chat). Veröffentlichtes Prüfungsmaterial betrifft</w:t>
            </w:r>
            <w:r>
              <w:t xml:space="preserve"> </w:t>
            </w:r>
            <w:r>
              <w:rPr>
                <w:bCs/>
                <w:b/>
              </w:rPr>
              <w:t xml:space="preserve">Unterschleif durch Schüler</w:t>
            </w:r>
            <w:r>
              <w:t xml:space="preserve">, nicht die Korrektur.</w:t>
            </w:r>
          </w:p>
        </w:tc>
        <w:tc>
          <w:tcPr/>
          <w:p>
            <w:pPr>
              <w:pStyle w:val="Compact"/>
              <w:jc w:val="left"/>
            </w:pPr>
            <w:r>
              <w:rPr>
                <w:bCs/>
                <w:b/>
              </w:rPr>
              <w:t xml:space="preserve">Inhalt konnte für diese Prüfung nicht beschafft werden — das wichtigste offene Dokument</w:t>
            </w:r>
          </w:p>
        </w:tc>
      </w:tr>
    </w:tbl>
    <w:p>
      <w:pPr>
        <w:pStyle w:val="BodyText"/>
      </w:pPr>
      <w:r>
        <w:rPr>
          <w:bCs/>
          <w:b/>
        </w:rPr>
        <w:t xml:space="preserve">Kernaussage, und sie ist differenzierter als ein schlichtes Verbot.</w:t>
      </w:r>
      <w:r>
        <w:t xml:space="preserve"> </w:t>
      </w:r>
      <w:r>
        <w:t xml:space="preserve">Die Beschränkung in Hessen und NRW ist keine Regel gegen KI-gestützte Bewertung, sondern eine Regel gegen die</w:t>
      </w:r>
      <w:r>
        <w:t xml:space="preserve"> </w:t>
      </w:r>
      <w:r>
        <w:rPr>
          <w:bCs/>
          <w:b/>
        </w:rPr>
        <w:t xml:space="preserve">Eingabe personenbezogener Schülerdaten in KI-Anwendungen</w:t>
      </w:r>
      <w:r>
        <w:t xml:space="preserve"> </w:t>
      </w:r>
      <w:r>
        <w:t xml:space="preserve">— in einer Richtung weiter, in der anderen enger. Weiter, weil sie solche Systeme unabhängig von der Entscheidungsarchitektur erfasst. Enger, weil NRW inzwischen ausdrücklich sagt, dass der unterstützende Einsatz bei der Korrektur zulässig ist und die Lehrkraft sich eine eigene Bewertung bilden muss — die assistive Nutzung ist also vorgesehen, und offen ist der Datenweg, nicht die Legitimität der Unterstützung. Zu beachten ist ferner, dass die hessische und die NRW-Unterlage von 2023</w:t>
      </w:r>
      <w:r>
        <w:t xml:space="preserve"> </w:t>
      </w:r>
      <w:r>
        <w:rPr>
          <w:bCs/>
          <w:b/>
        </w:rPr>
        <w:t xml:space="preserve">vor</w:t>
      </w:r>
      <w:r>
        <w:t xml:space="preserve"> </w:t>
      </w:r>
      <w:r>
        <w:t xml:space="preserve">der KMK-Befürwortung der</w:t>
      </w:r>
      <w:r>
        <w:t xml:space="preserve"> </w:t>
      </w:r>
      <w:r>
        <w:rPr>
          <w:iCs/>
          <w:i/>
        </w:rPr>
        <w:t xml:space="preserve">Korrekturassistenz</w:t>
      </w:r>
      <w:r>
        <w:t xml:space="preserve"> </w:t>
      </w:r>
      <w:r>
        <w:t xml:space="preserve">vom Oktober 2024 liegen; das ist der Ansatzpunkt, auf dem Hessen um eine Überprüfung der Formulierung gebeten werden kann.</w:t>
      </w:r>
    </w:p>
    <w:p>
      <w:pPr>
        <w:pStyle w:val="BodyText"/>
      </w:pPr>
      <w:r>
        <w:rPr>
          <w:bCs/>
          <w:b/>
        </w:rPr>
        <w:t xml:space="preserve">Die Folge für die Verarbeitungsarchitektur.</w:t>
      </w:r>
      <w:r>
        <w:t xml:space="preserve"> </w:t>
      </w:r>
      <w:r>
        <w:t xml:space="preserve">Dürfen personenbezogene Schülerdaten nicht übermittelt werden und muss die Anonymisierung erfolgen, bevor die Daten den Verantwortungsbereich der Schule verlassen (§3.10), dann genügen dem aktuellen Wortlaut in NRW und Hessen: die Verarbeitung innerhalb der Grenzen der Schule; oder eine Pipeline, in der Identifikatoren in der Schule vor der Übermittlung entfernt werden und der Wiederherstellungsschlüssel sie nie verlässt; oder eine Landeslösung der Art, die die KMK aufbaut. Ein gewöhnliches Cloud-SaaS, das eingescannte Arbeiten unverändert entgegennimmt, genügt dem aktuellen Wortlaut in keinem der beiden Länder. Das ist eine Folge der Handreichungen in ihrem Wortlaut, keine streitige Auslegung.</w:t>
      </w:r>
    </w:p>
    <w:p>
      <w:pPr>
        <w:pStyle w:val="BodyText"/>
      </w:pPr>
      <w:r>
        <w:rPr>
          <w:bCs/>
          <w:b/>
        </w:rPr>
        <w:t xml:space="preserve">Warnung zu Sekundärquellen.</w:t>
      </w:r>
      <w:r>
        <w:t xml:space="preserve"> </w:t>
      </w:r>
      <w:r>
        <w:t xml:space="preserve">Weit verbreitete Ländervergleichstabellen (paukki.de, lehrerki.de) stimmen nicht verlässlich mit den Primärdokumenten überein; mehrere geprüfte Einträge stimmten nicht.</w:t>
      </w:r>
      <w:r>
        <w:t xml:space="preserve"> </w:t>
      </w:r>
      <w:r>
        <w:rPr>
          <w:bCs/>
          <w:b/>
        </w:rPr>
        <w:t xml:space="preserve">Nicht zitieren.</w:t>
      </w:r>
    </w:p>
    <w:bookmarkEnd w:id="143"/>
    <w:bookmarkStart w:id="144" w:name="Xac5e36f73fa17b33d85254315d19a4863ecc785"/>
    <w:p>
      <w:pPr>
        <w:pStyle w:val="Heading3"/>
      </w:pPr>
      <w:r>
        <w:t xml:space="preserve">5.8 Personalvertretung — der übersehene Blocker</w:t>
      </w:r>
    </w:p>
    <w:p>
      <w:pPr>
        <w:pStyle w:val="FirstParagraph"/>
      </w:pPr>
      <w:r>
        <w:t xml:space="preserve">Die Mitbestimmungsnorm ist</w:t>
      </w:r>
      <w:r>
        <w:t xml:space="preserve"> </w:t>
      </w:r>
      <w:r>
        <w:rPr>
          <w:bCs/>
          <w:b/>
        </w:rPr>
        <w:t xml:space="preserve">§ 80 Abs. 1 Nr. 21 BPersVG</w:t>
      </w:r>
      <w:r>
        <w:t xml:space="preserve"> </w:t>
      </w:r>
      <w:r>
        <w:t xml:space="preserve">(nicht § 75, der 2021 neu gefasst wurde): Der Personalrat bestimmt mit über</w:t>
      </w:r>
      <w:r>
        <w:t xml:space="preserve"> </w:t>
      </w:r>
      <w:r>
        <w:rPr>
          <w:iCs/>
          <w:i/>
        </w:rPr>
        <w:t xml:space="preserve">„die Einführung und Anwendung technischer Einrichtungen, die dazu bestimmt sind, das Verhalten oder die Leistung der Beschäftigten zu überwachen”</w:t>
      </w:r>
      <w:r>
        <w:t xml:space="preserve">. Die Landespersonalvertretungsgesetze entsprechen dem (</w:t>
      </w:r>
      <w:r>
        <w:rPr>
          <w:bCs/>
          <w:b/>
        </w:rPr>
        <w:t xml:space="preserve">einzelne Landesnormen konnten für diese Prüfung nicht verifiziert werden</w:t>
      </w:r>
      <w:r>
        <w:t xml:space="preserve">).</w:t>
      </w:r>
    </w:p>
    <w:p>
      <w:pPr>
        <w:pStyle w:val="BodyText"/>
      </w:pPr>
      <w:r>
        <w:rPr>
          <w:bCs/>
          <w:b/>
        </w:rPr>
        <w:t xml:space="preserve">Das trifft hier härter als bei den meisten EdTech-Produkten</w:t>
      </w:r>
      <w:r>
        <w:t xml:space="preserve">, weil ein Korrekturassistenzsystem zwangsläufig Durchsatz je Lehrkraft, Bearbeitungszeiten und — am bedeutsamsten —</w:t>
      </w:r>
      <w:r>
        <w:t xml:space="preserve"> </w:t>
      </w:r>
      <w:r>
        <w:rPr>
          <w:bCs/>
          <w:b/>
        </w:rPr>
        <w:t xml:space="preserve">Abweichungsquoten zwischen Lehrkraftnote und Modellvorschlag</w:t>
      </w:r>
      <w:r>
        <w:t xml:space="preserve"> </w:t>
      </w:r>
      <w:r>
        <w:t xml:space="preserve">erzeugt. Letzteres ist ein unmittelbares, quantifiziertes Maß der Arbeitsleistung. Nach herrschender Auslegung genügt die objektive</w:t>
      </w:r>
      <w:r>
        <w:t xml:space="preserve"> </w:t>
      </w:r>
      <w:r>
        <w:rPr>
          <w:iCs/>
          <w:i/>
        </w:rPr>
        <w:t xml:space="preserve">Eignung</w:t>
      </w:r>
      <w:r>
        <w:t xml:space="preserve"> </w:t>
      </w:r>
      <w:r>
        <w:t xml:space="preserve">zur Überwachung; Absicht ist nicht erforderlich. Ein Korrekturassistenzsystem ist damit in jedem Land sehr wahrscheinlich mitbestimmungspflichtig.</w:t>
      </w:r>
    </w:p>
    <w:p>
      <w:pPr>
        <w:pStyle w:val="BodyText"/>
      </w:pPr>
      <w:r>
        <w:rPr>
          <w:bCs/>
          <w:b/>
        </w:rPr>
        <w:t xml:space="preserve">Was eine Einführung vorsehen müsste, damit der Mitbestimmung genügt ist:</w:t>
      </w:r>
      <w:r>
        <w:t xml:space="preserve"> </w:t>
      </w:r>
      <w:r>
        <w:t xml:space="preserve">keine Aggregation je Lehrkraft in administrativen Ansichten als Standard; Abweichungsstatistiken nur aggregiert, k-anonymisiert und bei der Einführung abschaltbar; und eine</w:t>
      </w:r>
      <w:r>
        <w:t xml:space="preserve"> </w:t>
      </w:r>
      <w:r>
        <w:rPr>
          <w:bCs/>
          <w:b/>
        </w:rPr>
        <w:t xml:space="preserve">Dienstvereinbarung</w:t>
      </w:r>
      <w:r>
        <w:t xml:space="preserve"> </w:t>
      </w:r>
      <w:r>
        <w:t xml:space="preserve">über Einführung und Nutzung, die das Instrument der Mitbestimmungsausübung ist. Zu beachten ist die Spannung zu §3.5: Der Abweichungsnachweis wird für das Argument zu Art. 22 benötigt</w:t>
      </w:r>
      <w:r>
        <w:t xml:space="preserve"> </w:t>
      </w:r>
      <w:r>
        <w:rPr>
          <w:iCs/>
          <w:i/>
        </w:rPr>
        <w:t xml:space="preserve">und</w:t>
      </w:r>
      <w:r>
        <w:t xml:space="preserve"> </w:t>
      </w:r>
      <w:r>
        <w:t xml:space="preserve">darf nicht je Lehrkraft offengelegt werden. Die Auflösung liegt in ausschließlich aggregierter Berichterstattung bei gleichzeitig arbeitsbezogenen Prüfpfaden, die der Schule nur auf definierter, protokollierter Grundlage zugänglich sind.</w:t>
      </w:r>
    </w:p>
    <w:bookmarkEnd w:id="144"/>
    <w:bookmarkStart w:id="145" w:name="X77ae6e1fd0f4d00fc9181a5f3c7d9207754ee8c"/>
    <w:p>
      <w:pPr>
        <w:pStyle w:val="Heading3"/>
      </w:pPr>
      <w:r>
        <w:t xml:space="preserve">5.9 Hochschulen — ein eigenes und saubereres Regime</w:t>
      </w:r>
    </w:p>
    <w:p>
      <w:pPr>
        <w:pStyle w:val="FirstParagraph"/>
      </w:pPr>
      <w:r>
        <w:t xml:space="preserve">Die maßgebliche Regel folgt aus dem Gesetzesvorbehalt des Art. 12 Abs. 1 Satz 2 GG:</w:t>
      </w:r>
      <w:r>
        <w:t xml:space="preserve"> </w:t>
      </w:r>
      <w:r>
        <w:rPr>
          <w:iCs/>
          <w:i/>
        </w:rPr>
        <w:t xml:space="preserve">„Regelungen über das Verfahren der Bewertung der Prüfungsleistungen, die Bestehensvoraussetzungen und die Notenvergabe”</w:t>
      </w:r>
      <w:r>
        <w:t xml:space="preserve"> </w:t>
      </w:r>
      <w:r>
        <w:t xml:space="preserve">müssen rechtssatzmäßig festgelegt werden — für Staatsprüfungen in einer Rechtsverordnung,</w:t>
      </w:r>
      <w:r>
        <w:t xml:space="preserve"> </w:t>
      </w:r>
      <w:r>
        <w:rPr>
          <w:bCs/>
          <w:b/>
        </w:rPr>
        <w:t xml:space="preserve">für Hochschulprüfungen in einer Satzung der Hochschule</w:t>
      </w:r>
      <w:r>
        <w:t xml:space="preserve"> </w:t>
      </w:r>
      <w:r>
        <w:t xml:space="preserve">(BVerwG 10.04.2019 – 6 C 19.18).</w:t>
      </w:r>
    </w:p>
    <w:p>
      <w:pPr>
        <w:pStyle w:val="BodyText"/>
      </w:pPr>
      <w:r>
        <w:rPr>
          <w:bCs/>
          <w:b/>
        </w:rPr>
        <w:t xml:space="preserve">Muss eine Prüfungsordnung geändert werden? Das hängt von der Funktion ab, die das System ausübt.</w:t>
      </w:r>
      <w:r>
        <w:t xml:space="preserve"> </w:t>
      </w:r>
      <w:r>
        <w:t xml:space="preserve">Das BVerwG hat entschieden, dass die</w:t>
      </w:r>
      <w:r>
        <w:t xml:space="preserve"> </w:t>
      </w:r>
      <w:r>
        <w:rPr>
          <w:bCs/>
          <w:b/>
        </w:rPr>
        <w:t xml:space="preserve">Zahl der Prüfer</w:t>
      </w:r>
      <w:r>
        <w:t xml:space="preserve"> </w:t>
      </w:r>
      <w:r>
        <w:t xml:space="preserve">und das</w:t>
      </w:r>
      <w:r>
        <w:t xml:space="preserve"> </w:t>
      </w:r>
      <w:r>
        <w:rPr>
          <w:bCs/>
          <w:b/>
        </w:rPr>
        <w:t xml:space="preserve">Verfahren zur Auflösung von Bewertungsdivergenzen</w:t>
      </w:r>
      <w:r>
        <w:t xml:space="preserve"> </w:t>
      </w:r>
      <w:r>
        <w:t xml:space="preserve">vorab festzulegen sind, weil das Ergebnis maßgeblich von der nur eingeschränkt überprüfbaren Ausübung des Beurteilungsspielraums abhängt.</w:t>
      </w:r>
      <w:r>
        <w:t xml:space="preserve"> </w:t>
      </w:r>
      <w:r>
        <w:rPr>
          <w:bCs/>
          <w:b/>
        </w:rPr>
        <w:t xml:space="preserve">Wird ein KI-gestütztes Bewertungssystem funktional als weiterer Beurteiler eingeordnet, fällt es unter diese Regel und erfordert eine Satzungsänderung.</w:t>
      </w:r>
      <w:r>
        <w:t xml:space="preserve"> </w:t>
      </w:r>
      <w:r>
        <w:t xml:space="preserve">Daraus folgt: Ein System, das als „Zweitkorrektor” bezeichnet wird, dessen Ausgabe als</w:t>
      </w:r>
      <w:r>
        <w:t xml:space="preserve"> </w:t>
      </w:r>
      <w:r>
        <w:rPr>
          <w:iCs/>
          <w:i/>
        </w:rPr>
        <w:t xml:space="preserve">Zweitkorrektur</w:t>
      </w:r>
      <w:r>
        <w:t xml:space="preserve"> </w:t>
      </w:r>
      <w:r>
        <w:t xml:space="preserve">präsentiert wird oder auf das eine Divergenzregel einer Prüfungsordnung angewandt wird, fällt unter die Regel. Wird das System als internes Arbeitsmittel eines einzelnen Prüfers eingesetzt — wie eine Lösungsskizze, ein Taschenrechner oder eine Vorsortierung durch eine studentische Hilfskraft —, ist vertretbar, dass die Satzung unverändert bleiben kann.</w:t>
      </w:r>
    </w:p>
    <w:p>
      <w:pPr>
        <w:pStyle w:val="BodyText"/>
      </w:pPr>
      <w:r>
        <w:rPr>
          <w:bCs/>
          <w:b/>
        </w:rPr>
        <w:t xml:space="preserve">Hochschulen sind autonom</w:t>
      </w:r>
      <w:r>
        <w:t xml:space="preserve">; es gibt keinen Ministeriumsgatekeeper und keine Ebene der Länder-Handreichungen: Jede Prüfungsordnung ist eine eigene Satzung der Hochschule, und die Hochschule ist selbst der Verantwortliche, der einen Auftragsverarbeitungsvertrag nach Art. 28 schließen kann. Die Kehrseite ist, dass es keinen Landesschalter gibt und jede Einrichtung unter Beteiligung ihrer eigenen Gremien selbst entscheidet.</w:t>
      </w:r>
      <w:r>
        <w:t xml:space="preserve"> </w:t>
      </w:r>
      <w:r>
        <w:rPr>
          <w:iCs/>
          <w:i/>
        </w:rPr>
        <w:t xml:space="preserve">(Positionen der HRK — das Projekt KI-LOTSE und das Papier vom November 2024 zu KI, digitaler Souveränität und Cybersicherheit — konnten für diese Prüfung nicht abgerufen werden; keine HRK-Position behaupten, ohne sie gelesen zu haben.)</w:t>
      </w:r>
    </w:p>
    <w:bookmarkEnd w:id="145"/>
    <w:bookmarkStart w:id="146" w:name="die-bundesebene-die-bindet"/>
    <w:p>
      <w:pPr>
        <w:pStyle w:val="Heading3"/>
      </w:pPr>
      <w:r>
        <w:t xml:space="preserve">5.10 Die Bundesebene, die bindet</w:t>
      </w:r>
    </w:p>
    <w:p>
      <w:pPr>
        <w:pStyle w:val="FirstParagraph"/>
      </w:pPr>
      <w:r>
        <w:t xml:space="preserve">Schulen sind ausschließlich Ländersache (Art. 30, 70 GG); der Bund kann den Einsatz eines KI-gestützten Bewertungssystems an Schulen nicht freigeben. Was der Bund steuert, bindet den</w:t>
      </w:r>
      <w:r>
        <w:t xml:space="preserve"> </w:t>
      </w:r>
      <w:r>
        <w:rPr>
          <w:bCs/>
          <w:b/>
        </w:rPr>
        <w:t xml:space="preserve">Anbieter</w:t>
      </w:r>
      <w:r>
        <w:t xml:space="preserve">:</w:t>
      </w:r>
    </w:p>
    <w:p>
      <w:pPr>
        <w:numPr>
          <w:ilvl w:val="0"/>
          <w:numId w:val="1040"/>
        </w:numPr>
        <w:pStyle w:val="Compact"/>
      </w:pPr>
      <w:r>
        <w:rPr>
          <w:bCs/>
          <w:b/>
        </w:rPr>
        <w:t xml:space="preserve">KI-MIG — Gesetz zur Marktüberwachung und Innovationsförderung von künstlicher Intelligenz</w:t>
      </w:r>
      <w:r>
        <w:t xml:space="preserve">, ausgefertigt am 22.07.2026, BGBl. 2026 I Nr. 223, in Kraft seit 29.07.2026. Deutschlands Durchführungsgesetz zur KI-VO.</w:t>
      </w:r>
    </w:p>
    <w:p>
      <w:pPr>
        <w:numPr>
          <w:ilvl w:val="1"/>
          <w:numId w:val="1041"/>
        </w:numPr>
        <w:pStyle w:val="Compact"/>
      </w:pPr>
      <w:r>
        <w:rPr>
          <w:bCs/>
          <w:b/>
        </w:rPr>
        <w:t xml:space="preserve">§ 2 Abs. 1: Die Bundesnetzagentur ist Marktüberwachungsbehörde</w:t>
      </w:r>
      <w:r>
        <w:t xml:space="preserve"> </w:t>
      </w:r>
      <w:r>
        <w:t xml:space="preserve">für die Verordnung (EU) 2024/1689, soweit nichts anderes bestimmt ist.</w:t>
      </w:r>
    </w:p>
    <w:p>
      <w:pPr>
        <w:numPr>
          <w:ilvl w:val="1"/>
          <w:numId w:val="1041"/>
        </w:numPr>
        <w:pStyle w:val="Compact"/>
      </w:pPr>
      <w:r>
        <w:rPr>
          <w:bCs/>
          <w:b/>
        </w:rPr>
        <w:t xml:space="preserve">§ 2 Abs. 6: Bringen öffentliche Stellen der Länder KI-Systeme in Verkehr, nehmen sie in Betrieb oder</w:t>
      </w:r>
      <w:r>
        <w:rPr>
          <w:bCs/>
          <w:b/>
        </w:rPr>
        <w:t xml:space="preserve"> </w:t>
      </w:r>
      <w:r>
        <w:rPr>
          <w:iCs/>
          <w:i/>
          <w:bCs/>
          <w:b/>
        </w:rPr>
        <w:t xml:space="preserve">verwenden</w:t>
      </w:r>
      <w:r>
        <w:rPr>
          <w:bCs/>
          <w:b/>
        </w:rPr>
        <w:t xml:space="preserve"> </w:t>
      </w:r>
      <w:r>
        <w:rPr>
          <w:bCs/>
          <w:b/>
        </w:rPr>
        <w:t xml:space="preserve">sie sie, obliegt die Marktüberwachung den nach Landesrecht zuständigen Behörden.</w:t>
      </w:r>
      <w:r>
        <w:t xml:space="preserve"> </w:t>
      </w:r>
      <w:r>
        <w:t xml:space="preserve">Ein Anbieter steht damit der BNetzA gegenüber, einsetzende Schulen dagegen der nach dem Recht ihres Landes zuständigen Behörde — sechzehn getrennten Regimen.</w:t>
      </w:r>
    </w:p>
    <w:p>
      <w:pPr>
        <w:numPr>
          <w:ilvl w:val="1"/>
          <w:numId w:val="1041"/>
        </w:numPr>
        <w:pStyle w:val="Compact"/>
      </w:pPr>
      <w:r>
        <w:rPr>
          <w:bCs/>
          <w:b/>
        </w:rPr>
        <w:t xml:space="preserve">§ 13: Die BNetzA hat mindestens ein KI-Reallabor</w:t>
      </w:r>
      <w:r>
        <w:t xml:space="preserve"> </w:t>
      </w:r>
      <w:r>
        <w:t xml:space="preserve">nach Art. 57/58 KI-VO einzurichten, unter Beteiligung der zuständigen Datenschutzaufsicht für die Bewertung nach Art. 59. Das ist ein konkreter, benannter und derzeit offener Weg zu regulatorischer Befassung.</w:t>
      </w:r>
    </w:p>
    <w:p>
      <w:pPr>
        <w:numPr>
          <w:ilvl w:val="1"/>
          <w:numId w:val="1041"/>
        </w:numPr>
        <w:pStyle w:val="Compact"/>
      </w:pPr>
      <w:r>
        <w:rPr>
          <w:bCs/>
          <w:b/>
        </w:rPr>
        <w:t xml:space="preserve">§ 14</w:t>
      </w:r>
      <w:r>
        <w:t xml:space="preserve"> </w:t>
      </w:r>
      <w:r>
        <w:t xml:space="preserve">macht das Unterlassen der Grundrechte-Folgenabschätzung nach Art. 27 bußgeldbewehrt — die Folgenabschätzung ist damit eine durchsetzbare Pflicht der einsetzenden Stelle und keine Formalie.</w:t>
      </w:r>
    </w:p>
    <w:p>
      <w:pPr>
        <w:numPr>
          <w:ilvl w:val="0"/>
          <w:numId w:val="1040"/>
        </w:numPr>
        <w:pStyle w:val="Compact"/>
      </w:pPr>
      <w:r>
        <w:t xml:space="preserve">Der Wissenschaftliche Dienst des Bundestages bestätigt die Einstufung:</w:t>
      </w:r>
      <w:r>
        <w:t xml:space="preserve"> </w:t>
      </w:r>
      <w:r>
        <w:rPr>
          <w:iCs/>
          <w:i/>
        </w:rPr>
        <w:t xml:space="preserve">„der gesamte Anwendungsbereich Bildung als ‚hochrisikoreich’ eingestuft wurde … betrifft die Regulierung auch automatisierte Bewertungen von Lernergebnissen, etwa durch Lernplattformen oder KI-gestützte Korrektursysteme”</w:t>
      </w:r>
      <w:r>
        <w:t xml:space="preserve"> </w:t>
      </w:r>
      <w:r>
        <w:t xml:space="preserve">(WD 8 – 3000 – 004/25, 28.02.2025).</w:t>
      </w:r>
    </w:p>
    <w:bookmarkEnd w:id="146"/>
    <w:bookmarkStart w:id="147" w:name="kmk-was-sie-ist-und-was-sie-kann"/>
    <w:p>
      <w:pPr>
        <w:pStyle w:val="Heading3"/>
      </w:pPr>
      <w:r>
        <w:t xml:space="preserve">5.11 KMK — was sie ist und was sie kann</w:t>
      </w:r>
    </w:p>
    <w:p>
      <w:pPr>
        <w:pStyle w:val="FirstParagraph"/>
      </w:pPr>
      <w:r>
        <w:t xml:space="preserve">Die</w:t>
      </w:r>
      <w:r>
        <w:t xml:space="preserve"> </w:t>
      </w:r>
      <w:r>
        <w:rPr>
          <w:bCs/>
          <w:b/>
        </w:rPr>
        <w:t xml:space="preserve">Kultusministerkonferenz</w:t>
      </w:r>
      <w:r>
        <w:t xml:space="preserve"> </w:t>
      </w:r>
      <w:r>
        <w:t xml:space="preserve">bleibt der Dachname; seit dem</w:t>
      </w:r>
      <w:r>
        <w:t xml:space="preserve"> </w:t>
      </w:r>
      <w:r>
        <w:rPr>
          <w:bCs/>
          <w:b/>
        </w:rPr>
        <w:t xml:space="preserve">1. Juli 2024</w:t>
      </w:r>
      <w:r>
        <w:t xml:space="preserve"> </w:t>
      </w:r>
      <w:r>
        <w:t xml:space="preserve">bestehen darunter drei eigenständige Konferenzen —</w:t>
      </w:r>
      <w:r>
        <w:t xml:space="preserve"> </w:t>
      </w:r>
      <w:r>
        <w:rPr>
          <w:bCs/>
          <w:b/>
        </w:rPr>
        <w:t xml:space="preserve">Bildungsministerkonferenz</w:t>
      </w:r>
      <w:r>
        <w:t xml:space="preserve">, Wissenschaftsministerkonferenz, Kulturministerkonferenz. Die KI-Empfehlung vom Oktober 2024 ist korrekt als</w:t>
      </w:r>
      <w:r>
        <w:t xml:space="preserve"> </w:t>
      </w:r>
      <w:r>
        <w:rPr>
          <w:iCs/>
          <w:i/>
        </w:rPr>
        <w:t xml:space="preserve">Beschluss der Bildungsministerkonferenz vom 10.10.2024</w:t>
      </w:r>
      <w:r>
        <w:t xml:space="preserve"> </w:t>
      </w:r>
      <w:r>
        <w:t xml:space="preserve">zu zitieren, veröffentlicht durch das Sekretariat der Kultusministerkonferenz.</w:t>
      </w:r>
    </w:p>
    <w:p>
      <w:pPr>
        <w:pStyle w:val="BodyText"/>
      </w:pPr>
      <w:r>
        <w:rPr>
          <w:bCs/>
          <w:b/>
        </w:rPr>
        <w:t xml:space="preserve">Die vollständige tragende Passage</w:t>
      </w:r>
      <w:r>
        <w:t xml:space="preserve"> </w:t>
      </w:r>
      <w:r>
        <w:t xml:space="preserve">(S. 6), über den in §5.1 zitierten Satz hinaus:</w:t>
      </w:r>
    </w:p>
    <w:p>
      <w:pPr>
        <w:pStyle w:val="BlockText"/>
      </w:pPr>
      <w:r>
        <w:rPr>
          <w:iCs/>
          <w:i/>
        </w:rPr>
        <w:t xml:space="preserve">„KI-Anwendungen können den Lehrkräften aber durchaus Unterstützungspotenziale im Korrektur- und Bewertungsprozess bieten (</w:t>
      </w:r>
      <w:r>
        <w:rPr>
          <w:bCs/>
          <w:b/>
          <w:iCs/>
          <w:i/>
        </w:rPr>
        <w:t xml:space="preserve">Vorkorrektur, Korrekturassistenz</w:t>
      </w:r>
      <w:r>
        <w:rPr>
          <w:iCs/>
          <w:i/>
        </w:rPr>
        <w:t xml:space="preserve"> </w:t>
      </w:r>
      <w:r>
        <w:rPr>
          <w:iCs/>
          <w:i/>
        </w:rPr>
        <w:t xml:space="preserve">und anschließende adaptive Lernunterstützung) … Herausforderungen im Einsatz von KI-Anwendungen als Korrekturassistenz liegen u. a. in</w:t>
      </w:r>
      <w:r>
        <w:rPr>
          <w:iCs/>
          <w:i/>
        </w:rPr>
        <w:t xml:space="preserve"> </w:t>
      </w:r>
      <w:r>
        <w:rPr>
          <w:bCs/>
          <w:b/>
          <w:iCs/>
          <w:i/>
        </w:rPr>
        <w:t xml:space="preserve">Datenschutz und Datensicherheit, fehlender Transparenz und Nachvollziehbarkeit der Entscheidungsfindung sowie der Gefahr von Diskriminierung durch Bias</w:t>
      </w:r>
      <w:r>
        <w:rPr>
          <w:iCs/>
          <w:i/>
        </w:rPr>
        <w:t xml:space="preserve">. Um die Potenziale … rechtlich und ethisch einwandfrei zu realisieren,</w:t>
      </w:r>
      <w:r>
        <w:rPr>
          <w:iCs/>
          <w:i/>
        </w:rPr>
        <w:t xml:space="preserve"> </w:t>
      </w:r>
      <w:r>
        <w:rPr>
          <w:bCs/>
          <w:b/>
          <w:iCs/>
          <w:i/>
        </w:rPr>
        <w:t xml:space="preserve">bedarf es länderseits entsprechender Regelungen über einen Einsatz als Entscheidungsunterstützungssystem. Die abschließende Leistungsbewertung bleibt den Prüfenden vorbehalten.</w:t>
      </w:r>
      <w:r>
        <w:rPr>
          <w:iCs/>
          <w:i/>
        </w:rPr>
        <w:t xml:space="preserve">”</w:t>
      </w:r>
    </w:p>
    <w:p>
      <w:pPr>
        <w:pStyle w:val="FirstParagraph"/>
      </w:pPr>
      <w:r>
        <w:t xml:space="preserve">Drei Dinge geschehen darin zugleich: Der automatisierte Notenweg wird geschlossen und die beiden Gründe werden benannt; der assistive Weg wird</w:t>
      </w:r>
      <w:r>
        <w:t xml:space="preserve"> </w:t>
      </w:r>
      <w:r>
        <w:rPr>
          <w:bCs/>
          <w:b/>
        </w:rPr>
        <w:t xml:space="preserve">namentlich</w:t>
      </w:r>
      <w:r>
        <w:t xml:space="preserve"> </w:t>
      </w:r>
      <w:r>
        <w:t xml:space="preserve">geöffnet; und die daran geknüpften Bedingungen werden benannt — Datenschutz und Datensicherheit, Transparenz und Nachvollziehbarkeit der Entscheidungsfindung sowie Freiheit von Bias.</w:t>
      </w:r>
    </w:p>
    <w:p>
      <w:pPr>
        <w:pStyle w:val="BodyText"/>
      </w:pPr>
      <w:r>
        <w:t xml:space="preserve">Der Beschluss hält ferner fest, was die Länder selbst aufbauen wollen: eine</w:t>
      </w:r>
      <w:r>
        <w:t xml:space="preserve"> </w:t>
      </w:r>
      <w:r>
        <w:rPr>
          <w:iCs/>
          <w:i/>
        </w:rPr>
        <w:t xml:space="preserve">„ländergemeinsame Schnittstellenlösung zum datenschutzkonformen und kostenfreien Zugang zu LLM im schulischen Bereich”</w:t>
      </w:r>
      <w:r>
        <w:t xml:space="preserve">, damit Schulen</w:t>
      </w:r>
      <w:r>
        <w:t xml:space="preserve"> </w:t>
      </w:r>
      <w:r>
        <w:rPr>
          <w:iCs/>
          <w:i/>
        </w:rPr>
        <w:t xml:space="preserve">„von größeren Prüfaufwänden befreit”</w:t>
      </w:r>
      <w:r>
        <w:t xml:space="preserve"> </w:t>
      </w:r>
      <w:r>
        <w:t xml:space="preserve">werden, und ein</w:t>
      </w:r>
      <w:r>
        <w:t xml:space="preserve"> </w:t>
      </w:r>
      <w:r>
        <w:rPr>
          <w:iCs/>
          <w:i/>
        </w:rPr>
        <w:t xml:space="preserve">„hoheitlich betreibbares, datenschutzkonformes, für pädagogische Zwecke trainiertes … LLM (z. B. beim FWU)</w:t>
      </w:r>
      <w:r>
        <w:rPr>
          <w:iCs/>
          <w:i/>
        </w:rPr>
        <w:t xml:space="preserve">“</w:t>
      </w:r>
      <w:r>
        <w:rPr>
          <w:iCs/>
          <w:i/>
          <w:iCs/>
          <w:i/>
        </w:rPr>
        <w:t xml:space="preserve">. Der Beschluss sieht damit vor, dass der Staat die Modellebene für Schulen selbst stellt. Und zu Prüfungsformaten:</w:t>
      </w:r>
      <w:r>
        <w:rPr>
          <w:iCs/>
          <w:i/>
          <w:iCs/>
          <w:i/>
        </w:rPr>
        <w:t xml:space="preserve"> </w:t>
      </w:r>
      <w:r>
        <w:rPr>
          <w:iCs/>
          <w:i/>
        </w:rPr>
        <w:t xml:space="preserve">„Nach erfolgreicher Erprobung sind die Länderverordnungen zu Leistungsnachweisen und … Abschlussprüfungen entsprechend anzupassen.</w:t>
      </w:r>
      <w:r>
        <w:rPr>
          <w:iCs/>
          <w:i/>
        </w:rPr>
        <w:t xml:space="preserve">”</w:t>
      </w:r>
      <w:r>
        <w:t xml:space="preserve"> </w:t>
      </w:r>
      <w:r>
        <w:t xml:space="preserve">Die KMK denkt die Verordnungsanpassung bereits mit.</w:t>
      </w:r>
    </w:p>
    <w:p>
      <w:pPr>
        <w:pStyle w:val="BodyText"/>
      </w:pPr>
      <w:r>
        <w:rPr>
          <w:bCs/>
          <w:b/>
        </w:rPr>
        <w:t xml:space="preserve">Rechtliche Bindungswirkung: keine.</w:t>
      </w:r>
      <w:r>
        <w:t xml:space="preserve"> </w:t>
      </w:r>
      <w:r>
        <w:t xml:space="preserve">Die KMK sagt über sich selbst, sie</w:t>
      </w:r>
      <w:r>
        <w:t xml:space="preserve"> </w:t>
      </w:r>
      <w:r>
        <w:rPr>
          <w:iCs/>
          <w:i/>
        </w:rPr>
        <w:t xml:space="preserve">„fasst … keine Beschlüsse als Verfassungsorgan mit der daraus folgenden Rechtswirkung”</w:t>
      </w:r>
      <w:r>
        <w:t xml:space="preserve">; ihre Beschlüsse wirken als politische Verpflichtung und Richtschnur. Eine KMK-Empfehlung schafft Deckung, keine Zulassung. Das ist die direkte Antwort auf die Hälfte von Frage 6.</w:t>
      </w:r>
    </w:p>
    <w:bookmarkEnd w:id="147"/>
    <w:bookmarkStart w:id="148" w:name="Xf16930930a2e7187579592a5699baf4b9e1582f"/>
    <w:p>
      <w:pPr>
        <w:pStyle w:val="Heading3"/>
      </w:pPr>
      <w:r>
        <w:t xml:space="preserve">5.12 Das parlamentarische Verfahren in NRW — die konkreteste Öffnung in Deutschland</w:t>
      </w:r>
    </w:p>
    <w:p>
      <w:pPr>
        <w:pStyle w:val="FirstParagraph"/>
      </w:pPr>
      <w:r>
        <w:t xml:space="preserve">Die von der KMK geforderten länderseitigen Regelungen sind in Nordrhein-Westfalen inzwischen Gegenstand eines laufenden parlamentarischen Verfahrens.</w:t>
      </w:r>
      <w:r>
        <w:t xml:space="preserve"> </w:t>
      </w:r>
      <w:r>
        <w:rPr>
          <w:bCs/>
          <w:b/>
        </w:rPr>
        <w:t xml:space="preserve">Es ist jünger als jedes andere Dokument dieses Abschnitts.</w:t>
      </w:r>
    </w:p>
    <w:p>
      <w:pPr>
        <w:pStyle w:val="BodyText"/>
      </w:pPr>
      <w:r>
        <w:rPr>
          <w:bCs/>
          <w:b/>
        </w:rPr>
        <w:t xml:space="preserve">Der Antrag.</w:t>
      </w:r>
      <w:r>
        <w:t xml:space="preserve"> </w:t>
      </w:r>
      <w:r>
        <w:t xml:space="preserve">Ein Antrag der FDP-Fraktion,</w:t>
      </w:r>
      <w:r>
        <w:t xml:space="preserve"> </w:t>
      </w:r>
      <w:r>
        <w:rPr>
          <w:iCs/>
          <w:i/>
        </w:rPr>
        <w:t xml:space="preserve">Drucksache 18/18104</w:t>
      </w:r>
      <w:r>
        <w:t xml:space="preserve">, will die KI-gestützte Korrektur zum Standard machen, um Lehrkräfte zu entlasten und das Feedback zu verbessern. Sein Inhalt liegt nahe an der Architektur, die dieses Papier als rechtlich geboten beschreibt:</w:t>
      </w:r>
      <w:r>
        <w:t xml:space="preserve"> </w:t>
      </w:r>
      <w:r>
        <w:rPr>
          <w:bCs/>
          <w:b/>
        </w:rPr>
        <w:t xml:space="preserve">menschliche Letztverantwortung, transparente Kriterien, verständliches Feedback, Stichproben und zusätzliche menschliche Prüfung auf Verlangen</w:t>
      </w:r>
      <w:r>
        <w:t xml:space="preserve">, dazu Qualitäts- und Sicherheitsstandards, Datenminimierung, klare Verantwortlichkeiten, Fortbildung, Pilotierung und Anschluss an längerfristige Lernsysteme.</w:t>
      </w:r>
    </w:p>
    <w:p>
      <w:pPr>
        <w:pStyle w:val="BodyText"/>
      </w:pPr>
      <w:r>
        <w:rPr>
          <w:bCs/>
          <w:b/>
        </w:rPr>
        <w:t xml:space="preserve">Sein Status, präzise benannt.</w:t>
      </w:r>
      <w:r>
        <w:t xml:space="preserve"> </w:t>
      </w:r>
      <w:r>
        <w:t xml:space="preserve">Eine Drucksache ist ein parlamentarischer Antrag.</w:t>
      </w:r>
      <w:r>
        <w:t xml:space="preserve"> </w:t>
      </w:r>
      <w:r>
        <w:rPr>
          <w:bCs/>
          <w:b/>
        </w:rPr>
        <w:t xml:space="preserve">Er ändert kein Schulrecht und lässt keinen Anbieter zu.</w:t>
      </w:r>
      <w:r>
        <w:t xml:space="preserve"> </w:t>
      </w:r>
      <w:r>
        <w:t xml:space="preserve">Die Annahme, eine konsistentere Bewertung werde Streitigkeiten verringern, ist ein erwarteter Nutzen, keine feststehende Rechtsfolge. Er darf nicht als Genehmigung dargestellt werden.</w:t>
      </w:r>
    </w:p>
    <w:p>
      <w:pPr>
        <w:pStyle w:val="BodyText"/>
      </w:pPr>
      <w:r>
        <w:rPr>
          <w:bCs/>
          <w:b/>
        </w:rPr>
        <w:t xml:space="preserve">Was die Anhörung erbracht hat.</w:t>
      </w:r>
      <w:r>
        <w:t xml:space="preserve"> </w:t>
      </w:r>
      <w:r>
        <w:t xml:space="preserve">Neun Stellungnahmen wurden eingereicht. Es handelt sich um Stellungnahmen zu einer Anhörung — nicht um Urteile und nicht um verbindliche Verwaltungsentscheidungen —, zusammengenommen aber um das Nächstliegende zu einer veröffentlichten Aufstellung dessen, was der deutsche Schulsektor von einem KI-gestützten Bewertungssystem verlangen wird.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Stellungnahme</w:t>
            </w:r>
          </w:p>
        </w:tc>
        <w:tc>
          <w:tcPr/>
          <w:p>
            <w:pPr>
              <w:pStyle w:val="Compact"/>
              <w:jc w:val="left"/>
            </w:pPr>
            <w:r>
              <w:t xml:space="preserve">Beitrag</w:t>
            </w:r>
          </w:p>
        </w:tc>
      </w:tr>
      <w:tr>
        <w:tc>
          <w:tcPr/>
          <w:p>
            <w:pPr>
              <w:pStyle w:val="Compact"/>
              <w:jc w:val="left"/>
            </w:pPr>
            <w:r>
              <w:rPr>
                <w:bCs/>
                <w:b/>
              </w:rPr>
              <w:t xml:space="preserve">Alicia Kloppenburg, Ruhr-Universität Bochum — 18/3853</w:t>
            </w:r>
            <w:r>
              <w:t xml:space="preserve"> </w:t>
            </w:r>
            <w:r>
              <w:t xml:space="preserve">(13 Seiten, 6. Juni 2026)</w:t>
            </w:r>
          </w:p>
        </w:tc>
        <w:tc>
          <w:tcPr/>
          <w:p>
            <w:pPr>
              <w:pStyle w:val="Compact"/>
              <w:jc w:val="left"/>
            </w:pPr>
            <w:r>
              <w:t xml:space="preserve">Die klarste Rechtsanalyse des Sets. Zitiert § 57 Abs. 1 SchulG NRW und §§ 5 Abs. 1, 10 Abs. 1 ADO für die Bewertungsverantwortung der Lehrkraft; hält die</w:t>
            </w:r>
            <w:r>
              <w:t xml:space="preserve"> </w:t>
            </w:r>
            <w:r>
              <w:rPr>
                <w:bCs/>
                <w:b/>
              </w:rPr>
              <w:t xml:space="preserve">vollständige Delegation für unzulässig und Unterstützung für möglich</w:t>
            </w:r>
            <w:r>
              <w:t xml:space="preserve">; prüft Art. 6/Anhang III KI-VO und die eng begrenzten Ausnahmen; benennt das Risiko, dass eine</w:t>
            </w:r>
            <w:r>
              <w:t xml:space="preserve"> </w:t>
            </w:r>
            <w:r>
              <w:rPr>
                <w:bCs/>
                <w:b/>
              </w:rPr>
              <w:t xml:space="preserve">Schule beim Zweckändern eines Allzwecksystems selbst Anbieterpflichten übernimmt</w:t>
            </w:r>
            <w:r>
              <w:t xml:space="preserve">; hält nach Art. 22 DSGVO die substanzielle eigenständige Beurteilung für maßgeblich und</w:t>
            </w:r>
            <w:r>
              <w:t xml:space="preserve"> </w:t>
            </w:r>
            <w:r>
              <w:rPr>
                <w:bCs/>
                <w:b/>
              </w:rPr>
              <w:t xml:space="preserve">eine oberflächliche Kontrolle oder formale Freigabe für unzureichend</w:t>
            </w:r>
            <w:r>
              <w:t xml:space="preserve">; empfiehlt, dass Lehrkräfte sich</w:t>
            </w:r>
            <w:r>
              <w:t xml:space="preserve"> </w:t>
            </w:r>
            <w:r>
              <w:rPr>
                <w:bCs/>
                <w:b/>
              </w:rPr>
              <w:t xml:space="preserve">ihre Bewertung bilden, bevor sie die KI hinzuziehen</w:t>
            </w:r>
            <w:r>
              <w:t xml:space="preserve">, um Ankereffekte zu verringern; unterscheidet Einzelnoten von Verwaltungsakten, hält erhebliche Auswirkungen aber in beiden Fällen für möglich; und behandelt Einwilligungsprobleme, Rechenschaft, Aufbewahrung und die Finanzierung von Anbietern durch Schulen nach §§ 92–94 SchulG.</w:t>
            </w:r>
          </w:p>
        </w:tc>
      </w:tr>
      <w:tr>
        <w:tc>
          <w:tcPr/>
          <w:p>
            <w:pPr>
              <w:pStyle w:val="Compact"/>
              <w:jc w:val="left"/>
            </w:pPr>
            <w:r>
              <w:rPr>
                <w:bCs/>
                <w:b/>
              </w:rPr>
              <w:t xml:space="preserve">Philologenverband NRW — 18/3786</w:t>
            </w:r>
          </w:p>
        </w:tc>
        <w:tc>
          <w:tcPr/>
          <w:p>
            <w:pPr>
              <w:pStyle w:val="Compact"/>
              <w:jc w:val="left"/>
            </w:pPr>
            <w:r>
              <w:t xml:space="preserve">Akzeptiert Unterstützung unter angemessenen Bedingungen und lehnt eine verpflichtende Standardisierung ab. Verlangt</w:t>
            </w:r>
            <w:r>
              <w:t xml:space="preserve"> </w:t>
            </w:r>
            <w:r>
              <w:rPr>
                <w:bCs/>
                <w:b/>
              </w:rPr>
              <w:t xml:space="preserve">erklärbare und überprüfbare</w:t>
            </w:r>
            <w:r>
              <w:t xml:space="preserve"> </w:t>
            </w:r>
            <w:r>
              <w:t xml:space="preserve">Bewertung. Zitiert die NRW-Ministeriumsleitlinie als nur unterstützend erlaubend und die Übermittlung personenbezogener Schülerdaten untersagend. Warnt, dass eine formale menschliche Letztverantwortung durch</w:t>
            </w:r>
            <w:r>
              <w:t xml:space="preserve"> </w:t>
            </w:r>
            <w:r>
              <w:rPr>
                <w:bCs/>
                <w:b/>
              </w:rPr>
              <w:t xml:space="preserve">praktische Abhängigkeit</w:t>
            </w:r>
            <w:r>
              <w:t xml:space="preserve"> </w:t>
            </w:r>
            <w:r>
              <w:t xml:space="preserve">unterlaufen werden kann — der in Befund 12 festgehaltene Punkt, aus Sicht der Lehrerschaft.</w:t>
            </w:r>
          </w:p>
        </w:tc>
      </w:tr>
      <w:tr>
        <w:tc>
          <w:tcPr/>
          <w:p>
            <w:pPr>
              <w:pStyle w:val="Compact"/>
              <w:jc w:val="left"/>
            </w:pPr>
            <w:r>
              <w:rPr>
                <w:bCs/>
                <w:b/>
              </w:rPr>
              <w:t xml:space="preserve">lehrer nrw — 18/3828</w:t>
            </w:r>
          </w:p>
        </w:tc>
        <w:tc>
          <w:tcPr/>
          <w:p>
            <w:pPr>
              <w:pStyle w:val="Compact"/>
              <w:jc w:val="left"/>
            </w:pPr>
            <w:r>
              <w:t xml:space="preserve">Fordert</w:t>
            </w:r>
            <w:r>
              <w:t xml:space="preserve"> </w:t>
            </w:r>
            <w:r>
              <w:rPr>
                <w:bCs/>
                <w:b/>
              </w:rPr>
              <w:t xml:space="preserve">Freiwilligkeit</w:t>
            </w:r>
            <w:r>
              <w:t xml:space="preserve">, klare Haftungs- und Widerspruchsverfahren, transparente Qualitätsstandards und staatlich kontrollierte Datenschutzvorkehrungen. Weist auf Längsschnitt-Leistungsprofile und die Lücke zwischen Verantwortung und tatsächlicher Kontrolle hin. Der Einwand gegen kommerzielle Verarbeitung ist eine verbandspolitische Position, kein gesetzliches Verbot kommerzieller Anbieter.</w:t>
            </w:r>
          </w:p>
        </w:tc>
      </w:tr>
      <w:tr>
        <w:tc>
          <w:tcPr/>
          <w:p>
            <w:pPr>
              <w:pStyle w:val="Compact"/>
              <w:jc w:val="left"/>
            </w:pPr>
            <w:r>
              <w:rPr>
                <w:bCs/>
                <w:b/>
              </w:rPr>
              <w:t xml:space="preserve">vlbs NRW — 18/3870</w:t>
            </w:r>
          </w:p>
        </w:tc>
        <w:tc>
          <w:tcPr/>
          <w:p>
            <w:pPr>
              <w:pStyle w:val="Compact"/>
              <w:jc w:val="left"/>
            </w:pPr>
            <w:r>
              <w:t xml:space="preserve">Die unmittelbar systemprägendste Stellungnahme: Dokumentation von</w:t>
            </w:r>
            <w:r>
              <w:t xml:space="preserve"> </w:t>
            </w:r>
            <w:r>
              <w:rPr>
                <w:bCs/>
                <w:b/>
              </w:rPr>
              <w:t xml:space="preserve">Kriterien, Gewichtungen, übernommenen und geänderten Vorschlägen sowie den menschlichen Gründen</w:t>
            </w:r>
            <w:r>
              <w:t xml:space="preserve">; Widerspruch, gerichtliche Überprüfung und</w:t>
            </w:r>
            <w:r>
              <w:t xml:space="preserve"> </w:t>
            </w:r>
            <w:r>
              <w:rPr>
                <w:bCs/>
                <w:b/>
              </w:rPr>
              <w:t xml:space="preserve">Archivierung</w:t>
            </w:r>
            <w:r>
              <w:t xml:space="preserve">. Warnt vor Folgen für Abschlüsse und Berufswege. Zwei ihrer Aussagen sind zu relativieren — dass Lehrkräfte allein haften (§7.1) und dass Schülerkennungen anonymisieren (§3.10).</w:t>
            </w:r>
          </w:p>
        </w:tc>
      </w:tr>
      <w:tr>
        <w:tc>
          <w:tcPr/>
          <w:p>
            <w:pPr>
              <w:pStyle w:val="Compact"/>
              <w:jc w:val="left"/>
            </w:pPr>
            <w:r>
              <w:rPr>
                <w:bCs/>
                <w:b/>
              </w:rPr>
              <w:t xml:space="preserve">VBE NRW — 18/3861</w:t>
            </w:r>
          </w:p>
        </w:tc>
        <w:tc>
          <w:tcPr/>
          <w:p>
            <w:pPr>
              <w:pStyle w:val="Compact"/>
              <w:jc w:val="left"/>
            </w:pPr>
            <w:r>
              <w:t xml:space="preserve">Unabhängige Prüfung durch die Lehrkraft, Schutz vor Bias,</w:t>
            </w:r>
            <w:r>
              <w:t xml:space="preserve"> </w:t>
            </w:r>
            <w:r>
              <w:rPr>
                <w:bCs/>
                <w:b/>
              </w:rPr>
              <w:t xml:space="preserve">zugelassene und rechtlich abgesicherte Infrastruktur</w:t>
            </w:r>
            <w:r>
              <w:t xml:space="preserve"> </w:t>
            </w:r>
            <w:r>
              <w:t xml:space="preserve">und keine Verlagerung ungeklärter Systemcompliance auf einzelne Schulen. Warnt vor dauerhaften Bildungsprofilen.</w:t>
            </w:r>
          </w:p>
        </w:tc>
      </w:tr>
      <w:tr>
        <w:tc>
          <w:tcPr/>
          <w:p>
            <w:pPr>
              <w:pStyle w:val="Compact"/>
              <w:jc w:val="left"/>
            </w:pPr>
            <w:r>
              <w:rPr>
                <w:bCs/>
                <w:b/>
              </w:rPr>
              <w:t xml:space="preserve">GEW NRW — 18/3872</w:t>
            </w:r>
          </w:p>
        </w:tc>
        <w:tc>
          <w:tcPr/>
          <w:p>
            <w:pPr>
              <w:pStyle w:val="Compact"/>
              <w:jc w:val="left"/>
            </w:pPr>
            <w:r>
              <w:t xml:space="preserve">Bezweifelt, ob</w:t>
            </w:r>
            <w:r>
              <w:t xml:space="preserve"> </w:t>
            </w:r>
            <w:r>
              <w:rPr>
                <w:bCs/>
                <w:b/>
              </w:rPr>
              <w:t xml:space="preserve">Stichproben</w:t>
            </w:r>
            <w:r>
              <w:t xml:space="preserve"> </w:t>
            </w:r>
            <w:r>
              <w:t xml:space="preserve">die menschliche Verantwortung hinreichend wahren — unmittelbar relevant, denn die Stichprobe ist die naheliegende Effizienzabkürzung, und hier zeigt sich, dass sie bestritten wird. Behandelt ferner Verarbeitung, Speicherung und Drittzugriff; fachspezifische Prüfungsregeln; und</w:t>
            </w:r>
            <w:r>
              <w:t xml:space="preserve"> </w:t>
            </w:r>
            <w:r>
              <w:rPr>
                <w:bCs/>
                <w:b/>
              </w:rPr>
              <w:t xml:space="preserve">mögliche urheberrechtliche Fragen, wenn Schulbuchinhalte in Modelle eingegeben werden</w:t>
            </w:r>
            <w:r>
              <w:t xml:space="preserve"> </w:t>
            </w:r>
            <w:r>
              <w:t xml:space="preserve">— ein in diesem Papier sonst nicht erfasstes Risiko. Lehnt eine verpflichtende Routinenutzung ab.</w:t>
            </w:r>
          </w:p>
        </w:tc>
      </w:tr>
      <w:tr>
        <w:tc>
          <w:tcPr/>
          <w:p>
            <w:pPr>
              <w:pStyle w:val="Compact"/>
              <w:jc w:val="left"/>
            </w:pPr>
            <w:r>
              <w:rPr>
                <w:bCs/>
                <w:b/>
              </w:rPr>
              <w:t xml:space="preserve">edaira GmbH — 18/3823</w:t>
            </w:r>
          </w:p>
        </w:tc>
        <w:tc>
          <w:tcPr/>
          <w:p>
            <w:pPr>
              <w:pStyle w:val="Compact"/>
              <w:jc w:val="left"/>
            </w:pPr>
            <w:r>
              <w:t xml:space="preserve">Eine Anbieterstellungnahme. Fordert eine Ministeriumsregelung zu zulässigen Bewertungsarten, zentraler Datenschutzdokumentation und Modellvorgaben; beschreibt Prüfschritte, Lehrkrafterklärungen und KI-Kennzeichnung bei Exporten. Sie behauptet, deutsches/EU-Hosting und das Fehlen personenbezogener Schülerdaten stellten die Rechtskonformität sicher.</w:t>
            </w:r>
            <w:r>
              <w:t xml:space="preserve"> </w:t>
            </w:r>
            <w:r>
              <w:rPr>
                <w:bCs/>
                <w:b/>
              </w:rPr>
              <w:t xml:space="preserve">Das sind Anbieterbehauptungen, keine unabhängige Zertifizierung:</w:t>
            </w:r>
            <w:r>
              <w:t xml:space="preserve"> </w:t>
            </w:r>
            <w:r>
              <w:t xml:space="preserve">Hosting, Klickstrecken und Erklärungen begründen für sich genommen weder eine rechtmäßige Verarbeitung noch eine aussagekräftige Prüfung.</w:t>
            </w:r>
          </w:p>
        </w:tc>
      </w:tr>
      <w:tr>
        <w:tc>
          <w:tcPr/>
          <w:p>
            <w:pPr>
              <w:pStyle w:val="Compact"/>
              <w:jc w:val="left"/>
            </w:pPr>
            <w:r>
              <w:rPr>
                <w:bCs/>
                <w:b/>
              </w:rPr>
              <w:t xml:space="preserve">Claudia Schrader — 18/3857</w:t>
            </w:r>
          </w:p>
        </w:tc>
        <w:tc>
          <w:tcPr/>
          <w:p>
            <w:pPr>
              <w:pStyle w:val="Compact"/>
              <w:jc w:val="left"/>
            </w:pPr>
            <w:r>
              <w:t xml:space="preserve">Nimmt ausdrücklich keine rechtliche Prüfung vor. Benennt offene Fragen zu Datenkategorien, Speicherung, Zugriff, Anonymisierung/Pseudonymisierung und Dokumentation. Unterscheidet</w:t>
            </w:r>
            <w:r>
              <w:t xml:space="preserve"> </w:t>
            </w:r>
            <w:r>
              <w:rPr>
                <w:bCs/>
                <w:b/>
              </w:rPr>
              <w:t xml:space="preserve">formative Unterstützung von folgenreicher summativer Bewertung</w:t>
            </w:r>
            <w:r>
              <w:t xml:space="preserve"> </w:t>
            </w:r>
            <w:r>
              <w:t xml:space="preserve">— dieselbe Linie, die dieses Papier in §3.5 zieht.</w:t>
            </w:r>
          </w:p>
        </w:tc>
      </w:tr>
      <w:tr>
        <w:tc>
          <w:tcPr/>
          <w:p>
            <w:pPr>
              <w:pStyle w:val="Compact"/>
              <w:jc w:val="left"/>
            </w:pPr>
            <w:r>
              <w:rPr>
                <w:bCs/>
                <w:b/>
              </w:rPr>
              <w:t xml:space="preserve">Hendrik Haverkamp / Benedikt Wisniewski — 18/3777</w:t>
            </w:r>
          </w:p>
        </w:tc>
        <w:tc>
          <w:tcPr/>
          <w:p>
            <w:pPr>
              <w:pStyle w:val="Compact"/>
              <w:jc w:val="left"/>
            </w:pPr>
            <w:r>
              <w:t xml:space="preserve">Eine Auswertung der Forschung zu Reliabilität, Validität und Fairness, keine rechtliche Freigabe. Relevant für den</w:t>
            </w:r>
            <w:r>
              <w:t xml:space="preserve"> </w:t>
            </w:r>
            <w:r>
              <w:rPr>
                <w:bCs/>
                <w:b/>
              </w:rPr>
              <w:t xml:space="preserve">Nachweis der Bewertungsqualität</w:t>
            </w:r>
            <w:r>
              <w:t xml:space="preserve">, also für die nach §12.2 erforderliche Evidenzbasis.</w:t>
            </w:r>
          </w:p>
        </w:tc>
      </w:tr>
    </w:tbl>
    <w:p>
      <w:pPr>
        <w:pStyle w:val="BodyText"/>
      </w:pPr>
      <w:r>
        <w:rPr>
          <w:bCs/>
          <w:b/>
        </w:rPr>
        <w:t xml:space="preserve">Wie das Set als Ganzes zu lesen ist.</w:t>
      </w:r>
      <w:r>
        <w:t xml:space="preserve"> </w:t>
      </w:r>
      <w:r>
        <w:t xml:space="preserve">Niemand darin hält die KI-gestützte Korrektur für grundsätzlich unzulässig. Alle Beteiligten konvergieren auf dieselben vier Forderungen: Die Lehrkraft muss tatsächlich entscheiden; die Begründung muss erklärbar und überprüfbar sein; der Datenweg muss kontrolliert und möglichst staatlich kontrolliert sein; und die Nutzung darf nicht verpflichtend werden. Das ist dieselbe Regelung zum</w:t>
      </w:r>
      <w:r>
        <w:t xml:space="preserve"> </w:t>
      </w:r>
      <w:r>
        <w:rPr>
          <w:iCs/>
          <w:i/>
        </w:rPr>
        <w:t xml:space="preserve">Entscheidungsunterstützungssystem</w:t>
      </w:r>
      <w:r>
        <w:t xml:space="preserve">, die die KMK gefordert hat, nunmehr eingefordert von dem Sektor, der damit arbeiten müsste.</w:t>
      </w:r>
    </w:p>
    <w:p>
      <w:pPr>
        <w:pStyle w:val="BodyText"/>
      </w:pPr>
      <w:r>
        <w:t xml:space="preserve">Der Ausgang des Antrags und eine etwaige nachfolgende Ministeriumsregelung wären die maßgebliche Entwicklung für das Land.</w:t>
      </w:r>
      <w:r>
        <w:t xml:space="preserve"> </w:t>
      </w:r>
      <w:r>
        <w:rPr>
          <w:iCs/>
          <w:i/>
        </w:rPr>
        <w:t xml:space="preserve">(Die Stellungnahmen wurden für diese Prüfung in Zusammenfassung ausgewertet, nicht im Volltext; das Gutachten Kloppenburg sollte im Original gelesen werden, bevor auf seine Paragraphenangaben gestützt wird — siehe §14.)</w:t>
      </w:r>
    </w:p>
    <w:bookmarkEnd w:id="148"/>
    <w:bookmarkEnd w:id="149"/>
    <w:bookmarkStart w:id="150" w:name="X2d973275da54ff4688459fdaffe2ba2ef0733a4"/>
    <w:p>
      <w:pPr>
        <w:pStyle w:val="Heading2"/>
      </w:pPr>
      <w:r>
        <w:t xml:space="preserve">6. Frage 4 — Warum ist KI-Verarbeitung rechtlich etwas anderes als normale Datenverarbeitung?</w:t>
      </w:r>
    </w:p>
    <w:p>
      <w:pPr>
        <w:pStyle w:val="FirstParagraph"/>
      </w:pPr>
      <w:r>
        <w:t xml:space="preserve">Der übliche Einwand lautet, Tabellenkalkulationen rechneten seit dreißig Jahren Noten aus, neu sei daran nichts. Sieben Antworten.</w:t>
      </w:r>
    </w:p>
    <w:p>
      <w:pPr>
        <w:pStyle w:val="BodyText"/>
      </w:pPr>
      <w:r>
        <w:rPr>
          <w:bCs/>
          <w:b/>
        </w:rPr>
        <w:t xml:space="preserve">(i) Art. 22 DSGVO hat eine Schwelle, die bloßes Rechnen nie überschreitet.</w:t>
      </w:r>
      <w:r>
        <w:t xml:space="preserve"> </w:t>
      </w:r>
      <w:r>
        <w:t xml:space="preserve">Eine Tabelle, die von der Lehrkraft eingegebene Punkte summiert, ist keine ausschließlich automatisierte Entscheidung: Der Mensch hat jeden Eingabewert erzeugt, und Arithmetik ist keine Bewertung. Ein Modell, das eine Freitextantwort liest und</w:t>
      </w:r>
      <w:r>
        <w:t xml:space="preserve"> </w:t>
      </w:r>
      <w:r>
        <w:rPr>
          <w:iCs/>
          <w:i/>
        </w:rPr>
        <w:t xml:space="preserve">beurteilt</w:t>
      </w:r>
      <w:r>
        <w:t xml:space="preserve">, erzeugt den Bewertungsgehalt selbst. Das Regime ist</w:t>
      </w:r>
      <w:r>
        <w:t xml:space="preserve"> </w:t>
      </w:r>
      <w:r>
        <w:rPr>
          <w:bCs/>
          <w:b/>
        </w:rPr>
        <w:t xml:space="preserve">diskontinuierlich, nicht graduell</w:t>
      </w:r>
      <w:r>
        <w:t xml:space="preserve"> </w:t>
      </w:r>
      <w:r>
        <w:t xml:space="preserve">— deshalb ist „das ist nur ein besserer Taschenrechner” rechtlich falsch, was immer es technisch taugt. Und</w:t>
      </w:r>
      <w:r>
        <w:t xml:space="preserve"> </w:t>
      </w:r>
      <w:r>
        <w:rPr>
          <w:iCs/>
          <w:i/>
        </w:rPr>
        <w:t xml:space="preserve">SCHUFA</w:t>
      </w:r>
      <w:r>
        <w:t xml:space="preserve"> </w:t>
      </w:r>
      <w:r>
        <w:t xml:space="preserve">bedeutet, dass die Schwelle nicht durch Einschieben eines nominellen Menschen rückwärts überschritten werden kann: Der Maßstab ist verhaltensbezogen, mithin bestimmt die</w:t>
      </w:r>
      <w:r>
        <w:t xml:space="preserve"> </w:t>
      </w:r>
      <w:r>
        <w:rPr>
          <w:iCs/>
          <w:i/>
        </w:rPr>
        <w:t xml:space="preserve">Wirksamkeit</w:t>
      </w:r>
      <w:r>
        <w:t xml:space="preserve"> </w:t>
      </w:r>
      <w:r>
        <w:t xml:space="preserve">des Werkzeugs die</w:t>
      </w:r>
      <w:r>
        <w:t xml:space="preserve"> </w:t>
      </w:r>
      <w:r>
        <w:rPr>
          <w:iCs/>
          <w:i/>
        </w:rPr>
        <w:t xml:space="preserve">Anwendbarkeit</w:t>
      </w:r>
      <w:r>
        <w:t xml:space="preserve"> </w:t>
      </w:r>
      <w:r>
        <w:t xml:space="preserve">des Regimes.</w:t>
      </w:r>
    </w:p>
    <w:p>
      <w:pPr>
        <w:pStyle w:val="BodyText"/>
      </w:pPr>
      <w:r>
        <w:rPr>
          <w:bCs/>
          <w:b/>
        </w:rPr>
        <w:t xml:space="preserve">(ii) Die DSFA wird vom Ermessen zur faktischen Pflicht.</w:t>
      </w:r>
      <w:r>
        <w:t xml:space="preserve"> </w:t>
      </w:r>
      <w:r>
        <w:t xml:space="preserve">Bei einer Tabelle endet die Vorprüfung nach Art. 35 regelmäßig mit „kein hohes Risiko”. Bei KI greifen drei Auslöser gleichzeitig (§3.6). Der Dreh- und Angelpunkt ist, dass</w:t>
      </w:r>
      <w:r>
        <w:t xml:space="preserve"> </w:t>
      </w:r>
      <w:r>
        <w:rPr>
          <w:bCs/>
          <w:b/>
        </w:rPr>
        <w:t xml:space="preserve">Neuheit selbst ein Risikofaktor</w:t>
      </w:r>
      <w:r>
        <w:t xml:space="preserve"> </w:t>
      </w:r>
      <w:r>
        <w:t xml:space="preserve">des europäischen Datenschutzrechts ist — Art. 35 Abs. 1 nennt „insbesondere bei Verwendung neuer Technologien”, WP248 Kriterium 8 lautet „innovative Nutzung”. Keine andere Werkzeugkategorie wird dafür sanktioniert, neu zu sein.</w:t>
      </w:r>
    </w:p>
    <w:p>
      <w:pPr>
        <w:pStyle w:val="BodyText"/>
      </w:pPr>
      <w:r>
        <w:rPr>
          <w:bCs/>
          <w:b/>
        </w:rPr>
        <w:t xml:space="preserve">(iii) Ein vollständiges zweites Gesetz tritt hinzu, mit Produktsicherheitsarchitektur.</w:t>
      </w:r>
      <w:r>
        <w:t xml:space="preserve"> </w:t>
      </w:r>
      <w:r>
        <w:t xml:space="preserve">Das ist der größte Bruch und derjenige, der Softwareteams am meisten überrascht. Eine Tabelle unterliegt Vertrag, DSGVO und allgemeinem Deliktsrecht. Ein KI-Korrektursystem unterliegt zusätzlich einem Regime des Neuen Rechtsrahmens: Konformitätsbewertung vor dem Inverkehrbringen; eine förmliche</w:t>
      </w:r>
      <w:r>
        <w:t xml:space="preserve"> </w:t>
      </w:r>
      <w:r>
        <w:rPr>
          <w:bCs/>
          <w:b/>
        </w:rPr>
        <w:t xml:space="preserve">EU-Konformitätserklärung</w:t>
      </w:r>
      <w:r>
        <w:t xml:space="preserve">, die der Anbieter unterzeichnet;</w:t>
      </w:r>
      <w:r>
        <w:t xml:space="preserve"> </w:t>
      </w:r>
      <w:r>
        <w:rPr>
          <w:bCs/>
          <w:b/>
        </w:rPr>
        <w:t xml:space="preserve">CE-Kennzeichnung</w:t>
      </w:r>
      <w:r>
        <w:t xml:space="preserve"> </w:t>
      </w:r>
      <w:r>
        <w:t xml:space="preserve">— dasselbe Zeichen wie auf einem Toaster oder einem Aufzug; Registrierung in einer</w:t>
      </w:r>
      <w:r>
        <w:t xml:space="preserve"> </w:t>
      </w:r>
      <w:r>
        <w:rPr>
          <w:bCs/>
          <w:b/>
        </w:rPr>
        <w:t xml:space="preserve">öffentlichen EU-Datenbank</w:t>
      </w:r>
      <w:r>
        <w:t xml:space="preserve">; ein</w:t>
      </w:r>
      <w:r>
        <w:t xml:space="preserve"> </w:t>
      </w:r>
      <w:r>
        <w:rPr>
          <w:bCs/>
          <w:b/>
        </w:rPr>
        <w:t xml:space="preserve">Qualitätsmanagementsystem</w:t>
      </w:r>
      <w:r>
        <w:t xml:space="preserve">; Beobachtung nach dem Inverkehrbringen und Meldung schwerwiegender Vorfälle in Fristen von 15/10/2 Tagen; und Marktüberwachungsbehörden mit der Befugnis, Unterlagen zu verlangen, zu testen und das Produkt vom Markt zu nehmen. Das ist eine organisatorische, keine juristische Änderung: Jemand muss das QMS verantworten, jemand die Erklärung unterzeichnen, und in irgendeinem Kalender muss die 15-Tage-Frist stehen.</w:t>
      </w:r>
    </w:p>
    <w:p>
      <w:pPr>
        <w:pStyle w:val="BodyText"/>
      </w:pPr>
      <w:r>
        <w:rPr>
          <w:bCs/>
          <w:b/>
        </w:rPr>
        <w:t xml:space="preserve">(iv) Trainingsdaten und Sekundärnutzung kollidieren mit der Zweckbindung.</w:t>
      </w:r>
      <w:r>
        <w:t xml:space="preserve"> </w:t>
      </w:r>
      <w:r>
        <w:t xml:space="preserve">Eine Tabelle lernt nicht. Ein Modell schon, und der Anreiz, es auf Kundenarbeiten zu verbessern, ist strukturell. Zweckbindung, die für Verantwortliche nach Art. 6 Abs. 1 Buchst. e verengte Vereinbarkeitsprüfung und die EDSA-Stellungnahme 28/2024 führen zusammen dazu, dass</w:t>
      </w:r>
      <w:r>
        <w:t xml:space="preserve"> </w:t>
      </w:r>
      <w:r>
        <w:rPr>
          <w:bCs/>
          <w:b/>
        </w:rPr>
        <w:t xml:space="preserve">die natürlichste Produktverbesserungsschleife der rechtlich gefährlichste Weg ist, der einem Anbieter offensteht</w:t>
      </w:r>
      <w:r>
        <w:t xml:space="preserve">. Art. 10 KI-VO fügt dem eine positive</w:t>
      </w:r>
      <w:r>
        <w:t xml:space="preserve"> </w:t>
      </w:r>
      <w:r>
        <w:rPr>
          <w:iCs/>
          <w:i/>
        </w:rPr>
        <w:t xml:space="preserve">Pflicht</w:t>
      </w:r>
      <w:r>
        <w:t xml:space="preserve"> </w:t>
      </w:r>
      <w:r>
        <w:t xml:space="preserve">zu Herkunft, Repräsentativität und Verzerrungseigenschaften dieser Daten hinzu — ohne Entsprechung bei herkömmlicher Software.</w:t>
      </w:r>
    </w:p>
    <w:p>
      <w:pPr>
        <w:pStyle w:val="BodyText"/>
      </w:pPr>
      <w:r>
        <w:rPr>
          <w:bCs/>
          <w:b/>
        </w:rPr>
        <w:t xml:space="preserve">(v) Erklärbarkeit trifft auf das Begründungserfordernis des Verwaltungs- und Prüfungsrechts.</w:t>
      </w:r>
      <w:r>
        <w:t xml:space="preserve"> </w:t>
      </w:r>
      <w:r>
        <w:t xml:space="preserve">Zwei Anforderungen laufen zusammen. Datenschutzrechtlich verlangt</w:t>
      </w:r>
      <w:r>
        <w:t xml:space="preserve"> </w:t>
      </w:r>
      <w:r>
        <w:rPr>
          <w:iCs/>
          <w:i/>
        </w:rPr>
        <w:t xml:space="preserve">Dun &amp; Bradstreet</w:t>
      </w:r>
      <w:r>
        <w:t xml:space="preserve"> </w:t>
      </w:r>
      <w:r>
        <w:t xml:space="preserve">„das Verfahren und die Grundsätze, die tatsächlich angewandt wurden”. Prüfungsrechtlich muss der Prüfer gerichtlich überprüfbare Gründe geben und im Überdenkensverfahren — Monate später — sein Urteil</w:t>
      </w:r>
      <w:r>
        <w:t xml:space="preserve"> </w:t>
      </w:r>
      <w:r>
        <w:rPr>
          <w:iCs/>
          <w:i/>
        </w:rPr>
        <w:t xml:space="preserve">erneut ausüben</w:t>
      </w:r>
      <w:r>
        <w:t xml:space="preserve">. Ein Modell, das „7/10” ohne Begründung ausgibt, ist daher nicht bloß wenig hilfreich;</w:t>
      </w:r>
      <w:r>
        <w:t xml:space="preserve"> </w:t>
      </w:r>
      <w:r>
        <w:rPr>
          <w:bCs/>
          <w:b/>
        </w:rPr>
        <w:t xml:space="preserve">es hindert die einsetzende Behörde daran, ihre eigene Rechtspflicht zu erfüllen.</w:t>
      </w:r>
      <w:r>
        <w:t xml:space="preserve"> </w:t>
      </w:r>
      <w:r>
        <w:t xml:space="preserve">Kriterienbezogene Begründungserzeugung ist eine Rechtsanforderung an ein solches System, keine Funktion. Praktisch heißt das: ein dauerhafter, exportierbarer Prüfpfad je Arbeit — Originalscan, Rasterversion, Modellversion, Vorschlag, Änderungen der Lehrkraft, Endnote und Gründe — also genau das, was auch Art. 12 KI-VO verlangen wird.</w:t>
      </w:r>
    </w:p>
    <w:p>
      <w:pPr>
        <w:pStyle w:val="BodyText"/>
      </w:pPr>
      <w:r>
        <w:rPr>
          <w:bCs/>
          <w:b/>
        </w:rPr>
        <w:t xml:space="preserve">(vi) Genauigkeit und Bias werden zu gemessenen, ausgewiesenen und gepflegten Eigenschaften.</w:t>
      </w:r>
      <w:r>
        <w:t xml:space="preserve"> </w:t>
      </w:r>
      <w:r>
        <w:t xml:space="preserve">Die Arithmetik einer Tabelle ist richtig oder ein Fehler. Die Genauigkeit eines Modells ist eine statistische Eigenschaft und unterliegt Art. 15 KI-VO (ausgewiesene Kennzahlen in der Betriebsanleitung), Art. 10 Abs. 2 Buchst. f–g (Untersuchung und Minderung von Verzerrungen), Art. 10 Abs. 3 (repräsentative, fehlerfreie, vollständige Datensätze), Art. 10 Abs. 4 (kontextspezifische Validierung) sowie Art. 5 Abs. 1 Buchst. a und d DSGVO.</w:t>
      </w:r>
      <w:r>
        <w:t xml:space="preserve"> </w:t>
      </w:r>
      <w:r>
        <w:rPr>
          <w:bCs/>
          <w:b/>
        </w:rPr>
        <w:t xml:space="preserve">Niemand musste je nachweisen, dass eine Tabellenkalkulation dialektneutral ist.</w:t>
      </w:r>
      <w:r>
        <w:t xml:space="preserve"> </w:t>
      </w:r>
      <w:r>
        <w:t xml:space="preserve">Ein Anbieter muss nachweisen können, dass das Modell nicht systematisch strenger gegenüber nichtmuttersprachlicher Syntax, legasthener Orthographie oder unsauberer Handschrift ist — und muss diesen Nachweis nach jedem Modellupdate erneut führen können.</w:t>
      </w:r>
    </w:p>
    <w:p>
      <w:pPr>
        <w:pStyle w:val="BodyText"/>
      </w:pPr>
      <w:r>
        <w:rPr>
          <w:bCs/>
          <w:b/>
        </w:rPr>
        <w:t xml:space="preserve">(vii) Automation Bias wird zum Rechts-, nicht bloß zum UX-Problem.</w:t>
      </w:r>
      <w:r>
        <w:t xml:space="preserve"> </w:t>
      </w:r>
      <w:r>
        <w:t xml:space="preserve">Das ist die Synthese. Derselbe menschliche Faktor — die Neigung der Lehrkraft, die Maschinenantwort zu übernehmen — erscheint in drei Instrumenten, die drei verschiedene Beteiligte binden: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Instrument</w:t>
            </w:r>
          </w:p>
        </w:tc>
        <w:tc>
          <w:tcPr/>
          <w:p>
            <w:pPr>
              <w:pStyle w:val="Compact"/>
              <w:jc w:val="left"/>
            </w:pPr>
            <w:r>
              <w:t xml:space="preserve">Bindet</w:t>
            </w:r>
          </w:p>
        </w:tc>
        <w:tc>
          <w:tcPr/>
          <w:p>
            <w:pPr>
              <w:pStyle w:val="Compact"/>
              <w:jc w:val="left"/>
            </w:pPr>
            <w:r>
              <w:t xml:space="preserve">Verlangt</w:t>
            </w:r>
          </w:p>
        </w:tc>
      </w:tr>
      <w:tr>
        <w:tc>
          <w:tcPr/>
          <w:p>
            <w:pPr>
              <w:pStyle w:val="Compact"/>
              <w:jc w:val="left"/>
            </w:pPr>
            <w:r>
              <w:t xml:space="preserve">Art. 22 DSGVO + WP251rev.01 (</w:t>
            </w:r>
            <w:r>
              <w:rPr>
                <w:iCs/>
                <w:i/>
              </w:rPr>
              <w:t xml:space="preserve">„aussagekräftig und nicht nur eine symbolische Geste”</w:t>
            </w:r>
            <w:r>
              <w:t xml:space="preserve">)</w:t>
            </w:r>
          </w:p>
        </w:tc>
        <w:tc>
          <w:tcPr/>
          <w:p>
            <w:pPr>
              <w:pStyle w:val="Compact"/>
              <w:jc w:val="left"/>
            </w:pPr>
            <w:r>
              <w:t xml:space="preserve">den Verantwortlichen (die Schule)</w:t>
            </w:r>
          </w:p>
        </w:tc>
        <w:tc>
          <w:tcPr/>
          <w:p>
            <w:pPr>
              <w:pStyle w:val="Compact"/>
              <w:jc w:val="left"/>
            </w:pPr>
            <w:r>
              <w:t xml:space="preserve">dass die Prüfung echt ist</w:t>
            </w:r>
          </w:p>
        </w:tc>
      </w:tr>
      <w:tr>
        <w:tc>
          <w:tcPr/>
          <w:p>
            <w:pPr>
              <w:pStyle w:val="Compact"/>
              <w:jc w:val="left"/>
            </w:pPr>
            <w:r>
              <w:t xml:space="preserve">EuGH C-634/21</w:t>
            </w:r>
            <w:r>
              <w:t xml:space="preserve"> </w:t>
            </w:r>
            <w:r>
              <w:rPr>
                <w:iCs/>
                <w:i/>
              </w:rPr>
              <w:t xml:space="preserve">SCHUFA</w:t>
            </w:r>
            <w:r>
              <w:t xml:space="preserve"> </w:t>
            </w:r>
            <w:r>
              <w:t xml:space="preserve">(„maßgeblich”)</w:t>
            </w:r>
          </w:p>
        </w:tc>
        <w:tc>
          <w:tcPr/>
          <w:p>
            <w:pPr>
              <w:pStyle w:val="Compact"/>
              <w:jc w:val="left"/>
            </w:pPr>
            <w:r>
              <w:t xml:space="preserve">beide</w:t>
            </w:r>
          </w:p>
        </w:tc>
        <w:tc>
          <w:tcPr/>
          <w:p>
            <w:pPr>
              <w:pStyle w:val="Compact"/>
              <w:jc w:val="left"/>
            </w:pPr>
            <w:r>
              <w:t xml:space="preserve">dass die Orientierung nicht faktisch entscheidend ist</w:t>
            </w:r>
          </w:p>
        </w:tc>
      </w:tr>
      <w:tr>
        <w:tc>
          <w:tcPr/>
          <w:p>
            <w:pPr>
              <w:pStyle w:val="Compact"/>
              <w:jc w:val="left"/>
            </w:pPr>
            <w:r>
              <w:t xml:space="preserve">Art. 14 Abs. 4 Buchst. b + Art. 26 Abs. 2 KI-VO</w:t>
            </w:r>
          </w:p>
        </w:tc>
        <w:tc>
          <w:tcPr/>
          <w:p>
            <w:pPr>
              <w:pStyle w:val="Compact"/>
              <w:jc w:val="left"/>
            </w:pPr>
            <w:r>
              <w:t xml:space="preserve">den Anbieter (Gestaltung) und den Betreiber (Personal)</w:t>
            </w:r>
          </w:p>
        </w:tc>
        <w:tc>
          <w:tcPr/>
          <w:p>
            <w:pPr>
              <w:pStyle w:val="Compact"/>
              <w:jc w:val="left"/>
            </w:pPr>
            <w:r>
              <w:t xml:space="preserve">dass das System dem</w:t>
            </w:r>
            <w:r>
              <w:t xml:space="preserve"> </w:t>
            </w:r>
            <w:r>
              <w:rPr>
                <w:iCs/>
                <w:i/>
              </w:rPr>
              <w:t xml:space="preserve">entgegengestaltet</w:t>
            </w:r>
            <w:r>
              <w:t xml:space="preserve"> </w:t>
            </w:r>
            <w:r>
              <w:t xml:space="preserve">ist und die Menschen kompetent und befugt sind</w:t>
            </w:r>
          </w:p>
        </w:tc>
      </w:tr>
    </w:tbl>
    <w:p>
      <w:pPr>
        <w:pStyle w:val="BodyText"/>
      </w:pPr>
      <w:r>
        <w:t xml:space="preserve">Eine Oberflächenentscheidung — wo die Zahl erscheint, wie viele Klicks die Übernahme kostet — ist damit zugleich der Maßstab dafür, ob die Schule innerhalb des Art. 22 steht, eine Designpflicht des Anbieters nach Art. 14, eine Personalpflicht der Schule nach Art. 26 Abs. 2 und die Nachweisgrundlage nach Art. 12, die das Argument im Prüfungsfall trägt oder zerstört.</w:t>
      </w:r>
      <w:r>
        <w:t xml:space="preserve"> </w:t>
      </w:r>
      <w:r>
        <w:rPr>
          <w:bCs/>
          <w:b/>
        </w:rPr>
        <w:t xml:space="preserve">Bei einer Tabellenkalkulation ist die Oberfläche eine Usability-Frage. Hier</w:t>
      </w:r>
      <w:r>
        <w:rPr>
          <w:bCs/>
          <w:b/>
        </w:rPr>
        <w:t xml:space="preserve"> </w:t>
      </w:r>
      <w:r>
        <w:rPr>
          <w:iCs/>
          <w:i/>
          <w:bCs/>
          <w:b/>
        </w:rPr>
        <w:t xml:space="preserve">ist</w:t>
      </w:r>
      <w:r>
        <w:rPr>
          <w:bCs/>
          <w:b/>
        </w:rPr>
        <w:t xml:space="preserve"> </w:t>
      </w:r>
      <w:r>
        <w:rPr>
          <w:bCs/>
          <w:b/>
        </w:rPr>
        <w:t xml:space="preserve">die Oberfläche die Compliance-Position.</w:t>
      </w:r>
    </w:p>
    <w:bookmarkEnd w:id="150"/>
    <w:bookmarkStart w:id="156" w:name="X8ebdc79177fc5e815a526d092ae55ac5406e6c9"/>
    <w:p>
      <w:pPr>
        <w:pStyle w:val="Heading2"/>
      </w:pPr>
      <w:r>
        <w:t xml:space="preserve">7. Frage 5 — Darf eine Lehrkraft den Dienst nutzen, oder muss die Schule ihn genehmigen?</w:t>
      </w:r>
    </w:p>
    <w:p>
      <w:pPr>
        <w:pStyle w:val="FirstParagraph"/>
      </w:pPr>
      <w:r>
        <w:rPr>
          <w:bCs/>
          <w:b/>
        </w:rPr>
        <w:t xml:space="preserve">Kurzantwort: In keinem der drei Länder darf sich eine Lehrkraft allein anmelden. Das Risiko trifft in erster Linie die Lehrkraft persönlich und die Einrichtung, nicht den Anbieter.</w:t>
      </w:r>
    </w:p>
    <w:bookmarkStart w:id="151" w:name="deutschland"/>
    <w:p>
      <w:pPr>
        <w:pStyle w:val="Heading3"/>
      </w:pPr>
      <w:r>
        <w:t xml:space="preserve">7.1 Deutschland</w:t>
      </w:r>
    </w:p>
    <w:p>
      <w:pPr>
        <w:pStyle w:val="FirstParagraph"/>
      </w:pPr>
      <w:r>
        <w:rPr>
          <w:bCs/>
          <w:b/>
        </w:rPr>
        <w:t xml:space="preserve">Wer ist Verantwortlicher.</w:t>
      </w:r>
      <w:r>
        <w:t xml:space="preserve"> </w:t>
      </w:r>
      <w:r>
        <w:t xml:space="preserve">Die Schule. NRW sagt es ausdrücklich, sogar für die Verarbeitung auf einem Privatgerät der Lehrkraft:</w:t>
      </w:r>
      <w:r>
        <w:t xml:space="preserve"> </w:t>
      </w:r>
      <w:r>
        <w:rPr>
          <w:iCs/>
          <w:i/>
        </w:rPr>
        <w:t xml:space="preserve">„ist die Schule Verantwortlicher im Sinne des Artikels 4 Nummer 7 der DSGVO”</w:t>
      </w:r>
      <w:r>
        <w:t xml:space="preserve"> </w:t>
      </w:r>
      <w:r>
        <w:t xml:space="preserve">(§ 2 Abs. 2 VO-DV I); die Schulleitung trägt die datenschutzrechtliche Gesamtverantwortung. Bayern:</w:t>
      </w:r>
      <w:r>
        <w:t xml:space="preserve"> </w:t>
      </w:r>
      <w:r>
        <w:rPr>
          <w:iCs/>
          <w:i/>
        </w:rPr>
        <w:t xml:space="preserve">„jede bayerische öffentliche Schule als datenschutzrechtlich verantwortliche Stelle”</w:t>
      </w:r>
      <w:r>
        <w:t xml:space="preserve">. Niedersachsen macht den Plattformeinsatz davon abhängig, dass</w:t>
      </w:r>
      <w:r>
        <w:t xml:space="preserve"> </w:t>
      </w:r>
      <w:r>
        <w:rPr>
          <w:iCs/>
          <w:i/>
        </w:rPr>
        <w:t xml:space="preserve">„die Schulleitung dem Einsatz zugestimmt hat”</w:t>
      </w:r>
      <w:r>
        <w:t xml:space="preserve"> </w:t>
      </w:r>
      <w:r>
        <w:t xml:space="preserve">(§ 31 Abs. 5 NSchG). Die allgemeine Formel der DSK lautet:</w:t>
      </w:r>
      <w:r>
        <w:t xml:space="preserve"> </w:t>
      </w:r>
      <w:r>
        <w:rPr>
          <w:iCs/>
          <w:i/>
        </w:rPr>
        <w:t xml:space="preserve">„Maßgeblich ist, welche Stelle über den grundsätzlichen Einsatz … und die näheren Umstände der Umsetzung verantwortlich entscheidet.”</w:t>
      </w:r>
    </w:p>
    <w:p>
      <w:pPr>
        <w:pStyle w:val="BodyText"/>
      </w:pPr>
      <w:r>
        <w:t xml:space="preserve">Zu beachten ist die</w:t>
      </w:r>
      <w:r>
        <w:t xml:space="preserve"> </w:t>
      </w:r>
      <w:r>
        <w:rPr>
          <w:bCs/>
          <w:b/>
        </w:rPr>
        <w:t xml:space="preserve">Trennung zum Schulträger</w:t>
      </w:r>
      <w:r>
        <w:t xml:space="preserve">: Der Schulträger stellt die</w:t>
      </w:r>
      <w:r>
        <w:t xml:space="preserve"> </w:t>
      </w:r>
      <w:r>
        <w:rPr>
          <w:iCs/>
          <w:i/>
        </w:rPr>
        <w:t xml:space="preserve">äußeren Schulangelegenheiten</w:t>
      </w:r>
      <w:r>
        <w:t xml:space="preserve"> </w:t>
      </w:r>
      <w:r>
        <w:t xml:space="preserve">— Gebäude, Hardware, Netz —, während Unterricht und Leistungsbewertung bei Schule und Land liegen.</w:t>
      </w:r>
      <w:r>
        <w:t xml:space="preserve"> </w:t>
      </w:r>
      <w:r>
        <w:rPr>
          <w:bCs/>
          <w:b/>
        </w:rPr>
        <w:t xml:space="preserve">Die Korrektur ist eindeutig eine innere Angelegenheit; der Schulträger ist nicht der Vertragspartner, auch wenn ihm die Geräte gehören.</w:t>
      </w:r>
      <w:r>
        <w:t xml:space="preserve"> </w:t>
      </w:r>
      <w:r>
        <w:t xml:space="preserve">Beides zu verwechseln, ist ein häufiger und teurer Fehler.</w:t>
      </w:r>
    </w:p>
    <w:p>
      <w:pPr>
        <w:pStyle w:val="BodyText"/>
      </w:pPr>
      <w:r>
        <w:rPr>
          <w:bCs/>
          <w:b/>
        </w:rPr>
        <w:t xml:space="preserve">Die Lehrkraft steht innerhalb des Verantwortlichen, sie ist nicht Verantwortliche.</w:t>
      </w:r>
      <w:r>
        <w:t xml:space="preserve"> </w:t>
      </w:r>
      <w:r>
        <w:t xml:space="preserve">Eine Lehrkraft ist Beschäftigte im Sinne des Art. 29 DSGVO und handelt auf Weisung. Drei Folgen:</w:t>
      </w:r>
    </w:p>
    <w:p>
      <w:pPr>
        <w:numPr>
          <w:ilvl w:val="0"/>
          <w:numId w:val="1042"/>
        </w:numPr>
        <w:pStyle w:val="Compact"/>
      </w:pPr>
      <w:r>
        <w:rPr>
          <w:bCs/>
          <w:b/>
        </w:rPr>
        <w:t xml:space="preserve">Eine Lehrkraft kann keinen Auftragsverarbeitungsvertrag schließen.</w:t>
      </w:r>
      <w:r>
        <w:t xml:space="preserve"> </w:t>
      </w:r>
      <w:r>
        <w:t xml:space="preserve">Ein AVV bindet den Verantwortlichen; eine Lehrkraft ohne Vertretungsmacht kann weder Schule noch Land binden. Ein per Click-Wrap akzeptierter „AVV” ist gegenüber dem Verantwortlichen unwirksam — womit die Übermittlung der Schülerdaten an den Anbieter</w:t>
      </w:r>
      <w:r>
        <w:t xml:space="preserve"> </w:t>
      </w:r>
      <w:r>
        <w:rPr>
          <w:bCs/>
          <w:b/>
        </w:rPr>
        <w:t xml:space="preserve">überhaupt keine Grundlage nach Art. 28</w:t>
      </w:r>
      <w:r>
        <w:t xml:space="preserve"> </w:t>
      </w:r>
      <w:r>
        <w:t xml:space="preserve">hat, also eine unzulässige Offenlegung an einen Dritten statt einer Auftragsverarbeitung ist.</w:t>
      </w:r>
    </w:p>
    <w:p>
      <w:pPr>
        <w:numPr>
          <w:ilvl w:val="0"/>
          <w:numId w:val="1042"/>
        </w:numPr>
        <w:pStyle w:val="Compact"/>
      </w:pPr>
      <w:r>
        <w:rPr>
          <w:bCs/>
          <w:b/>
        </w:rPr>
        <w:t xml:space="preserve">Verbot mit Erlaubnisvorbehalt.</w:t>
      </w:r>
      <w:r>
        <w:t xml:space="preserve"> </w:t>
      </w:r>
      <w:r>
        <w:t xml:space="preserve">Die Verordnungen zählen zulässige Daten und Verarbeitungen abschließend auf. Alles darüber hinaus ist ohne gesonderte Rechtfertigung untersagt, und die Lehrkraft kann sich nicht selbst ermächtigen.</w:t>
      </w:r>
    </w:p>
    <w:p>
      <w:pPr>
        <w:numPr>
          <w:ilvl w:val="0"/>
          <w:numId w:val="1042"/>
        </w:numPr>
        <w:pStyle w:val="Compact"/>
      </w:pPr>
      <w:r>
        <w:rPr>
          <w:bCs/>
          <w:b/>
        </w:rPr>
        <w:t xml:space="preserve">Die Verarbeitung auf Privatgeräten bedarf der schriftlichen Genehmigung</w:t>
      </w:r>
      <w:r>
        <w:t xml:space="preserve"> </w:t>
      </w:r>
      <w:r>
        <w:t xml:space="preserve">der Schulleitung, mit Verarbeitungsverzeichnis und angemessenem Zugangsschutz (NRW); in Bayern ist die Verarbeitung für schulische Zwecke grundsätzlich nur auf schulischen Endgeräten zulässig.</w:t>
      </w:r>
    </w:p>
    <w:p>
      <w:pPr>
        <w:pStyle w:val="FirstParagraph"/>
      </w:pPr>
      <w:r>
        <w:t xml:space="preserve">Die</w:t>
      </w:r>
      <w:r>
        <w:t xml:space="preserve"> </w:t>
      </w:r>
      <w:r>
        <w:rPr>
          <w:iCs/>
          <w:i/>
        </w:rPr>
        <w:t xml:space="preserve">Orientierungshilfe Online-Lernplattformen</w:t>
      </w:r>
      <w:r>
        <w:t xml:space="preserve"> </w:t>
      </w:r>
      <w:r>
        <w:t xml:space="preserve">der DSK von 2018 ist der unmittelbar einschlägigste Aufsichtstext:</w:t>
      </w:r>
    </w:p>
    <w:p>
      <w:pPr>
        <w:pStyle w:val="BlockText"/>
      </w:pPr>
      <w:r>
        <w:rPr>
          <w:iCs/>
          <w:i/>
        </w:rPr>
        <w:t xml:space="preserve">„Lehrende dürfen im Rahmen der Freiheit der Gestaltung des Unterrichts nur insoweit Online-Lernplattformen im Unterricht einsetzen, als die Schule oder die Schulaufsicht über den Einsatz der jeweiligen Online-Lernplattform entschieden hat.”</w:t>
      </w:r>
    </w:p>
    <w:p>
      <w:pPr>
        <w:pStyle w:val="FirstParagraph"/>
      </w:pPr>
      <w:r>
        <w:rPr>
          <w:bCs/>
          <w:b/>
        </w:rPr>
        <w:t xml:space="preserve">Persönliches Risiko — real, aber genau zu benennen.</w:t>
      </w:r>
      <w:r>
        <w:t xml:space="preserve"> </w:t>
      </w:r>
      <w:r>
        <w:t xml:space="preserve">Noten und Leistungsbeurteilungen unterliegen der Amtsverschwiegenheit (§ 37 BeamtStG für Beamte, entsprechende vertragliche Pflichten im Übrigen). Die Offenlegung gegenüber einem unbefugten Dritten ist eine Dienstpflichtverletzung und am strafrechtlichen Rand ein Fall des</w:t>
      </w:r>
      <w:r>
        <w:t xml:space="preserve"> </w:t>
      </w:r>
      <w:r>
        <w:rPr>
          <w:bCs/>
          <w:b/>
        </w:rPr>
        <w:t xml:space="preserve">§ 203 Abs. 2 StGB</w:t>
      </w:r>
      <w:r>
        <w:t xml:space="preserve">. In NRW enthält § 10 VO-DV I zusätzlich eine Ordnungswidrigkeitenregelung.</w:t>
      </w:r>
    </w:p>
    <w:p>
      <w:pPr>
        <w:pStyle w:val="BodyText"/>
      </w:pPr>
      <w:r>
        <w:rPr>
          <w:bCs/>
          <w:b/>
        </w:rPr>
        <w:t xml:space="preserve">Was daraus nicht folgt.</w:t>
      </w:r>
      <w:r>
        <w:t xml:space="preserve"> </w:t>
      </w:r>
      <w:r>
        <w:t xml:space="preserve">Es folgt daraus nicht, dass eine Lehrkraft die finanziellen Folgen einer falschen Note persönlich trägt.</w:t>
      </w:r>
      <w:r>
        <w:t xml:space="preserve"> </w:t>
      </w:r>
      <w:r>
        <w:rPr>
          <w:bCs/>
          <w:b/>
        </w:rPr>
        <w:t xml:space="preserve">Art. 34 GG</w:t>
      </w:r>
      <w:r>
        <w:t xml:space="preserve"> </w:t>
      </w:r>
      <w:r>
        <w:t xml:space="preserve">weist die Haftung für Amtspflichtverletzungen dem Staat bzw. der Körperschaft zu, mit Rückgriff gegen den Amtsträger nur bei</w:t>
      </w:r>
      <w:r>
        <w:t xml:space="preserve"> </w:t>
      </w:r>
      <w:r>
        <w:rPr>
          <w:bCs/>
          <w:b/>
        </w:rPr>
        <w:t xml:space="preserve">Vorsatz oder grober Fahrlässigkeit</w:t>
      </w:r>
      <w:r>
        <w:t xml:space="preserve">. Diese Klarstellung wirkt in beide Richtungen: Sie ist der Grund, warum die Aussage einer der NRW-Stellungnahmen, Lehrkräfte hafteten allein, zu weit geht (§5.12); und sie ist der Grund, warum das realistische zivilrechtliche Risiko bei einem systematischen Bewertungsfehler den Weg</w:t>
      </w:r>
      <w:r>
        <w:t xml:space="preserve"> </w:t>
      </w:r>
      <w:r>
        <w:rPr>
          <w:iCs/>
          <w:i/>
        </w:rPr>
        <w:t xml:space="preserve">Staat → Rückgriff → Anbieter</w:t>
      </w:r>
      <w:r>
        <w:t xml:space="preserve"> </w:t>
      </w:r>
      <w:r>
        <w:t xml:space="preserve">nimmt — die Struktur, die der Vertrag zwischen Einrichtung und Anbieter abbilden muss (§4.7). Das echte persönliche Risiko der Lehrkraft ist dienstrechtlich und am Rand strafrechtlich, nicht haftungsrechtlich.</w:t>
      </w:r>
    </w:p>
    <w:p>
      <w:pPr>
        <w:pStyle w:val="BodyText"/>
      </w:pPr>
      <w:r>
        <w:rPr>
          <w:bCs/>
          <w:b/>
        </w:rPr>
        <w:t xml:space="preserve">Ergebnis.</w:t>
      </w:r>
      <w:r>
        <w:t xml:space="preserve"> </w:t>
      </w:r>
      <w:r>
        <w:t xml:space="preserve">Die Nutzung eines solchen Dienstes durch eine einzelne Lehrkraft mit echten Schülerarbeiten ohne institutionelle Genehmigung ist unzulässig. Es fehlt an einer Grundlage nach Art. 28, die Verarbeitung liegt außerhalb dessen, was die Landesverordnung erlaubt, und die Folgen treffen die Lehrkraft persönlich und die Schule, nicht den Anbieter.</w:t>
      </w:r>
    </w:p>
    <w:bookmarkEnd w:id="151"/>
    <w:bookmarkStart w:id="152" w:name="X551012fd2054ef86d035d20ea87039fd2bc14f0"/>
    <w:p>
      <w:pPr>
        <w:pStyle w:val="Heading3"/>
      </w:pPr>
      <w:r>
        <w:t xml:space="preserve">7.2 Rettet die Anonymisierung das Modell? Mit hoher Wahrscheinlichkeit nicht</w:t>
      </w:r>
    </w:p>
    <w:p>
      <w:pPr>
        <w:pStyle w:val="FirstParagraph"/>
      </w:pPr>
      <w:r>
        <w:t xml:space="preserve">Die Theorie ist tragfähig — vollständig anonymisierte Arbeiten, keine Identifikatoren, Lehrkraft als Privatperson —, aber die Umsetzung scheitert an der Handschrift.</w:t>
      </w:r>
    </w:p>
    <w:p>
      <w:pPr>
        <w:numPr>
          <w:ilvl w:val="0"/>
          <w:numId w:val="1043"/>
        </w:numPr>
        <w:pStyle w:val="Compact"/>
      </w:pPr>
      <w:r>
        <w:rPr>
          <w:bCs/>
          <w:b/>
        </w:rPr>
        <w:t xml:space="preserve">Handschrift ist ein dauerhaftes, individuelles, re-identifizierendes Merkmal.</w:t>
      </w:r>
      <w:r>
        <w:t xml:space="preserve"> </w:t>
      </w:r>
      <w:r>
        <w:t xml:space="preserve">Das Weglassen des Namens anonymisiert das Bild nicht. In einer Klasse von 25–30 identifiziert die Handschrift allein, und Empfänger der Ausgabe ist die Lehrkraft, die jede Handschrift im Raum kennt.</w:t>
      </w:r>
    </w:p>
    <w:p>
      <w:pPr>
        <w:numPr>
          <w:ilvl w:val="0"/>
          <w:numId w:val="1043"/>
        </w:numPr>
        <w:pStyle w:val="Compact"/>
      </w:pPr>
      <w:r>
        <w:rPr>
          <w:bCs/>
          <w:b/>
        </w:rPr>
        <w:t xml:space="preserve">ErwGr. 26 fragt, ob die Identifizierung für irgendjemanden nach allgemeinem Ermessen wahrscheinlich ist, einschließlich des Empfängers.</w:t>
      </w:r>
      <w:r>
        <w:t xml:space="preserve"> </w:t>
      </w:r>
      <w:r>
        <w:t xml:space="preserve">Hier ist sie nicht bloß wahrscheinlich, sie ist der Zweck. Das DKJS-Memorandum trifft berichteten Angaben zufolge denselben Punkt: Die Lehrkraft re-identifiziert im Moment der Notenvergabe.</w:t>
      </w:r>
    </w:p>
    <w:p>
      <w:pPr>
        <w:numPr>
          <w:ilvl w:val="0"/>
          <w:numId w:val="1043"/>
        </w:numPr>
        <w:pStyle w:val="Compact"/>
      </w:pPr>
      <w:r>
        <w:rPr>
          <w:bCs/>
          <w:b/>
        </w:rPr>
        <w:t xml:space="preserve">Der Inhalt re-identifiziert.</w:t>
      </w:r>
      <w:r>
        <w:t xml:space="preserve"> </w:t>
      </w:r>
      <w:r>
        <w:t xml:space="preserve">Aufsätze enthalten persönliche Details, Mathematikrechnungen individuelle Fehlermuster.</w:t>
      </w:r>
    </w:p>
    <w:p>
      <w:pPr>
        <w:numPr>
          <w:ilvl w:val="0"/>
          <w:numId w:val="1043"/>
        </w:numPr>
        <w:pStyle w:val="Compact"/>
      </w:pPr>
      <w:r>
        <w:rPr>
          <w:bCs/>
          <w:b/>
        </w:rPr>
        <w:t xml:space="preserve">Art.-9-Überlagerung.</w:t>
      </w:r>
      <w:r>
        <w:t xml:space="preserve"> </w:t>
      </w:r>
      <w:r>
        <w:t xml:space="preserve">Handschrift und Fehlermuster können Legasthenie, Dyskalkulie oder motorische Beeinträchtigung offenlegen — Gesundheitsdaten, beabsichtigt oder nicht.</w:t>
      </w:r>
    </w:p>
    <w:p>
      <w:pPr>
        <w:pStyle w:val="FirstParagraph"/>
      </w:pPr>
      <w:r>
        <w:rPr>
          <w:bCs/>
          <w:b/>
        </w:rPr>
        <w:t xml:space="preserve">Die enge Variante, die trägt:</w:t>
      </w:r>
      <w:r>
        <w:t xml:space="preserve"> </w:t>
      </w:r>
      <w:r>
        <w:t xml:space="preserve">getippte Eingaben ohne Identifikatoren und ohne Zuordnung zu einzelnen Schülern; und für die privat handelnde Lehrkraft die Erstellung von Bewertungsrastern, Musterlösungen, Aufgabenentwürfen und Kalibrierung an synthetischen Arbeiten.</w:t>
      </w:r>
      <w:r>
        <w:t xml:space="preserve"> </w:t>
      </w:r>
      <w:r>
        <w:rPr>
          <w:bCs/>
          <w:b/>
        </w:rPr>
        <w:t xml:space="preserve">Keine echten Schülerarbeiten.</w:t>
      </w:r>
      <w:r>
        <w:t xml:space="preserve"> </w:t>
      </w:r>
      <w:r>
        <w:t xml:space="preserve">Diese Nutzung ist ohne institutionelle Genehmigung zulässig.</w:t>
      </w:r>
    </w:p>
    <w:bookmarkEnd w:id="152"/>
    <w:bookmarkStart w:id="153" w:name="vereinigtes-königreich"/>
    <w:p>
      <w:pPr>
        <w:pStyle w:val="Heading3"/>
      </w:pPr>
      <w:r>
        <w:t xml:space="preserve">7.3 Vereinigtes Königreich</w:t>
      </w:r>
    </w:p>
    <w:p>
      <w:pPr>
        <w:pStyle w:val="FirstParagraph"/>
      </w:pPr>
      <w:r>
        <w:t xml:space="preserve">Dasselbe Ergebnis auf leicht anderem Weg. Verantwortlicher ist das</w:t>
      </w:r>
      <w:r>
        <w:t xml:space="preserve"> </w:t>
      </w:r>
      <w:r>
        <w:rPr>
          <w:iCs/>
          <w:i/>
        </w:rPr>
        <w:t xml:space="preserve">governing body</w:t>
      </w:r>
      <w:r>
        <w:t xml:space="preserve"> </w:t>
      </w:r>
      <w:r>
        <w:t xml:space="preserve">(maintained school), der</w:t>
      </w:r>
      <w:r>
        <w:t xml:space="preserve"> </w:t>
      </w:r>
      <w:r>
        <w:rPr>
          <w:iCs/>
          <w:i/>
        </w:rPr>
        <w:t xml:space="preserve">academy trust</w:t>
      </w:r>
      <w:r>
        <w:t xml:space="preserve"> </w:t>
      </w:r>
      <w:r>
        <w:t xml:space="preserve">(Akademien — der Trust unterzeichnet, nicht die Schule), die Einrichtung (Privatschule, FE, HE) und in</w:t>
      </w:r>
      <w:r>
        <w:t xml:space="preserve"> </w:t>
      </w:r>
      <w:r>
        <w:rPr>
          <w:bCs/>
          <w:b/>
        </w:rPr>
        <w:t xml:space="preserve">Schottland die Kommune</w:t>
      </w:r>
      <w:r>
        <w:t xml:space="preserve">. DfE:</w:t>
      </w:r>
      <w:r>
        <w:t xml:space="preserve"> </w:t>
      </w:r>
      <w:r>
        <w:rPr>
          <w:iCs/>
          <w:i/>
        </w:rPr>
        <w:t xml:space="preserve">„the school or the multi-academy trust is the data controller”</w:t>
      </w:r>
      <w:r>
        <w:t xml:space="preserve">;</w:t>
      </w:r>
      <w:r>
        <w:t xml:space="preserve"> </w:t>
      </w:r>
      <w:r>
        <w:rPr>
          <w:iCs/>
          <w:i/>
        </w:rPr>
        <w:t xml:space="preserve">„the responsibility and accountability for compliance sits with governors and trustees.”</w:t>
      </w:r>
    </w:p>
    <w:p>
      <w:pPr>
        <w:pStyle w:val="BodyText"/>
      </w:pPr>
      <w:r>
        <w:t xml:space="preserve">Eine Lehrkraft, die Arbeiten in ein nicht freigegebenes Werkzeug hochlädt, verarbeitet außerhalb der dokumentierten Weisungen. Die Schule bleibt haftbar; für diesen Weg bestehen keine dokumentierte Rechtsgrundlage, keine DSFA, kein Art.-28-Vertrag, und die Datenschutzerklärung deckt ihn nicht ab — Art. 5 Abs. 1 Buchst. a, Art. 5 Abs. 2, Art. 28, Art. 30 und Art. 35 sind zugleich verletzt, für Art. 9 fehlt eine Bedingung.</w:t>
      </w:r>
      <w:r>
        <w:t xml:space="preserve"> </w:t>
      </w:r>
      <w:r>
        <w:rPr>
          <w:bCs/>
          <w:b/>
        </w:rPr>
        <w:t xml:space="preserve">Handelt es sich um Coursework oder Non-Examination Assessment, ist es zusätzlich ein JCQ-Malpractice-Fall</w:t>
      </w:r>
      <w:r>
        <w:t xml:space="preserve"> </w:t>
      </w:r>
      <w:r>
        <w:t xml:space="preserve">und nicht bloß eine Datenschutzfrage, denn die JCQ-Vorgaben lauten:</w:t>
      </w:r>
      <w:r>
        <w:t xml:space="preserve"> </w:t>
      </w:r>
      <w:r>
        <w:rPr>
          <w:iCs/>
          <w:i/>
        </w:rPr>
        <w:t xml:space="preserve">„Teachers must not use artificial intelligence as the sole means of marking candidates’ work.”</w:t>
      </w:r>
    </w:p>
    <w:p>
      <w:pPr>
        <w:pStyle w:val="BodyText"/>
      </w:pPr>
      <w:r>
        <w:t xml:space="preserve">Die Leitlinien sind gegenüber dem Personal eindeutig. Das DfE weist an,</w:t>
      </w:r>
      <w:r>
        <w:t xml:space="preserve"> </w:t>
      </w:r>
      <w:r>
        <w:rPr>
          <w:iCs/>
          <w:i/>
        </w:rPr>
        <w:t xml:space="preserve">„check that the type of tool being used is approved by your school”</w:t>
      </w:r>
      <w:r>
        <w:t xml:space="preserve">, und vor Eingabe personenbezogener Schülerdaten den Datenschutzbeauftragten einzuschalten, mit dem Hinweis, dies</w:t>
      </w:r>
      <w:r>
        <w:t xml:space="preserve"> </w:t>
      </w:r>
      <w:r>
        <w:rPr>
          <w:iCs/>
          <w:i/>
        </w:rPr>
        <w:t xml:space="preserve">„could result in a data breach”</w:t>
      </w:r>
      <w:r>
        <w:t xml:space="preserve">. Schottlands Leitplanken stoppen die Lehrkraft unmittelbar: Die Checkliste fragt</w:t>
      </w:r>
      <w:r>
        <w:t xml:space="preserve"> </w:t>
      </w:r>
      <w:r>
        <w:rPr>
          <w:iCs/>
          <w:i/>
        </w:rPr>
        <w:t xml:space="preserve">„Is the tool approved for use by my local authority”</w:t>
      </w:r>
      <w:r>
        <w:t xml:space="preserve"> </w:t>
      </w:r>
      <w:r>
        <w:t xml:space="preserve">und ordnet an, dass bei Nein oder Unklarheit</w:t>
      </w:r>
      <w:r>
        <w:t xml:space="preserve"> </w:t>
      </w:r>
      <w:r>
        <w:rPr>
          <w:iCs/>
          <w:i/>
        </w:rPr>
        <w:t xml:space="preserve">„you should not use AI for this purpose”</w:t>
      </w:r>
      <w:r>
        <w:t xml:space="preserve">. Nordirland ist absolut — nur zwei GenAI-Werkzeuge sind im EdIS/C2k-Dienst freigegeben (Microsoft Copilot für Office 365 und Google Gemini for Education, beide mit von der Education Authority erstellten DSFA), alles andere erfordert DSFA und Einbindung des Datenschutzbeauftragten, und Personal muss zuvor verpflichtende Schulungen absolvieren. Wales verlangt DSFA und Einbindung des Datenschutzbeauftragten vor jedem KI-Einsatz.</w:t>
      </w:r>
    </w:p>
    <w:p>
      <w:pPr>
        <w:pStyle w:val="BodyText"/>
      </w:pPr>
      <w:r>
        <w:rPr>
          <w:bCs/>
          <w:b/>
        </w:rPr>
        <w:t xml:space="preserve">Das Risiko des Anbieters selbst ist im Vereinigten Königreich größer, als die formale Analyse nahelegt</w:t>
      </w:r>
      <w:r>
        <w:t xml:space="preserve">, wegen des ICO-Audits</w:t>
      </w:r>
      <w:r>
        <w:t xml:space="preserve"> </w:t>
      </w:r>
      <w:r>
        <w:rPr>
          <w:iCs/>
          <w:i/>
        </w:rPr>
        <w:t xml:space="preserve">Edtech examined</w:t>
      </w:r>
      <w:r>
        <w:t xml:space="preserve"> </w:t>
      </w:r>
      <w:r>
        <w:t xml:space="preserve">(24. Juni 2026; 28 Anbieter, die geschätzt 70–90 %+ der britischen Schulen erreichen; 596 Empfehlungen, 98 % angenommen). Der entscheidende Satz:</w:t>
      </w:r>
      <w:r>
        <w:t xml:space="preserve"> </w:t>
      </w:r>
      <w:r>
        <w:rPr>
          <w:iCs/>
          <w:i/>
        </w:rPr>
        <w:t xml:space="preserve">„If you determine the purposes and means of processing, you are a controller, regardless of how any contract describes your role.”</w:t>
      </w:r>
      <w:r>
        <w:t xml:space="preserve"> </w:t>
      </w:r>
      <w:r>
        <w:rPr>
          <w:bCs/>
          <w:b/>
        </w:rPr>
        <w:t xml:space="preserve">Eine Selbstbedienungsstufe, die ohne Schulvertrag Schülerarbeiten annimmt, macht den Anbieter zum Verantwortlichen ohne Rechtsgrundlage und eröffnet den Children’s Code in vollem Umfang.</w:t>
      </w:r>
    </w:p>
    <w:bookmarkEnd w:id="153"/>
    <w:bookmarkStart w:id="154" w:name="vereinigte-staaten"/>
    <w:p>
      <w:pPr>
        <w:pStyle w:val="Heading3"/>
      </w:pPr>
      <w:r>
        <w:t xml:space="preserve">7.4 Vereinigte Staaten</w:t>
      </w:r>
    </w:p>
    <w:p>
      <w:pPr>
        <w:pStyle w:val="FirstParagraph"/>
      </w:pPr>
      <w:r>
        <w:t xml:space="preserve">Die Schulbehörde bzw. Einrichtung hält die Bildungsakten; die Lehrkraft ist</w:t>
      </w:r>
      <w:r>
        <w:t xml:space="preserve"> </w:t>
      </w:r>
      <w:r>
        <w:rPr>
          <w:iCs/>
          <w:i/>
        </w:rPr>
        <w:t xml:space="preserve">school official</w:t>
      </w:r>
      <w:r>
        <w:t xml:space="preserve"> </w:t>
      </w:r>
      <w:r>
        <w:rPr>
          <w:bCs/>
          <w:b/>
        </w:rPr>
        <w:t xml:space="preserve">innerhalb</w:t>
      </w:r>
      <w:r>
        <w:t xml:space="preserve"> </w:t>
      </w:r>
      <w:r>
        <w:t xml:space="preserve">der Einrichtung und hat keine Befugnis, sie nach außen offenzulegen. Eine Lehrkraft, die Arbeiten an einen nicht freigegebenen Anbieter hochlädt, nimmt eine von der Einrichtung nicht autorisierte</w:t>
      </w:r>
      <w:r>
        <w:t xml:space="preserve"> </w:t>
      </w:r>
      <w:r>
        <w:rPr>
          <w:bCs/>
          <w:b/>
        </w:rPr>
        <w:t xml:space="preserve">Offenlegung</w:t>
      </w:r>
      <w:r>
        <w:t xml:space="preserve"> </w:t>
      </w:r>
      <w:r>
        <w:t xml:space="preserve">vor.</w:t>
      </w:r>
    </w:p>
    <w:p>
      <w:pPr>
        <w:pStyle w:val="BodyText"/>
      </w:pPr>
      <w:r>
        <w:t xml:space="preserve">Die</w:t>
      </w:r>
      <w:r>
        <w:t xml:space="preserve"> </w:t>
      </w:r>
      <w:r>
        <w:rPr>
          <w:iCs/>
          <w:i/>
        </w:rPr>
        <w:t xml:space="preserve">school official</w:t>
      </w:r>
      <w:r>
        <w:t xml:space="preserve">-Ausnahme lässt sich durch einen Klick der Lehrkraft strukturell nicht erfüllen: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Voraussetzung</w:t>
            </w:r>
          </w:p>
        </w:tc>
        <w:tc>
          <w:tcPr/>
          <w:p>
            <w:pPr>
              <w:pStyle w:val="Compact"/>
              <w:jc w:val="left"/>
            </w:pPr>
            <w:r>
              <w:t xml:space="preserve">Kann die Zustimmung einer Lehrkraft sie erfüllen?</w:t>
            </w:r>
          </w:p>
        </w:tc>
      </w:tr>
      <w:tr>
        <w:tc>
          <w:tcPr/>
          <w:p>
            <w:pPr>
              <w:pStyle w:val="Compact"/>
              <w:jc w:val="left"/>
            </w:pPr>
            <w:r>
              <w:t xml:space="preserve">34 CFR § 99.31(a)(1)(i)(B)(1) — erbringt eine Leistung, für die die Einrichtung sonst Beschäftigte einsetzen würde</w:t>
            </w:r>
          </w:p>
        </w:tc>
        <w:tc>
          <w:tcPr/>
          <w:p>
            <w:pPr>
              <w:pStyle w:val="Compact"/>
              <w:jc w:val="left"/>
            </w:pPr>
            <w:r>
              <w:t xml:space="preserve">Inhaltlich ja</w:t>
            </w:r>
          </w:p>
        </w:tc>
      </w:tr>
      <w:tr>
        <w:tc>
          <w:tcPr/>
          <w:p>
            <w:pPr>
              <w:pStyle w:val="Compact"/>
              <w:jc w:val="left"/>
            </w:pPr>
            <w:r>
              <w:t xml:space="preserve">§ 99.31(a)(1)(i)(B)(2) —</w:t>
            </w:r>
            <w:r>
              <w:t xml:space="preserve"> </w:t>
            </w:r>
            <w:r>
              <w:rPr>
                <w:bCs/>
                <w:b/>
              </w:rPr>
              <w:t xml:space="preserve">unter der unmittelbaren Kontrolle der Einrichtung</w:t>
            </w:r>
            <w:r>
              <w:t xml:space="preserve"> </w:t>
            </w:r>
            <w:r>
              <w:t xml:space="preserve">hinsichtlich Nutzung und Verwahrung der Akten</w:t>
            </w:r>
          </w:p>
        </w:tc>
        <w:tc>
          <w:tcPr/>
          <w:p>
            <w:pPr>
              <w:pStyle w:val="Compact"/>
              <w:jc w:val="left"/>
            </w:pPr>
            <w:r>
              <w:rPr>
                <w:bCs/>
                <w:b/>
              </w:rPr>
              <w:t xml:space="preserve">Nein.</w:t>
            </w:r>
            <w:r>
              <w:t xml:space="preserve"> </w:t>
            </w:r>
            <w:r>
              <w:t xml:space="preserve">Verbraucher-AGB werden vom Anbieter gestellt und sind meist einseitig änderbar; nach der Auslegung des Bildungsministeriums erschwert einseitige Änderbarkeit den Nachweis unmittelbarer Kontrolle</w:t>
            </w:r>
          </w:p>
        </w:tc>
      </w:tr>
      <w:tr>
        <w:tc>
          <w:tcPr/>
          <w:p>
            <w:pPr>
              <w:pStyle w:val="Compact"/>
              <w:jc w:val="left"/>
            </w:pPr>
            <w:r>
              <w:t xml:space="preserve">§ 99.31(a)(1)(i)(B)(3) — unterliegt den Nutzungs- und Weitergabegrenzen des § 99.33(a)</w:t>
            </w:r>
          </w:p>
        </w:tc>
        <w:tc>
          <w:tcPr/>
          <w:p>
            <w:pPr>
              <w:pStyle w:val="Compact"/>
              <w:jc w:val="left"/>
            </w:pPr>
            <w:r>
              <w:t xml:space="preserve">Nur wenn die AGB dies vorsehen; Verbraucher-AGB sehen regelmäßig das Gegenteil vor</w:t>
            </w:r>
          </w:p>
        </w:tc>
      </w:tr>
      <w:tr>
        <w:tc>
          <w:tcPr/>
          <w:p>
            <w:pPr>
              <w:pStyle w:val="Compact"/>
              <w:jc w:val="left"/>
            </w:pPr>
            <w:r>
              <w:t xml:space="preserve">§ 99.7(a)(3)(iii) — die Einrichtung hat</w:t>
            </w:r>
            <w:r>
              <w:t xml:space="preserve"> </w:t>
            </w:r>
            <w:r>
              <w:rPr>
                <w:iCs/>
                <w:i/>
              </w:rPr>
              <w:t xml:space="preserve">school official</w:t>
            </w:r>
            <w:r>
              <w:t xml:space="preserve">-Kriterien in ihrer</w:t>
            </w:r>
            <w:r>
              <w:t xml:space="preserve"> </w:t>
            </w:r>
            <w:r>
              <w:rPr>
                <w:bCs/>
                <w:b/>
              </w:rPr>
              <w:t xml:space="preserve">Jahresmitteilung</w:t>
            </w:r>
            <w:r>
              <w:t xml:space="preserve"> </w:t>
            </w:r>
            <w:r>
              <w:t xml:space="preserve">festgelegt</w:t>
            </w:r>
          </w:p>
        </w:tc>
        <w:tc>
          <w:tcPr/>
          <w:p>
            <w:pPr>
              <w:pStyle w:val="Compact"/>
              <w:jc w:val="left"/>
            </w:pPr>
            <w:r>
              <w:rPr>
                <w:bCs/>
                <w:b/>
              </w:rPr>
              <w:t xml:space="preserve">Nein.</w:t>
            </w:r>
            <w:r>
              <w:t xml:space="preserve"> </w:t>
            </w:r>
            <w:r>
              <w:t xml:space="preserve">Eine Lehrkraft kann die Jahresmitteilung nicht ändern</w:t>
            </w:r>
          </w:p>
        </w:tc>
      </w:tr>
      <w:tr>
        <w:tc>
          <w:tcPr/>
          <w:p>
            <w:pPr>
              <w:pStyle w:val="Compact"/>
              <w:jc w:val="left"/>
            </w:pPr>
            <w:r>
              <w:t xml:space="preserve">§ 99.31(a)(1)(ii) — die Einrichtung begrenzt den Zugriff mit angemessenen Methoden</w:t>
            </w:r>
          </w:p>
        </w:tc>
        <w:tc>
          <w:tcPr/>
          <w:p>
            <w:pPr>
              <w:pStyle w:val="Compact"/>
              <w:jc w:val="left"/>
            </w:pPr>
            <w:r>
              <w:rPr>
                <w:bCs/>
                <w:b/>
              </w:rPr>
              <w:t xml:space="preserve">Nein.</w:t>
            </w:r>
            <w:r>
              <w:t xml:space="preserve"> </w:t>
            </w:r>
            <w:r>
              <w:t xml:space="preserve">Die Einrichtung weiß nichts von dem Werkzeug</w:t>
            </w:r>
          </w:p>
        </w:tc>
      </w:tr>
    </w:tbl>
    <w:p>
      <w:pPr>
        <w:pStyle w:val="BodyText"/>
      </w:pPr>
      <w:r>
        <w:rPr>
          <w:bCs/>
          <w:b/>
        </w:rPr>
        <w:t xml:space="preserve">COPPA verschärft dies für unter 13-Jährige.</w:t>
      </w:r>
      <w:r>
        <w:t xml:space="preserve"> </w:t>
      </w:r>
      <w:r>
        <w:t xml:space="preserve">Die Position der FTC zur Schulautorisierung ist eine Verlautbarung, keine kodifizierte Ausnahme — 2024 vorgeschlagen und dann zurückgezogen, in Erwartung einer FERPA-Rechtsetzung des Bildungsministeriums, die nicht erfolgt ist. Ihr Grundsatz lautet, dass</w:t>
      </w:r>
      <w:r>
        <w:t xml:space="preserve"> </w:t>
      </w:r>
      <w:r>
        <w:rPr>
          <w:iCs/>
          <w:i/>
        </w:rPr>
        <w:t xml:space="preserve">„ed tech providers cannot outsource compliance responsibilities to schools”</w:t>
      </w:r>
      <w:r>
        <w:t xml:space="preserve">, und die Edmodo-Verfügung definiert „School” im Singular. Ein Anbieter, der der Lehrkraft die Schulautorisierung glaubt, tut, was Edmodo tat.</w:t>
      </w:r>
    </w:p>
    <w:p>
      <w:pPr>
        <w:pStyle w:val="BodyText"/>
      </w:pPr>
      <w:r>
        <w:rPr>
          <w:bCs/>
          <w:b/>
        </w:rPr>
        <w:t xml:space="preserve">Die Zähne sitzen im Landesrecht.</w:t>
      </w:r>
      <w:r>
        <w:t xml:space="preserve"> </w:t>
      </w:r>
      <w:r>
        <w:t xml:space="preserve">Kaliforniens SOPIPA bindet den</w:t>
      </w:r>
      <w:r>
        <w:t xml:space="preserve"> </w:t>
      </w:r>
      <w:r>
        <w:rPr>
          <w:iCs/>
          <w:i/>
        </w:rPr>
        <w:t xml:space="preserve">operator</w:t>
      </w:r>
      <w:r>
        <w:t xml:space="preserve"> </w:t>
      </w:r>
      <w:r>
        <w:t xml:space="preserve">unmittelbar, ohne Vertrag; Illinois’ SOPPA verlangt eine schriftliche Vereinbarung</w:t>
      </w:r>
      <w:r>
        <w:t xml:space="preserve"> </w:t>
      </w:r>
      <w:r>
        <w:rPr>
          <w:bCs/>
          <w:b/>
        </w:rPr>
        <w:t xml:space="preserve">vor</w:t>
      </w:r>
      <w:r>
        <w:t xml:space="preserve"> </w:t>
      </w:r>
      <w:r>
        <w:t xml:space="preserve">Erhalt der Daten und deren öffentliche Veröffentlichung — das Fehlen einer veröffentlichten Vereinbarung für einen Bezirk, dessen Lehrkräfte das Produkt nutzen, ist damit öffentlich auffindbar. New York, Connecticut, Colorado und andere schreiben Klauseln vor, Connecticut die Veröffentlichung binnen fünf Werktagen.</w:t>
      </w:r>
    </w:p>
    <w:p>
      <w:pPr>
        <w:pStyle w:val="BodyText"/>
      </w:pPr>
      <w:r>
        <w:rPr>
          <w:bCs/>
          <w:b/>
        </w:rPr>
        <w:t xml:space="preserve">Die praktische Realität, klar ausgesprochen.</w:t>
      </w:r>
      <w:r>
        <w:t xml:space="preserve"> </w:t>
      </w:r>
      <w:r>
        <w:t xml:space="preserve">US-Schulbezirke griffen 2024/25 im Schnitt auf</w:t>
      </w:r>
      <w:r>
        <w:t xml:space="preserve"> </w:t>
      </w:r>
      <w:r>
        <w:rPr>
          <w:bCs/>
          <w:b/>
        </w:rPr>
        <w:t xml:space="preserve">2.982 verschiedene EdTech-Werkzeuge</w:t>
      </w:r>
      <w:r>
        <w:t xml:space="preserve"> </w:t>
      </w:r>
      <w:r>
        <w:t xml:space="preserve">zu, Lehrkräfte im Schnitt auf 1.045 monatlich. Kein Bezirk prüft dreitausend Werkzeuge. Die Lücke zwischen Nutzung und Vertrag ist strukturell. Das Risiko des Anbieters in dieser Lücke: rechtswidrig offengelegte Akten ohne Löschweisung einer befugten Stelle; unmittelbare Anbieterhaftung nach Landesrecht unabhängig davon, wer geklickt hat; COPPA-Haftung für Daten unter 13-Jähriger ohne wirksame Autorisierung; und Entdeckung im denkbar schlechtesten Moment — Elternbeschwerde oder Datenpanne.</w:t>
      </w:r>
    </w:p>
    <w:bookmarkEnd w:id="154"/>
    <w:bookmarkStart w:id="155" w:name="was-eine-rechtmäßige-nutzung-voraussetzt"/>
    <w:p>
      <w:pPr>
        <w:pStyle w:val="Heading3"/>
      </w:pPr>
      <w:r>
        <w:t xml:space="preserve">7.5 Was eine rechtmäßige Nutzung voraussetzt</w:t>
      </w:r>
    </w:p>
    <w:p>
      <w:pPr>
        <w:pStyle w:val="FirstParagraph"/>
      </w:pPr>
      <w:r>
        <w:t xml:space="preserve">Die Nutzung eines solchen Systems für identifizierbare Schülerarbeiten ist nur zulässig, wenn die nachstehenden Voraussetzungen erfüllt sind. Sie richten sich an die Einrichtung und an den Anbieter; keine von ihnen kann eine allein handelnde Lehrkraft erfüllen.</w:t>
      </w:r>
    </w:p>
    <w:p>
      <w:pPr>
        <w:pStyle w:val="BodyText"/>
      </w:pPr>
      <w:r>
        <w:rPr>
          <w:bCs/>
          <w:b/>
        </w:rPr>
        <w:t xml:space="preserve">Deutschland.</w:t>
      </w:r>
      <w:r>
        <w:t xml:space="preserve"> </w:t>
      </w:r>
      <w:r>
        <w:t xml:space="preserve">Die Stelle, die Verantwortlicher ist — die Schule, bei landesweitem Einsatz das Land —, muss über den Einsatz entscheiden; die Zustimmung der Schulleitung ist erforderlich (ausdrücklich in Niedersachsen, § 31 Abs. 5 NSchG, und entsprechend nach den Verordnungen der übrigen Länder). Diese Stelle, nicht die Lehrkraft, schließt den Auftragsverarbeitungsvertrag nach Art. 28. Die Verarbeitung muss innerhalb der Daten und Verarbeitungen bleiben, die die einschlägige Landesverordnung zulässt; alles darüber hinaus bedarf einer gesonderten Rechtsgrundlage. Vor dem Einsatz ist eine Datenschutz-Folgenabschätzung nach Art. 35 DSGVO durchzuführen. Soll auf einem Privatgerät der Lehrkraft verarbeitet werden, treten die schriftliche Genehmigung der Schulleitung, das Verarbeitungsverzeichnis nach Art. 30 und ein angemessener Zugangsschutz hinzu; in Bayern ist die Verarbeitung für schulische Zwecke grundsätzlich auf schulische Endgeräte beschränkt. Die Personalvertretung ist zu beteiligen, soweit das System zur Leistungs- oder Verhaltenskontrolle geeignet ist: Der Personalrat und auf Landesebene der Hauptpersonalrat sind vor der Einführung einzubinden (§5.8). Ist die Nutzung für Schüler verpflichtend, sind Schulkonferenz und Elternvertretung betroffen und die Hinweise nach Art. 13/14 anzupassen.</w:t>
      </w:r>
    </w:p>
    <w:p>
      <w:pPr>
        <w:pStyle w:val="BodyText"/>
      </w:pPr>
      <w:r>
        <w:rPr>
          <w:bCs/>
          <w:b/>
        </w:rPr>
        <w:t xml:space="preserve">Vereinigtes Königreich.</w:t>
      </w:r>
      <w:r>
        <w:t xml:space="preserve"> </w:t>
      </w:r>
      <w:r>
        <w:t xml:space="preserve">Der Verantwortliche — das</w:t>
      </w:r>
      <w:r>
        <w:t xml:space="preserve"> </w:t>
      </w:r>
      <w:r>
        <w:rPr>
          <w:iCs/>
          <w:i/>
        </w:rPr>
        <w:t xml:space="preserve">governing body</w:t>
      </w:r>
      <w:r>
        <w:t xml:space="preserve">, der</w:t>
      </w:r>
      <w:r>
        <w:t xml:space="preserve"> </w:t>
      </w:r>
      <w:r>
        <w:rPr>
          <w:iCs/>
          <w:i/>
        </w:rPr>
        <w:t xml:space="preserve">academy trust</w:t>
      </w:r>
      <w:r>
        <w:t xml:space="preserve">, die Einrichtung oder in Schottland die Kommune — muss das Werkzeug freigeben, und die Freigabe muss von dieser Stelle ausgehen, nicht von der einzelnen Schule oder Lehrkraft. Diese Stelle schließt den Art.-28-Vertrag, dokumentiert Rechtsgrundlage und Art.-9-Bedingung, führt vor dem Einsatz die Datenschutz-Folgenabschätzung durch (in Wales und Nordirland ausdrücklich verlangt, jeweils mit Einbindung des Datenschutzbeauftragten), aktualisiert die Datenschutzerklärung und erteilt dokumentierte Weisungen für die Verarbeitung. In Nordirland muss das Werkzeug zusätzlich im EdIS/C2k-Dienst freigegeben sein. Handelt es sich um Coursework oder Non-Examination Assessment, gelten die JCQ-Vorgaben zusätzlich, und KI darf nicht das alleinige Mittel der Bewertung sein.</w:t>
      </w:r>
    </w:p>
    <w:p>
      <w:pPr>
        <w:pStyle w:val="BodyText"/>
      </w:pPr>
      <w:r>
        <w:rPr>
          <w:bCs/>
          <w:b/>
        </w:rPr>
        <w:t xml:space="preserve">Vereinigte Staaten.</w:t>
      </w:r>
      <w:r>
        <w:t xml:space="preserve"> </w:t>
      </w:r>
      <w:r>
        <w:t xml:space="preserve">Die Einrichtung muss den Anbieter in ihrer</w:t>
      </w:r>
      <w:r>
        <w:t xml:space="preserve"> </w:t>
      </w:r>
      <w:r>
        <w:rPr>
          <w:bCs/>
          <w:b/>
        </w:rPr>
        <w:t xml:space="preserve">FERPA-Jahresmitteilung</w:t>
      </w:r>
      <w:r>
        <w:t xml:space="preserve"> </w:t>
      </w:r>
      <w:r>
        <w:t xml:space="preserve">nach 34 CFR § 99.7(a)(3)(iii) als</w:t>
      </w:r>
      <w:r>
        <w:t xml:space="preserve"> </w:t>
      </w:r>
      <w:r>
        <w:rPr>
          <w:iCs/>
          <w:i/>
        </w:rPr>
        <w:t xml:space="preserve">school official</w:t>
      </w:r>
      <w:r>
        <w:t xml:space="preserve"> </w:t>
      </w:r>
      <w:r>
        <w:t xml:space="preserve">benennen, ihn hinsichtlich Nutzung und Verwahrung der Akten unter ihrer unmittelbaren Kontrolle halten (§ 99.31(a)(1)(i)(B)(2)), ihn an die Nutzungs- und Weitergabegrenzen des § 99.33(a) binden und den Zugriff mit angemessenen Methoden begrenzen (§ 99.31(a)(1)(ii)). Ein schriftlicher Vertrag nach dem einschlägigen einzelstaatlichen Schülerdatenschutzgesetz ist von der Einrichtung zu schließen — in Illinois vor Erhalt der erfassten Daten und öffentlich zu veröffentlichen, in Connecticut binnen fünf Werktagen zu veröffentlichen, in New York, Colorado und andernorts mit den vorgeschriebenen Klauseln. Kaliforniens SOPIPA bindet den</w:t>
      </w:r>
      <w:r>
        <w:t xml:space="preserve"> </w:t>
      </w:r>
      <w:r>
        <w:rPr>
          <w:iCs/>
          <w:i/>
        </w:rPr>
        <w:t xml:space="preserve">operator</w:t>
      </w:r>
      <w:r>
        <w:t xml:space="preserve"> </w:t>
      </w:r>
      <w:r>
        <w:t xml:space="preserve">unmittelbar, unabhängig davon, ob ein Vertrag besteht. Für unter 13-Jährige kann die Einwilligung nach COPPA nicht auf der Zusicherung einer Lehrkraft beruhen, die Schule habe die Verarbeitung autorisiert.</w:t>
      </w:r>
    </w:p>
    <w:p>
      <w:pPr>
        <w:pStyle w:val="BodyText"/>
      </w:pPr>
      <w:r>
        <w:rPr>
          <w:bCs/>
          <w:b/>
        </w:rPr>
        <w:t xml:space="preserve">Was diese Voraussetzungen nicht auslöst.</w:t>
      </w:r>
      <w:r>
        <w:t xml:space="preserve"> </w:t>
      </w:r>
      <w:r>
        <w:t xml:space="preserve">Eine auf synthetisches Material oder auf vollständig anonymisierte Inhalte ohne echte Schülerarbeiten und ohne Zuordnung zu einzelnen Schülern beschränkte Nutzung — Rastererstellung, Musterlösungen, Aufgabenentwurf, Kalibrierung — verarbeitet keine personenbezogenen Daten von Schülern und löst daher nichts davon aus.</w:t>
      </w:r>
    </w:p>
    <w:bookmarkEnd w:id="155"/>
    <w:bookmarkEnd w:id="156"/>
    <w:bookmarkStart w:id="160" w:name="X481eacdf8fd5735032e9fc5cb8b0a0e89f2d569"/>
    <w:p>
      <w:pPr>
        <w:pStyle w:val="Heading2"/>
      </w:pPr>
      <w:r>
        <w:t xml:space="preserve">8. Frage 6 — Könnte ein Land oder der Bund alle Schulen auf einmal freigeben?</w:t>
      </w:r>
    </w:p>
    <w:bookmarkStart w:id="157" w:name="deutschland-1"/>
    <w:p>
      <w:pPr>
        <w:pStyle w:val="Heading3"/>
      </w:pPr>
      <w:r>
        <w:t xml:space="preserve">8.1 Deutschland</w:t>
      </w:r>
    </w:p>
    <w:p>
      <w:pPr>
        <w:pStyle w:val="FirstParagraph"/>
      </w:pPr>
      <w:r>
        <w:rPr>
          <w:bCs/>
          <w:b/>
        </w:rPr>
        <w:t xml:space="preserve">Bund: nein.</w:t>
      </w:r>
      <w:r>
        <w:t xml:space="preserve"> </w:t>
      </w:r>
      <w:r>
        <w:t xml:space="preserve">Schulen sind nach Art. 30 und Art. 70 GG ausschließlich Ländersache. Die Hebel des Bundes sind rein produktseitig — KI-MIG, KI-VO, BDSG, TDDDG.</w:t>
      </w:r>
    </w:p>
    <w:p>
      <w:pPr>
        <w:pStyle w:val="BodyText"/>
      </w:pPr>
      <w:r>
        <w:rPr>
          <w:bCs/>
          <w:b/>
        </w:rPr>
        <w:t xml:space="preserve">Land: ja, über fünf Mechanismen sehr unterschiedlicher Kosten und Geschwindigkeit.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Mechanismus</w:t>
            </w:r>
          </w:p>
        </w:tc>
        <w:tc>
          <w:tcPr/>
          <w:p>
            <w:pPr>
              <w:pStyle w:val="Compact"/>
              <w:jc w:val="left"/>
            </w:pPr>
            <w:r>
              <w:t xml:space="preserve">Was es erfordert</w:t>
            </w:r>
          </w:p>
        </w:tc>
        <w:tc>
          <w:tcPr/>
          <w:p>
            <w:pPr>
              <w:pStyle w:val="Compact"/>
              <w:jc w:val="left"/>
            </w:pPr>
            <w:r>
              <w:t xml:space="preserve">Rechtswirkung</w:t>
            </w:r>
          </w:p>
        </w:tc>
        <w:tc>
          <w:tcPr/>
          <w:p>
            <w:pPr>
              <w:pStyle w:val="Compact"/>
              <w:jc w:val="left"/>
            </w:pPr>
            <w:r>
              <w:t xml:space="preserve">Realistische Dauer</w:t>
            </w:r>
          </w:p>
        </w:tc>
      </w:tr>
      <w:tr>
        <w:tc>
          <w:tcPr/>
          <w:p>
            <w:pPr>
              <w:pStyle w:val="Compact"/>
              <w:jc w:val="left"/>
            </w:pPr>
            <w:r>
              <w:t xml:space="preserve">1</w:t>
            </w:r>
          </w:p>
        </w:tc>
        <w:tc>
          <w:tcPr/>
          <w:p>
            <w:pPr>
              <w:pStyle w:val="Compact"/>
              <w:jc w:val="left"/>
            </w:pPr>
            <w:r>
              <w:rPr>
                <w:bCs/>
                <w:b/>
              </w:rPr>
              <w:t xml:space="preserve">Änderung der Landesverordnung</w:t>
            </w:r>
            <w:r>
              <w:t xml:space="preserve"> </w:t>
            </w:r>
            <w:r>
              <w:t xml:space="preserve">(z. B. VO-DV I NRW, DUVO BW)</w:t>
            </w:r>
          </w:p>
        </w:tc>
        <w:tc>
          <w:tcPr/>
          <w:p>
            <w:pPr>
              <w:pStyle w:val="Compact"/>
              <w:jc w:val="left"/>
            </w:pPr>
            <w:r>
              <w:t xml:space="preserve">Ministerium entwirft; in NRW verlangt</w:t>
            </w:r>
            <w:r>
              <w:t xml:space="preserve"> </w:t>
            </w:r>
            <w:r>
              <w:rPr>
                <w:bCs/>
                <w:b/>
              </w:rPr>
              <w:t xml:space="preserve">§ 122 Abs. 4 SchulG die Zustimmung des Landtagsausschusses</w:t>
            </w:r>
            <w:r>
              <w:t xml:space="preserve">; Verbändeanhörung; Verkündung</w:t>
            </w:r>
          </w:p>
        </w:tc>
        <w:tc>
          <w:tcPr/>
          <w:p>
            <w:pPr>
              <w:pStyle w:val="Compact"/>
              <w:jc w:val="left"/>
            </w:pPr>
            <w:r>
              <w:rPr>
                <w:bCs/>
                <w:b/>
              </w:rPr>
              <w:t xml:space="preserve">Am stärksten</w:t>
            </w:r>
            <w:r>
              <w:t xml:space="preserve"> </w:t>
            </w:r>
            <w:r>
              <w:t xml:space="preserve">— schafft die Grundlage nach Art. 6 Abs. 1 Buchst. e / Abs. 3 und erweitert den Datenkatalog</w:t>
            </w:r>
          </w:p>
        </w:tc>
        <w:tc>
          <w:tcPr/>
          <w:p>
            <w:pPr>
              <w:pStyle w:val="Compact"/>
              <w:jc w:val="left"/>
            </w:pPr>
            <w:r>
              <w:rPr>
                <w:bCs/>
                <w:b/>
              </w:rPr>
              <w:t xml:space="preserve">18–36 Monate</w:t>
            </w:r>
            <w:r>
              <w:t xml:space="preserve"> </w:t>
            </w:r>
            <w:r>
              <w:t xml:space="preserve">und ein Gesetzgebungsfenster</w:t>
            </w:r>
            <w:r>
              <w:t xml:space="preserve"> </w:t>
            </w:r>
            <w:r>
              <w:rPr>
                <w:iCs/>
                <w:i/>
              </w:rPr>
              <w:t xml:space="preserve">(Schätzung)</w:t>
            </w:r>
          </w:p>
        </w:tc>
      </w:tr>
      <w:tr>
        <w:tc>
          <w:tcPr/>
          <w:p>
            <w:pPr>
              <w:pStyle w:val="Compact"/>
              <w:jc w:val="left"/>
            </w:pPr>
            <w:r>
              <w:t xml:space="preserve">2</w:t>
            </w:r>
          </w:p>
        </w:tc>
        <w:tc>
          <w:tcPr/>
          <w:p>
            <w:pPr>
              <w:pStyle w:val="Compact"/>
              <w:jc w:val="left"/>
            </w:pPr>
            <w:r>
              <w:rPr>
                <w:bCs/>
                <w:b/>
              </w:rPr>
              <w:t xml:space="preserve">Aufnahme in ein Landesverzeichnis / Zulassung</w:t>
            </w:r>
          </w:p>
        </w:tc>
        <w:tc>
          <w:tcPr/>
          <w:p>
            <w:pPr>
              <w:pStyle w:val="Compact"/>
              <w:jc w:val="left"/>
            </w:pPr>
            <w:r>
              <w:t xml:space="preserve">Ministeriumsentscheidung</w:t>
            </w:r>
          </w:p>
        </w:tc>
        <w:tc>
          <w:tcPr/>
          <w:p>
            <w:pPr>
              <w:pStyle w:val="Compact"/>
              <w:jc w:val="left"/>
            </w:pPr>
            <w:r>
              <w:t xml:space="preserve">Wäre entscheidend —</w:t>
            </w:r>
            <w:r>
              <w:t xml:space="preserve"> </w:t>
            </w:r>
            <w:r>
              <w:rPr>
                <w:bCs/>
                <w:b/>
              </w:rPr>
              <w:t xml:space="preserve">aber die Prämisse ist zu prüfen; siehe unten</w:t>
            </w:r>
          </w:p>
        </w:tc>
        <w:tc>
          <w:tcPr/>
          <w:p>
            <w:pPr>
              <w:pStyle w:val="Compact"/>
              <w:jc w:val="left"/>
            </w:pPr>
            <w:r>
              <w:t xml:space="preserve">unbekannt</w:t>
            </w:r>
          </w:p>
        </w:tc>
      </w:tr>
      <w:tr>
        <w:tc>
          <w:tcPr/>
          <w:p>
            <w:pPr>
              <w:pStyle w:val="Compact"/>
              <w:jc w:val="left"/>
            </w:pPr>
            <w:r>
              <w:t xml:space="preserve">3</w:t>
            </w:r>
          </w:p>
        </w:tc>
        <w:tc>
          <w:tcPr/>
          <w:p>
            <w:pPr>
              <w:pStyle w:val="Compact"/>
              <w:jc w:val="left"/>
            </w:pPr>
            <w:r>
              <w:rPr>
                <w:bCs/>
                <w:b/>
              </w:rPr>
              <w:t xml:space="preserve">Rahmenvertrag / Landeslizenz</w:t>
            </w:r>
          </w:p>
        </w:tc>
        <w:tc>
          <w:tcPr/>
          <w:p>
            <w:pPr>
              <w:pStyle w:val="Compact"/>
              <w:jc w:val="left"/>
            </w:pPr>
            <w:r>
              <w:t xml:space="preserve">Vergabeverfahren (EU-weit oberhalb der Schwelle); das Land zeichnet den AVV zentral</w:t>
            </w:r>
          </w:p>
        </w:tc>
        <w:tc>
          <w:tcPr/>
          <w:p>
            <w:pPr>
              <w:pStyle w:val="Compact"/>
              <w:jc w:val="left"/>
            </w:pPr>
            <w:r>
              <w:t xml:space="preserve">In der Praxis sehr stark — löst Verantwortlichkeit, AVV, Finanzierung und Legitimation in einem Zug</w:t>
            </w:r>
          </w:p>
        </w:tc>
        <w:tc>
          <w:tcPr/>
          <w:p>
            <w:pPr>
              <w:pStyle w:val="Compact"/>
              <w:jc w:val="left"/>
            </w:pPr>
            <w:r>
              <w:rPr>
                <w:bCs/>
                <w:b/>
              </w:rPr>
              <w:t xml:space="preserve">12–24 Monate</w:t>
            </w:r>
            <w:r>
              <w:t xml:space="preserve"> </w:t>
            </w:r>
            <w:r>
              <w:t xml:space="preserve">einschl. Ausschreibung</w:t>
            </w:r>
            <w:r>
              <w:t xml:space="preserve"> </w:t>
            </w:r>
            <w:r>
              <w:rPr>
                <w:iCs/>
                <w:i/>
              </w:rPr>
              <w:t xml:space="preserve">(Schätzung)</w:t>
            </w:r>
          </w:p>
        </w:tc>
      </w:tr>
      <w:tr>
        <w:tc>
          <w:tcPr/>
          <w:p>
            <w:pPr>
              <w:pStyle w:val="Compact"/>
              <w:jc w:val="left"/>
            </w:pPr>
            <w:r>
              <w:t xml:space="preserve">4</w:t>
            </w:r>
          </w:p>
        </w:tc>
        <w:tc>
          <w:tcPr/>
          <w:p>
            <w:pPr>
              <w:pStyle w:val="Compact"/>
              <w:jc w:val="left"/>
            </w:pPr>
            <w:r>
              <w:rPr>
                <w:bCs/>
                <w:b/>
              </w:rPr>
              <w:t xml:space="preserve">Empfehlung der KMK / Bildungs-MK</w:t>
            </w:r>
          </w:p>
        </w:tc>
        <w:tc>
          <w:tcPr/>
          <w:p>
            <w:pPr>
              <w:pStyle w:val="Compact"/>
              <w:jc w:val="left"/>
            </w:pPr>
            <w:r>
              <w:t xml:space="preserve">Politisch</w:t>
            </w:r>
          </w:p>
        </w:tc>
        <w:tc>
          <w:tcPr/>
          <w:p>
            <w:pPr>
              <w:pStyle w:val="Compact"/>
              <w:jc w:val="left"/>
            </w:pPr>
            <w:r>
              <w:rPr>
                <w:bCs/>
                <w:b/>
              </w:rPr>
              <w:t xml:space="preserve">Keine.</w:t>
            </w:r>
            <w:r>
              <w:t xml:space="preserve"> </w:t>
            </w:r>
            <w:r>
              <w:t xml:space="preserve">Deckung, keine Zulassung (§5.11)</w:t>
            </w:r>
          </w:p>
        </w:tc>
        <w:tc>
          <w:tcPr/>
          <w:p>
            <w:pPr>
              <w:pStyle w:val="Compact"/>
              <w:jc w:val="left"/>
            </w:pPr>
            <w:r>
              <w:t xml:space="preserve">—</w:t>
            </w:r>
          </w:p>
        </w:tc>
      </w:tr>
      <w:tr>
        <w:tc>
          <w:tcPr/>
          <w:p>
            <w:pPr>
              <w:pStyle w:val="Compact"/>
              <w:jc w:val="left"/>
            </w:pPr>
            <w:r>
              <w:t xml:space="preserve">5</w:t>
            </w:r>
          </w:p>
        </w:tc>
        <w:tc>
          <w:tcPr/>
          <w:p>
            <w:pPr>
              <w:pStyle w:val="Compact"/>
              <w:jc w:val="left"/>
            </w:pPr>
            <w:r>
              <w:rPr>
                <w:bCs/>
                <w:b/>
              </w:rPr>
              <w:t xml:space="preserve">Verwaltungsvorschrift / Handreichung / Schulleiterbrief</w:t>
            </w:r>
          </w:p>
        </w:tc>
        <w:tc>
          <w:tcPr/>
          <w:p>
            <w:pPr>
              <w:pStyle w:val="Compact"/>
              <w:jc w:val="left"/>
            </w:pPr>
            <w:r>
              <w:t xml:space="preserve">Ministerium, einseitig</w:t>
            </w:r>
          </w:p>
        </w:tc>
        <w:tc>
          <w:tcPr/>
          <w:p>
            <w:pPr>
              <w:pStyle w:val="Compact"/>
              <w:jc w:val="left"/>
            </w:pPr>
            <w:r>
              <w:t xml:space="preserve">Bindet Schulen intern als Weisung;</w:t>
            </w:r>
            <w:r>
              <w:t xml:space="preserve"> </w:t>
            </w:r>
            <w:r>
              <w:rPr>
                <w:bCs/>
                <w:b/>
              </w:rPr>
              <w:t xml:space="preserve">mit Abstand schnellster Hebel</w:t>
            </w:r>
            <w:r>
              <w:t xml:space="preserve">; kann keine Rechtsgrundlage schaffen, wo keine besteht, aber die Nutzung</w:t>
            </w:r>
            <w:r>
              <w:t xml:space="preserve"> </w:t>
            </w:r>
            <w:r>
              <w:rPr>
                <w:iCs/>
                <w:i/>
              </w:rPr>
              <w:t xml:space="preserve">innerhalb</w:t>
            </w:r>
            <w:r>
              <w:t xml:space="preserve"> </w:t>
            </w:r>
            <w:r>
              <w:t xml:space="preserve">einer bestehenden erlauben</w:t>
            </w:r>
          </w:p>
        </w:tc>
        <w:tc>
          <w:tcPr/>
          <w:p>
            <w:pPr>
              <w:pStyle w:val="Compact"/>
              <w:jc w:val="left"/>
            </w:pPr>
            <w:r>
              <w:rPr>
                <w:bCs/>
                <w:b/>
              </w:rPr>
              <w:t xml:space="preserve">3–9 Monate</w:t>
            </w:r>
            <w:r>
              <w:t xml:space="preserve"> </w:t>
            </w:r>
            <w:r>
              <w:rPr>
                <w:iCs/>
                <w:i/>
              </w:rPr>
              <w:t xml:space="preserve">(Schätzung)</w:t>
            </w:r>
          </w:p>
        </w:tc>
      </w:tr>
    </w:tbl>
    <w:p>
      <w:pPr>
        <w:pStyle w:val="BodyText"/>
      </w:pPr>
      <w:r>
        <w:t xml:space="preserve">Zwei weitere Hürden gelten für alle: die</w:t>
      </w:r>
      <w:r>
        <w:t xml:space="preserve"> </w:t>
      </w:r>
      <w:r>
        <w:rPr>
          <w:bCs/>
          <w:b/>
        </w:rPr>
        <w:t xml:space="preserve">Mitbestimmung des Hauptpersonalrats</w:t>
      </w:r>
      <w:r>
        <w:t xml:space="preserve"> </w:t>
      </w:r>
      <w:r>
        <w:t xml:space="preserve">auf Landesebene (§5.8), häufig der längste Balken, abzumildern durch einen mitgebrachten Entwurf einer Dienstvereinbarung; und</w:t>
      </w:r>
      <w:r>
        <w:t xml:space="preserve"> </w:t>
      </w:r>
      <w:r>
        <w:rPr>
          <w:bCs/>
          <w:b/>
        </w:rPr>
        <w:t xml:space="preserve">Schulkonferenz bzw. Elternvertretung</w:t>
      </w:r>
      <w:r>
        <w:t xml:space="preserve">, wo die Nutzung für Schüler verpflichtend ist — die DSK-Regel von 2018 lautet, dass verpflichtende Plattformnutzung nur durch oder aufgrund eines Gesetzes angeordnet werden kann. Ist die Nutzung für Schüler nicht verpflichtend, greift diese zweite Hürde enger, dennoch sind Eltern zu informieren und die Art.-13/14-Hinweise anzupassen.</w:t>
      </w:r>
    </w:p>
    <w:p>
      <w:pPr>
        <w:pStyle w:val="BodyText"/>
      </w:pPr>
      <w:r>
        <w:rPr>
          <w:bCs/>
          <w:b/>
        </w:rPr>
        <w:t xml:space="preserve">Eine Prämisse, die nicht standhält.</w:t>
      </w:r>
      <w:r>
        <w:t xml:space="preserve"> </w:t>
      </w:r>
      <w:r>
        <w:t xml:space="preserve">Mechanismus 2 wird üblicherweise mit dem NRW-</w:t>
      </w:r>
      <w:r>
        <w:rPr>
          <w:iCs/>
          <w:i/>
        </w:rPr>
        <w:t xml:space="preserve">Softwarekatalog</w:t>
      </w:r>
      <w:r>
        <w:t xml:space="preserve"> </w:t>
      </w:r>
      <w:r>
        <w:t xml:space="preserve">bzw. dem</w:t>
      </w:r>
      <w:r>
        <w:t xml:space="preserve"> </w:t>
      </w:r>
      <w:r>
        <w:rPr>
          <w:iCs/>
          <w:i/>
        </w:rPr>
        <w:t xml:space="preserve">Verzeichnis der zur Verarbeitung zugelassenen Programme</w:t>
      </w:r>
      <w:r>
        <w:t xml:space="preserve"> </w:t>
      </w:r>
      <w:r>
        <w:t xml:space="preserve">gleichgesetzt. Dieser Mechanismus konnte für diese Prüfung nicht verifiziert werden:</w:t>
      </w:r>
    </w:p>
    <w:p>
      <w:pPr>
        <w:numPr>
          <w:ilvl w:val="0"/>
          <w:numId w:val="1044"/>
        </w:numPr>
        <w:pStyle w:val="Compact"/>
      </w:pPr>
      <w:r>
        <w:t xml:space="preserve">Die</w:t>
      </w:r>
      <w:r>
        <w:t xml:space="preserve"> </w:t>
      </w:r>
      <w:r>
        <w:rPr>
          <w:bCs/>
          <w:b/>
        </w:rPr>
        <w:t xml:space="preserve">geltende VO-DV I enthält keine Regelung zu zugelassenen Programmen</w:t>
      </w:r>
      <w:r>
        <w:t xml:space="preserve"> </w:t>
      </w:r>
      <w:r>
        <w:t xml:space="preserve">— das Wort</w:t>
      </w:r>
      <w:r>
        <w:t xml:space="preserve"> </w:t>
      </w:r>
      <w:r>
        <w:rPr>
          <w:iCs/>
          <w:i/>
        </w:rPr>
        <w:t xml:space="preserve">Programm</w:t>
      </w:r>
      <w:r>
        <w:t xml:space="preserve"> </w:t>
      </w:r>
      <w:r>
        <w:t xml:space="preserve">kommt im konsolidierten Text nicht vor. Die Änderung 2022 hat die Programmzulassungslogik durch einen</w:t>
      </w:r>
      <w:r>
        <w:t xml:space="preserve"> </w:t>
      </w:r>
      <w:r>
        <w:rPr>
          <w:bCs/>
          <w:b/>
        </w:rPr>
        <w:t xml:space="preserve">konfigurationsbezogenen</w:t>
      </w:r>
      <w:r>
        <w:t xml:space="preserve"> </w:t>
      </w:r>
      <w:r>
        <w:t xml:space="preserve">Maßstab ersetzt (§ 2 Abs. 1: zulässig auf dienstlichen Geräten und in Netzwerken, wenn</w:t>
      </w:r>
      <w:r>
        <w:t xml:space="preserve"> </w:t>
      </w:r>
      <w:r>
        <w:rPr>
          <w:iCs/>
          <w:i/>
        </w:rPr>
        <w:t xml:space="preserve">„über die Konfiguration”</w:t>
      </w:r>
      <w:r>
        <w:t xml:space="preserve"> </w:t>
      </w:r>
      <w:r>
        <w:t xml:space="preserve">Vertraulichkeit, Integrität und Verfügbarkeit gewährleistet sind).</w:t>
      </w:r>
    </w:p>
    <w:p>
      <w:pPr>
        <w:numPr>
          <w:ilvl w:val="0"/>
          <w:numId w:val="1044"/>
        </w:numPr>
        <w:pStyle w:val="Compact"/>
      </w:pPr>
      <w:r>
        <w:t xml:space="preserve">Die FAQ des Ministeriums beschreibt eine</w:t>
      </w:r>
      <w:r>
        <w:t xml:space="preserve"> </w:t>
      </w:r>
      <w:r>
        <w:rPr>
          <w:bCs/>
          <w:b/>
        </w:rPr>
        <w:t xml:space="preserve">Einzelfallprüfung durch die Schule</w:t>
      </w:r>
      <w:r>
        <w:t xml:space="preserve">:</w:t>
      </w:r>
      <w:r>
        <w:t xml:space="preserve"> </w:t>
      </w:r>
      <w:r>
        <w:rPr>
          <w:iCs/>
          <w:i/>
        </w:rPr>
        <w:t xml:space="preserve">„Die Entscheidung über die Nutzung liegt im pflichtgemäßen Ermessen der Schule.”</w:t>
      </w:r>
    </w:p>
    <w:p>
      <w:pPr>
        <w:numPr>
          <w:ilvl w:val="0"/>
          <w:numId w:val="1044"/>
        </w:numPr>
        <w:pStyle w:val="Compact"/>
      </w:pPr>
      <w:r>
        <w:t xml:space="preserve">Das einzige benachbarte förmliche Zulassungsregime in NRW ist die</w:t>
      </w:r>
      <w:r>
        <w:t xml:space="preserve"> </w:t>
      </w:r>
      <w:r>
        <w:rPr>
          <w:bCs/>
          <w:b/>
        </w:rPr>
        <w:t xml:space="preserve">Zulassung von Lernmitteln</w:t>
      </w:r>
      <w:r>
        <w:t xml:space="preserve"> </w:t>
      </w:r>
      <w:r>
        <w:t xml:space="preserve">(BASS 16-01 Nr. 2) — ein anderes Instrument mit anderer Rechtswirkung, und als Lernmittel würde ein Korrekturdienst nicht qualifizieren. Eine Verwechslung ist plausibel.</w:t>
      </w:r>
    </w:p>
    <w:p>
      <w:pPr>
        <w:pStyle w:val="FirstParagraph"/>
      </w:pPr>
      <w:r>
        <w:rPr>
          <w:iCs/>
          <w:i/>
        </w:rPr>
        <w:t xml:space="preserve">Vorbehalt: Ein Gewerkschaftsbeitrag von 2017 verweist auf die Prüfung, ob Software vom Schulministerium zugelassen ist, und eine Landtagsantwort vom 12.03.2025 erwähnt berichteten Angaben zufolge eine Liste im Bildungsportal; beides konnte für diese Prüfung nicht verifiziert werden, ebenso wenig war der VO-DV-I-Text vor 2022 zu beschaffen. Ein engeres oder historisches Verzeichnis kann existieren.</w:t>
      </w:r>
    </w:p>
    <w:p>
      <w:pPr>
        <w:pStyle w:val="BodyText"/>
      </w:pPr>
      <w:r>
        <w:rPr>
          <w:bCs/>
          <w:b/>
        </w:rPr>
        <w:t xml:space="preserve">Die Frage ist offen.</w:t>
      </w:r>
      <w:r>
        <w:t xml:space="preserve"> </w:t>
      </w:r>
      <w:r>
        <w:t xml:space="preserve">Sie kann nur durch das MSB NRW geklärt werden; bis dahin ist Mechanismus 2 als Genehmigungsweg nicht belastbar.</w:t>
      </w:r>
    </w:p>
    <w:p>
      <w:pPr>
        <w:pStyle w:val="BodyText"/>
      </w:pPr>
      <w:r>
        <w:rPr>
          <w:bCs/>
          <w:b/>
        </w:rPr>
        <w:t xml:space="preserve">Ein Mechanismus ist bereits in Bewegung.</w:t>
      </w:r>
      <w:r>
        <w:t xml:space="preserve"> </w:t>
      </w:r>
      <w:r>
        <w:t xml:space="preserve">In Nordrhein-Westfalen liegt die Frage dem Landtag vor: Der Antrag</w:t>
      </w:r>
      <w:r>
        <w:t xml:space="preserve"> </w:t>
      </w:r>
      <w:r>
        <w:rPr>
          <w:iCs/>
          <w:i/>
        </w:rPr>
        <w:t xml:space="preserve">Drucksache 18/18104</w:t>
      </w:r>
      <w:r>
        <w:t xml:space="preserve"> </w:t>
      </w:r>
      <w:r>
        <w:t xml:space="preserve">will die KI-gestützte Korrektur zum Standard machen, und zur Anhörung wurden neun Stellungnahmen eingereicht (§5.12). Der Antrag selbst genehmigt nichts. Er ist aber die politische Voraussetzung für die Mechanismen 1 und 3, er läuft jetzt, und die Stellungnahmen lassen erkennen, was eine daraus folgende Ministeriumsregelung enthalten müsste. NRW ist damit verfahrensmäßig weiter als die übrigen Länder — nicht weil etwas genehmigt wäre, sondern weil das Verfahren läuft und die Anforderungen veröffentlicht sind.</w:t>
      </w:r>
    </w:p>
    <w:p>
      <w:pPr>
        <w:pStyle w:val="BodyText"/>
      </w:pPr>
      <w:r>
        <w:rPr>
          <w:bCs/>
          <w:b/>
        </w:rPr>
        <w:t xml:space="preserve">Relative Geschwindigkeit und Rechtswirkung.</w:t>
      </w:r>
      <w:r>
        <w:t xml:space="preserve"> </w:t>
      </w:r>
      <w:r>
        <w:t xml:space="preserve">Die fünf Mechanismen verhalten sich gegenläufig: Das stärkste Instrument ist das langsamste, das schnellste das schwächste. Nur Mechanismus 1 schafft eine Rechtsgrundlage nach Art. 6 Abs. 1 Buchst. e / Abs. 3 DSGVO und verlangt ein Gesetzgebungsfenster sowie in NRW die Zustimmung des Landtagsausschusses — 18–36 Monate</w:t>
      </w:r>
      <w:r>
        <w:t xml:space="preserve"> </w:t>
      </w:r>
      <w:r>
        <w:rPr>
          <w:iCs/>
          <w:i/>
        </w:rPr>
        <w:t xml:space="preserve">(Schätzung)</w:t>
      </w:r>
      <w:r>
        <w:t xml:space="preserve">. Mechanismus 3 schafft keine Rechtsgrundlage, löst aber Verantwortlichkeit, AVV und Finanzierung zentral, im Takt des Vergabeverfahrens — 12–24 Monate</w:t>
      </w:r>
      <w:r>
        <w:t xml:space="preserve"> </w:t>
      </w:r>
      <w:r>
        <w:rPr>
          <w:iCs/>
          <w:i/>
        </w:rPr>
        <w:t xml:space="preserve">(Schätzung)</w:t>
      </w:r>
      <w:r>
        <w:t xml:space="preserve">. Mechanismus 5 ist mit 3–9 Monaten</w:t>
      </w:r>
      <w:r>
        <w:t xml:space="preserve"> </w:t>
      </w:r>
      <w:r>
        <w:rPr>
          <w:iCs/>
          <w:i/>
        </w:rPr>
        <w:t xml:space="preserve">(Schätzung)</w:t>
      </w:r>
      <w:r>
        <w:t xml:space="preserve"> </w:t>
      </w:r>
      <w:r>
        <w:t xml:space="preserve">der schnellste und bindet Schulen intern als Weisung, wirkt aber nur innerhalb einer bereits bestehenden Rechtsgrundlage und kann keine schaffen. Mechanismus 4 hat überhaupt keine Rechtswirkung. Stellung und Dauer von Mechanismus 2 hängen von der oben nicht verifizierten Prämisse ab.</w:t>
      </w:r>
    </w:p>
    <w:bookmarkEnd w:id="157"/>
    <w:bookmarkStart w:id="158" w:name="X54475ee4fc6c491a285db3bdd540b223db8cf89"/>
    <w:p>
      <w:pPr>
        <w:pStyle w:val="Heading3"/>
      </w:pPr>
      <w:r>
        <w:t xml:space="preserve">8.2 Vereinigtes Königreich — die Antwort unterscheidet sich je Landesteil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Landesteil</w:t>
            </w:r>
          </w:p>
        </w:tc>
        <w:tc>
          <w:tcPr/>
          <w:p>
            <w:pPr>
              <w:pStyle w:val="Compact"/>
              <w:jc w:val="left"/>
            </w:pPr>
            <w:r>
              <w:t xml:space="preserve">Erreicht eine nationale Entscheidung alle Schulen?</w:t>
            </w:r>
          </w:p>
        </w:tc>
        <w:tc>
          <w:tcPr/>
          <w:p>
            <w:pPr>
              <w:pStyle w:val="Compact"/>
              <w:jc w:val="left"/>
            </w:pPr>
            <w:r>
              <w:t xml:space="preserve">Mechanismus</w:t>
            </w:r>
          </w:p>
        </w:tc>
        <w:tc>
          <w:tcPr/>
          <w:p>
            <w:pPr>
              <w:pStyle w:val="Compact"/>
              <w:jc w:val="left"/>
            </w:pPr>
            <w:r>
              <w:t xml:space="preserve">Gatekeeper</w:t>
            </w:r>
          </w:p>
        </w:tc>
        <w:tc>
          <w:tcPr/>
          <w:p>
            <w:pPr>
              <w:pStyle w:val="Compact"/>
              <w:jc w:val="left"/>
            </w:pPr>
            <w:r>
              <w:t xml:space="preserve">Realistische Dauer</w:t>
            </w:r>
          </w:p>
        </w:tc>
      </w:tr>
      <w:tr>
        <w:tc>
          <w:tcPr/>
          <w:p>
            <w:pPr>
              <w:pStyle w:val="Compact"/>
              <w:jc w:val="left"/>
            </w:pPr>
            <w:r>
              <w:rPr>
                <w:bCs/>
                <w:b/>
              </w:rPr>
              <w:t xml:space="preserve">England</w:t>
            </w:r>
          </w:p>
        </w:tc>
        <w:tc>
          <w:tcPr/>
          <w:p>
            <w:pPr>
              <w:pStyle w:val="Compact"/>
              <w:jc w:val="left"/>
            </w:pPr>
            <w:r>
              <w:rPr>
                <w:bCs/>
                <w:b/>
              </w:rPr>
              <w:t xml:space="preserve">Nein</w:t>
            </w:r>
          </w:p>
        </w:tc>
        <w:tc>
          <w:tcPr/>
          <w:p>
            <w:pPr>
              <w:pStyle w:val="Compact"/>
              <w:jc w:val="left"/>
            </w:pPr>
            <w:r>
              <w:t xml:space="preserve">DfE-Beschaffungsrahmen; Verträge auf Trust-Ebene</w:t>
            </w:r>
          </w:p>
        </w:tc>
        <w:tc>
          <w:tcPr/>
          <w:p>
            <w:pPr>
              <w:pStyle w:val="Compact"/>
              <w:jc w:val="left"/>
            </w:pPr>
            <w:r>
              <w:t xml:space="preserve">~24.000 Schulen / ~1.200 Trusts</w:t>
            </w:r>
          </w:p>
        </w:tc>
        <w:tc>
          <w:tcPr/>
          <w:p>
            <w:pPr>
              <w:pStyle w:val="Compact"/>
              <w:jc w:val="left"/>
            </w:pPr>
            <w:r>
              <w:t xml:space="preserve">Rahmen 12–24 Mon.; Adoption laufend</w:t>
            </w:r>
            <w:r>
              <w:t xml:space="preserve"> </w:t>
            </w:r>
            <w:r>
              <w:rPr>
                <w:iCs/>
                <w:i/>
              </w:rPr>
              <w:t xml:space="preserve">(Schätzung)</w:t>
            </w:r>
          </w:p>
        </w:tc>
      </w:tr>
      <w:tr>
        <w:tc>
          <w:tcPr/>
          <w:p>
            <w:pPr>
              <w:pStyle w:val="Compact"/>
              <w:jc w:val="left"/>
            </w:pPr>
            <w:r>
              <w:rPr>
                <w:bCs/>
                <w:b/>
              </w:rPr>
              <w:t xml:space="preserve">Wales</w:t>
            </w:r>
          </w:p>
        </w:tc>
        <w:tc>
          <w:tcPr/>
          <w:p>
            <w:pPr>
              <w:pStyle w:val="Compact"/>
              <w:jc w:val="left"/>
            </w:pPr>
            <w:r>
              <w:rPr>
                <w:bCs/>
                <w:b/>
              </w:rPr>
              <w:t xml:space="preserve">Faktisch ja</w:t>
            </w:r>
          </w:p>
        </w:tc>
        <w:tc>
          <w:tcPr/>
          <w:p>
            <w:pPr>
              <w:pStyle w:val="Compact"/>
              <w:jc w:val="left"/>
            </w:pPr>
            <w:r>
              <w:t xml:space="preserve">Aufnahme als Hwb-Dienst</w:t>
            </w:r>
          </w:p>
        </w:tc>
        <w:tc>
          <w:tcPr/>
          <w:p>
            <w:pPr>
              <w:pStyle w:val="Compact"/>
              <w:jc w:val="left"/>
            </w:pPr>
            <w:r>
              <w:t xml:space="preserve">Hwb-Team der walisischen Regierung / EdTech Technical Standards Group</w:t>
            </w:r>
          </w:p>
        </w:tc>
        <w:tc>
          <w:tcPr/>
          <w:p>
            <w:pPr>
              <w:pStyle w:val="Compact"/>
              <w:jc w:val="left"/>
            </w:pPr>
            <w:r>
              <w:t xml:space="preserve">18–30 Mon. zzgl. walisischer Sprachfähigkeit</w:t>
            </w:r>
            <w:r>
              <w:t xml:space="preserve"> </w:t>
            </w:r>
            <w:r>
              <w:rPr>
                <w:iCs/>
                <w:i/>
              </w:rPr>
              <w:t xml:space="preserve">(Schätzung)</w:t>
            </w:r>
          </w:p>
        </w:tc>
      </w:tr>
      <w:tr>
        <w:tc>
          <w:tcPr/>
          <w:p>
            <w:pPr>
              <w:pStyle w:val="Compact"/>
              <w:jc w:val="left"/>
            </w:pPr>
            <w:r>
              <w:rPr>
                <w:bCs/>
                <w:b/>
              </w:rPr>
              <w:t xml:space="preserve">Schottland</w:t>
            </w:r>
          </w:p>
        </w:tc>
        <w:tc>
          <w:tcPr/>
          <w:p>
            <w:pPr>
              <w:pStyle w:val="Compact"/>
              <w:jc w:val="left"/>
            </w:pPr>
            <w:r>
              <w:rPr>
                <w:bCs/>
                <w:b/>
              </w:rPr>
              <w:t xml:space="preserve">Teilweise</w:t>
            </w:r>
          </w:p>
        </w:tc>
        <w:tc>
          <w:tcPr/>
          <w:p>
            <w:pPr>
              <w:pStyle w:val="Compact"/>
              <w:jc w:val="left"/>
            </w:pPr>
            <w:r>
              <w:t xml:space="preserve">Glow-Listung</w:t>
            </w:r>
            <w:r>
              <w:t xml:space="preserve"> </w:t>
            </w:r>
            <w:r>
              <w:rPr>
                <w:bCs/>
                <w:b/>
              </w:rPr>
              <w:t xml:space="preserve">plus</w:t>
            </w:r>
            <w:r>
              <w:t xml:space="preserve"> </w:t>
            </w:r>
            <w:r>
              <w:t xml:space="preserve">Opt-in der Kommunen</w:t>
            </w:r>
          </w:p>
        </w:tc>
        <w:tc>
          <w:tcPr/>
          <w:p>
            <w:pPr>
              <w:pStyle w:val="Compact"/>
              <w:jc w:val="left"/>
            </w:pPr>
            <w:r>
              <w:t xml:space="preserve">Education Scotland</w:t>
            </w:r>
            <w:r>
              <w:t xml:space="preserve"> </w:t>
            </w:r>
            <w:r>
              <w:rPr>
                <w:bCs/>
                <w:b/>
              </w:rPr>
              <w:t xml:space="preserve">und</w:t>
            </w:r>
            <w:r>
              <w:t xml:space="preserve"> </w:t>
            </w:r>
            <w:r>
              <w:t xml:space="preserve">32 Kommunen als Verantwortliche</w:t>
            </w:r>
          </w:p>
        </w:tc>
        <w:tc>
          <w:tcPr/>
          <w:p>
            <w:pPr>
              <w:pStyle w:val="Compact"/>
              <w:jc w:val="left"/>
            </w:pPr>
            <w:r>
              <w:t xml:space="preserve">18–36 Mon.</w:t>
            </w:r>
            <w:r>
              <w:t xml:space="preserve"> </w:t>
            </w:r>
            <w:r>
              <w:rPr>
                <w:iCs/>
                <w:i/>
              </w:rPr>
              <w:t xml:space="preserve">(Schätzung)</w:t>
            </w:r>
          </w:p>
        </w:tc>
      </w:tr>
      <w:tr>
        <w:tc>
          <w:tcPr/>
          <w:p>
            <w:pPr>
              <w:pStyle w:val="Compact"/>
              <w:jc w:val="left"/>
            </w:pPr>
            <w:r>
              <w:rPr>
                <w:bCs/>
                <w:b/>
              </w:rPr>
              <w:t xml:space="preserve">Nordirland</w:t>
            </w:r>
          </w:p>
        </w:tc>
        <w:tc>
          <w:tcPr/>
          <w:p>
            <w:pPr>
              <w:pStyle w:val="Compact"/>
              <w:jc w:val="left"/>
            </w:pPr>
            <w:r>
              <w:rPr>
                <w:bCs/>
                <w:b/>
              </w:rPr>
              <w:t xml:space="preserve">Faktisch ja</w:t>
            </w:r>
          </w:p>
        </w:tc>
        <w:tc>
          <w:tcPr/>
          <w:p>
            <w:pPr>
              <w:pStyle w:val="Compact"/>
              <w:jc w:val="left"/>
            </w:pPr>
            <w:r>
              <w:t xml:space="preserve">EdIS/C2k-Freigabeliste</w:t>
            </w:r>
          </w:p>
        </w:tc>
        <w:tc>
          <w:tcPr/>
          <w:p>
            <w:pPr>
              <w:pStyle w:val="Compact"/>
              <w:jc w:val="left"/>
            </w:pPr>
            <w:r>
              <w:t xml:space="preserve">Education Authority</w:t>
            </w:r>
          </w:p>
        </w:tc>
        <w:tc>
          <w:tcPr/>
          <w:p>
            <w:pPr>
              <w:pStyle w:val="Compact"/>
              <w:jc w:val="left"/>
            </w:pPr>
            <w:r>
              <w:t xml:space="preserve">24–36 Mon.</w:t>
            </w:r>
            <w:r>
              <w:t xml:space="preserve"> </w:t>
            </w:r>
            <w:r>
              <w:rPr>
                <w:iCs/>
                <w:i/>
              </w:rPr>
              <w:t xml:space="preserve">(Schätzung)</w:t>
            </w:r>
          </w:p>
        </w:tc>
      </w:tr>
    </w:tbl>
    <w:p>
      <w:pPr>
        <w:pStyle w:val="BodyText"/>
      </w:pPr>
      <w:r>
        <w:rPr>
          <w:bCs/>
          <w:b/>
        </w:rPr>
        <w:t xml:space="preserve">England hat keinen nationalen Schalter.</w:t>
      </w:r>
      <w:r>
        <w:t xml:space="preserve"> </w:t>
      </w:r>
      <w:r>
        <w:t xml:space="preserve">Das DfE kann Akademien keine Software vorschreiben: Akademien sind selbständige gemeinnützige Gesellschaften mit Finanzierungsvereinbarungen, und die durch den Children’s Wellbeing and Schools Act 2026 s.56 eingeführte Weisungsbefugnis ist eine Durchsetzungsbefugnis für bestehende Pflichten, keine Beschaffungsbefugnis. Bei maintained schools kann die Kommune empfehlen und Rahmenverträge führen, die Kaufentscheidung des Schulvorstands aber regelmäßig nicht erzwingen. Was das DfE</w:t>
      </w:r>
      <w:r>
        <w:t xml:space="preserve"> </w:t>
      </w:r>
      <w:r>
        <w:rPr>
          <w:iCs/>
          <w:i/>
        </w:rPr>
        <w:t xml:space="preserve">kann</w:t>
      </w:r>
      <w:r>
        <w:t xml:space="preserve">: einen Beschaffungsrahmen freigeben (der ein volles Verfahren in eine Direktvergabe verwandelt), Leitlinien veröffentlichen, denen der Sektor faktisch folgt, Adoption finanzieren (Oak/Aila, den Content-Store-Piloten, das</w:t>
      </w:r>
      <w:r>
        <w:t xml:space="preserve"> </w:t>
      </w:r>
      <w:r>
        <w:rPr>
          <w:bCs/>
          <w:b/>
        </w:rPr>
        <w:t xml:space="preserve">£23 Mio. EdTech Impact Testbed Programme</w:t>
      </w:r>
      <w:r>
        <w:t xml:space="preserve"> </w:t>
      </w:r>
      <w:r>
        <w:t xml:space="preserve">von FY2026-27 bis FY2029-30) und die Ofsted-Perspektive auf „die Entscheidungsfindung des Trägers” prägen.</w:t>
      </w:r>
      <w:r>
        <w:t xml:space="preserve"> </w:t>
      </w:r>
      <w:r>
        <w:rPr>
          <w:bCs/>
          <w:b/>
        </w:rPr>
        <w:t xml:space="preserve">Skaleneinheit in England ist der Multi-Academy Trust — rund 1.200, die größten mit 50+ Schulen — und der Trust, nicht die einzelne Schule, ist zugleich Verantwortlicher und Käufer, sodass die Freigabe auf Trust-Ebene erteilt werden muss.</w:t>
      </w:r>
    </w:p>
    <w:p>
      <w:pPr>
        <w:pStyle w:val="BodyText"/>
      </w:pPr>
      <w:r>
        <w:rPr>
          <w:bCs/>
          <w:b/>
        </w:rPr>
        <w:t xml:space="preserve">Wales kommt einer einzigen nationalen Entscheidung im Vereinigten Königreich am nächsten.</w:t>
      </w:r>
      <w:r>
        <w:t xml:space="preserve"> </w:t>
      </w:r>
      <w:r>
        <w:t xml:space="preserve">Hwb stellt bereits Microsoft Copilot Chat, Google Gemini, NotebookLM, Adobe Express und Microsoft Learning Accelerators für jede maintained school bereit, jeder Dienst „umfassend geprüft” und vertraglich anwaltlich begleitet. Der Weg führt offenbar über den kommunalen EdTech-Verantwortlichen zur</w:t>
      </w:r>
      <w:r>
        <w:t xml:space="preserve"> </w:t>
      </w:r>
      <w:r>
        <w:rPr>
          <w:bCs/>
          <w:b/>
        </w:rPr>
        <w:t xml:space="preserve">EdTech Technical Standards Group</w:t>
      </w:r>
      <w:r>
        <w:t xml:space="preserve"> </w:t>
      </w:r>
      <w:r>
        <w:t xml:space="preserve">—</w:t>
      </w:r>
      <w:r>
        <w:t xml:space="preserve"> </w:t>
      </w:r>
      <w:r>
        <w:rPr>
          <w:iCs/>
          <w:i/>
        </w:rPr>
        <w:t xml:space="preserve">mittlere Verlässlichkeit; ein förmliches veröffentlichtes Anbieter-Prüfverfahren oder eine Freigabeliste konnte für diese Prüfung nicht verifiziert werden.</w:t>
      </w:r>
      <w:r>
        <w:t xml:space="preserve"> </w:t>
      </w:r>
      <w:r>
        <w:t xml:space="preserve">Wales ist klein (22 Kommunen, rund 1.500 Schulen), und walisische Sprachfähigkeit ist für ein in walisischsprachigen Schulen eingesetztes OCR/LLM-Korrekturwerkzeug eine praktische Voraussetzung.</w:t>
      </w:r>
    </w:p>
    <w:p>
      <w:pPr>
        <w:pStyle w:val="BodyText"/>
      </w:pPr>
      <w:r>
        <w:rPr>
          <w:bCs/>
          <w:b/>
        </w:rPr>
        <w:t xml:space="preserve">Schottland: Eine Glow-Listung ist notwendig, aber nicht hinreichend</w:t>
      </w:r>
      <w:r>
        <w:t xml:space="preserve">, weil die Kommunen Verantwortliche sind und selbst Glow-bereitgestellte KI auf Opt-in-Basis läuft.</w:t>
      </w:r>
      <w:r>
        <w:t xml:space="preserve"> </w:t>
      </w:r>
      <w:r>
        <w:rPr>
          <w:bCs/>
          <w:b/>
        </w:rPr>
        <w:t xml:space="preserve">Ein veröffentlichtes Verfahren zur Aufnahme eines Drittdienstes in Glow konnte für diese Prüfung nicht verifiziert werden</w:t>
      </w:r>
      <w:r>
        <w:t xml:space="preserve">; der Weg führt über Education Scotland sowie ADES und COSLA.</w:t>
      </w:r>
    </w:p>
    <w:p>
      <w:pPr>
        <w:pStyle w:val="BodyText"/>
      </w:pPr>
      <w:r>
        <w:rPr>
          <w:bCs/>
          <w:b/>
        </w:rPr>
        <w:t xml:space="preserve">Nordirland ist ein einzelnes Tor, zugleich Hindernis und Preis.</w:t>
      </w:r>
      <w:r>
        <w:t xml:space="preserve"> </w:t>
      </w:r>
      <w:r>
        <w:t xml:space="preserve">Eine Entscheidung der Education Authority würde jede staatlich geförderte Schule erreichen (~1.100); ohne sie bleibt die Nutzung auf Einzel-DSFA nach DE Circular 2026/02 beschränkt.</w:t>
      </w:r>
    </w:p>
    <w:bookmarkEnd w:id="158"/>
    <w:bookmarkStart w:id="159" w:name="vereinigte-staaten-1"/>
    <w:p>
      <w:pPr>
        <w:pStyle w:val="Heading3"/>
      </w:pPr>
      <w:r>
        <w:t xml:space="preserve">8.3 Vereinigte Staaten</w:t>
      </w:r>
    </w:p>
    <w:p>
      <w:pPr>
        <w:pStyle w:val="FirstParagraph"/>
      </w:pPr>
      <w:r>
        <w:rPr>
          <w:bCs/>
          <w:b/>
        </w:rPr>
        <w:t xml:space="preserve">Der Bund kann es nicht.</w:t>
      </w:r>
      <w:r>
        <w:t xml:space="preserve"> </w:t>
      </w:r>
      <w:r>
        <w:t xml:space="preserve">Bildung ist Sache der Einzelstaaten; FERPA ist eine Bedingung der Bundesförderung an Einrichtungen und begründet keine Bundeszuständigkeit, an Stelle einer Einrichtung einen</w:t>
      </w:r>
      <w:r>
        <w:t xml:space="preserve"> </w:t>
      </w:r>
      <w:r>
        <w:rPr>
          <w:iCs/>
          <w:i/>
        </w:rPr>
        <w:t xml:space="preserve">school official</w:t>
      </w:r>
      <w:r>
        <w:t xml:space="preserve"> </w:t>
      </w:r>
      <w:r>
        <w:t xml:space="preserve">zu benennen. Die Benennung nach § 99.31(a)(1) und die Kriterien der Jahresmitteilung nach § 99.7(a)(3)(iii) sind definitionsgemäß einrichtungsbezogene Akte. Der Bundesbeitrag bestand in Geld und Zuspruch — EO 14277, der Dear-Colleague-Letter vom Juli 2025, die Förderpriorität vom April 2026 —</w:t>
      </w:r>
      <w:r>
        <w:t xml:space="preserve"> </w:t>
      </w:r>
      <w:r>
        <w:rPr>
          <w:bCs/>
          <w:b/>
        </w:rPr>
        <w:t xml:space="preserve">ohne jede Bedingung zu Genauigkeit, Bias, menschlicher Aufsicht oder Anfechtbarkeit</w:t>
      </w:r>
      <w:r>
        <w:t xml:space="preserve">. Echte Ausnahme sind die bundeseigenen Schulsysteme DoDEA und Bureau of Indian Education, wo ein einziger Bundesvertrag viele Schulen erreicht.</w:t>
      </w:r>
    </w:p>
    <w:p>
      <w:pPr>
        <w:pStyle w:val="BodyText"/>
      </w:pPr>
      <w:r>
        <w:rPr>
          <w:bCs/>
          <w:b/>
        </w:rPr>
        <w:t xml:space="preserve">Ein Einzelstaat kommt weit, aber nicht ganz.</w:t>
      </w:r>
      <w:r>
        <w:t xml:space="preserve"> </w:t>
      </w:r>
      <w:r>
        <w:t xml:space="preserve">Vier Mechanismen, aufsteigend: Freigabelisten der Landesbildungsbehörden (empfehlend; verkürzt die Prüfung, ersetzt den Vertrag des Bezirks nicht); landesweite Rahmenverträge (beseitigt die Vergabe, jeder Bezirk zeichnet gleichwohl einen Beitritt und einen eigenen Vertrag); Einkaufskooperativen (eine Ausschreibung, auf die Mitglieder aufsatteln); und</w:t>
      </w:r>
      <w:r>
        <w:t xml:space="preserve"> </w:t>
      </w:r>
      <w:r>
        <w:rPr>
          <w:bCs/>
          <w:b/>
        </w:rPr>
        <w:t xml:space="preserve">das National Data Privacy Agreement des SDPC</w:t>
      </w:r>
      <w:r>
        <w:t xml:space="preserve">.</w:t>
      </w:r>
    </w:p>
    <w:p>
      <w:pPr>
        <w:pStyle w:val="BodyText"/>
      </w:pPr>
      <w:r>
        <w:rPr>
          <w:bCs/>
          <w:b/>
        </w:rPr>
        <w:t xml:space="preserve">Das NDPA und warum es am nächsten kommt.</w:t>
      </w:r>
      <w:r>
        <w:t xml:space="preserve"> </w:t>
      </w:r>
      <w:r>
        <w:t xml:space="preserve">Getragen vom Student Data Privacy Consortium innerhalb der Access-4-Learning-Gemeinschaft; aktuelle Fassung</w:t>
      </w:r>
      <w:r>
        <w:t xml:space="preserve"> </w:t>
      </w:r>
      <w:r>
        <w:rPr>
          <w:bCs/>
          <w:b/>
        </w:rPr>
        <w:t xml:space="preserve">NDPA v2.2 vom 19. November 2025</w:t>
      </w:r>
      <w:r>
        <w:t xml:space="preserve">; seit 2016 über 222.000 Standardverträge in Bezirken aus 41 Staaten und rund 35 Landesallianzen</w:t>
      </w:r>
      <w:r>
        <w:t xml:space="preserve"> </w:t>
      </w:r>
      <w:r>
        <w:rPr>
          <w:iCs/>
          <w:i/>
        </w:rPr>
        <w:t xml:space="preserve">(Angaben des SDPC, nicht unabhängig verifiziert)</w:t>
      </w:r>
      <w:r>
        <w:t xml:space="preserve">. Entscheidend ist</w:t>
      </w:r>
      <w:r>
        <w:t xml:space="preserve"> </w:t>
      </w:r>
      <w:r>
        <w:rPr>
          <w:bCs/>
          <w:b/>
        </w:rPr>
        <w:t xml:space="preserve">Exhibit E, „General Offer of Privacy Terms”</w:t>
      </w:r>
      <w:r>
        <w:t xml:space="preserve">: Der Anbieter schließt einen vollständigen Vertrag mit einem Bezirk und erstreckt in Exhibit E dieselben Bedingungen auf jeden weiteren beitretenden Bezirk im Rahmen des Angebots, der durch eine einseitige Gegenzeichnung annimmt. Verträge und Angebote werden im SDPC Resource Registry veröffentlicht, das Bezirke vor der Beschaffung durchsuchen. Staatsspezifische Anlagen tragen landesrechtliche Anforderungen — New Yorks Exhibits G, J, K und L zum Education Law § 2-d sind der klarste Fall.</w:t>
      </w:r>
    </w:p>
    <w:p>
      <w:pPr>
        <w:pStyle w:val="BodyText"/>
      </w:pPr>
      <w:r>
        <w:rPr>
          <w:bCs/>
          <w:b/>
        </w:rPr>
        <w:t xml:space="preserve">Das ist das Nächste, was die USA an „viele Schulen auf einmal freigeben” haben — und es ist ein privatwirtschaftlicher, kein staatlicher Mechanismus.</w:t>
      </w:r>
      <w:r>
        <w:t xml:space="preserve"> </w:t>
      </w:r>
      <w:r>
        <w:t xml:space="preserve">Er beseitigt den Einzelakt je Bezirk nicht; er reduziert ihn von einer Verhandlung auf eine Gegenzeichnung. Exhibit E ist eine offene Verpflichtung gegenüber unbekannten Gegenparteien und das folgenreichste Instrument, das ein Anbieter in den USA zeichnet; maßgeblich ist der aktuelle v2.2-Text.</w:t>
      </w:r>
      <w:r>
        <w:t xml:space="preserve"> </w:t>
      </w:r>
      <w:r>
        <w:rPr>
          <w:iCs/>
          <w:i/>
        </w:rPr>
        <w:t xml:space="preserve">(Der Wortlaut des Exhibit E in v2.2 konnte für diese Prüfung nicht verifiziert werden.)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Weg</w:t>
            </w:r>
          </w:p>
        </w:tc>
        <w:tc>
          <w:tcPr/>
          <w:p>
            <w:pPr>
              <w:pStyle w:val="Compact"/>
              <w:jc w:val="left"/>
            </w:pPr>
            <w:r>
              <w:t xml:space="preserve">Reichweite</w:t>
            </w:r>
          </w:p>
        </w:tc>
        <w:tc>
          <w:tcPr/>
          <w:p>
            <w:pPr>
              <w:pStyle w:val="Compact"/>
              <w:jc w:val="left"/>
            </w:pPr>
            <w:r>
              <w:t xml:space="preserve">Dauer</w:t>
            </w:r>
            <w:r>
              <w:t xml:space="preserve"> </w:t>
            </w:r>
            <w:r>
              <w:rPr>
                <w:iCs/>
                <w:i/>
              </w:rPr>
              <w:t xml:space="preserve">(Schätzungen)</w:t>
            </w:r>
          </w:p>
        </w:tc>
      </w:tr>
      <w:tr>
        <w:tc>
          <w:tcPr/>
          <w:p>
            <w:pPr>
              <w:pStyle w:val="Compact"/>
              <w:jc w:val="left"/>
            </w:pPr>
            <w:r>
              <w:t xml:space="preserve">Einzelbezirk, NDPA-Standardklauseln unverändert</w:t>
            </w:r>
          </w:p>
        </w:tc>
        <w:tc>
          <w:tcPr/>
          <w:p>
            <w:pPr>
              <w:pStyle w:val="Compact"/>
              <w:jc w:val="left"/>
            </w:pPr>
            <w:r>
              <w:t xml:space="preserve">1 Bezirk</w:t>
            </w:r>
          </w:p>
        </w:tc>
        <w:tc>
          <w:tcPr/>
          <w:p>
            <w:pPr>
              <w:pStyle w:val="Compact"/>
              <w:jc w:val="left"/>
            </w:pPr>
            <w:r>
              <w:t xml:space="preserve">2–8 Wochen ab Befassung des Datenschutzbeauftragten</w:t>
            </w:r>
          </w:p>
        </w:tc>
      </w:tr>
      <w:tr>
        <w:tc>
          <w:tcPr/>
          <w:p>
            <w:pPr>
              <w:pStyle w:val="Compact"/>
              <w:jc w:val="left"/>
            </w:pPr>
            <w:r>
              <w:t xml:space="preserve">Einzelbezirk, geänderte Bedingungen oder Nicht-NDPA-Staat</w:t>
            </w:r>
          </w:p>
        </w:tc>
        <w:tc>
          <w:tcPr/>
          <w:p>
            <w:pPr>
              <w:pStyle w:val="Compact"/>
              <w:jc w:val="left"/>
            </w:pPr>
            <w:r>
              <w:t xml:space="preserve">1 Bezirk</w:t>
            </w:r>
          </w:p>
        </w:tc>
        <w:tc>
          <w:tcPr/>
          <w:p>
            <w:pPr>
              <w:pStyle w:val="Compact"/>
              <w:jc w:val="left"/>
            </w:pPr>
            <w:r>
              <w:t xml:space="preserve">2–6 Monate</w:t>
            </w:r>
          </w:p>
        </w:tc>
      </w:tr>
      <w:tr>
        <w:tc>
          <w:tcPr/>
          <w:p>
            <w:pPr>
              <w:pStyle w:val="Compact"/>
              <w:jc w:val="left"/>
            </w:pPr>
            <w:r>
              <w:t xml:space="preserve">Beitritt zu einer SDPC-Landesallianz, erstes NDPA mit Exhibit E</w:t>
            </w:r>
          </w:p>
        </w:tc>
        <w:tc>
          <w:tcPr/>
          <w:p>
            <w:pPr>
              <w:pStyle w:val="Compact"/>
              <w:jc w:val="left"/>
            </w:pPr>
            <w:r>
              <w:t xml:space="preserve">jeder Bezirk dieser Allianz</w:t>
            </w:r>
          </w:p>
        </w:tc>
        <w:tc>
          <w:tcPr/>
          <w:p>
            <w:pPr>
              <w:pStyle w:val="Compact"/>
              <w:jc w:val="left"/>
            </w:pPr>
            <w:r>
              <w:t xml:space="preserve">3–6 Monate bis zur ersten Unterschrift; weitere Bezirke in Tagen bis Wochen</w:t>
            </w:r>
          </w:p>
        </w:tc>
      </w:tr>
      <w:tr>
        <w:tc>
          <w:tcPr/>
          <w:p>
            <w:pPr>
              <w:pStyle w:val="Compact"/>
              <w:jc w:val="left"/>
            </w:pPr>
            <w:r>
              <w:t xml:space="preserve">Zuschlag einer Einkaufskooperative</w:t>
            </w:r>
          </w:p>
        </w:tc>
        <w:tc>
          <w:tcPr/>
          <w:p>
            <w:pPr>
              <w:pStyle w:val="Compact"/>
              <w:jc w:val="left"/>
            </w:pPr>
            <w:r>
              <w:t xml:space="preserve">viele Bezirke, mehrstaatlich</w:t>
            </w:r>
          </w:p>
        </w:tc>
        <w:tc>
          <w:tcPr/>
          <w:p>
            <w:pPr>
              <w:pStyle w:val="Compact"/>
              <w:jc w:val="left"/>
            </w:pPr>
            <w:r>
              <w:t xml:space="preserve">6–12 Monate</w:t>
            </w:r>
          </w:p>
        </w:tc>
      </w:tr>
      <w:tr>
        <w:tc>
          <w:tcPr/>
          <w:p>
            <w:pPr>
              <w:pStyle w:val="Compact"/>
              <w:jc w:val="left"/>
            </w:pPr>
            <w:r>
              <w:t xml:space="preserve">Landesweiter Rahmenvertrag</w:t>
            </w:r>
          </w:p>
        </w:tc>
        <w:tc>
          <w:tcPr/>
          <w:p>
            <w:pPr>
              <w:pStyle w:val="Compact"/>
              <w:jc w:val="left"/>
            </w:pPr>
            <w:r>
              <w:t xml:space="preserve">landesweit</w:t>
            </w:r>
          </w:p>
        </w:tc>
        <w:tc>
          <w:tcPr/>
          <w:p>
            <w:pPr>
              <w:pStyle w:val="Compact"/>
              <w:jc w:val="left"/>
            </w:pPr>
            <w:r>
              <w:t xml:space="preserve">9–18 Monate</w:t>
            </w:r>
          </w:p>
        </w:tc>
      </w:tr>
      <w:tr>
        <w:tc>
          <w:tcPr/>
          <w:p>
            <w:pPr>
              <w:pStyle w:val="Compact"/>
              <w:jc w:val="left"/>
            </w:pPr>
            <w:r>
              <w:t xml:space="preserve">Bundesweite Freigabe aller US-Schulen</w:t>
            </w:r>
          </w:p>
        </w:tc>
        <w:tc>
          <w:tcPr/>
          <w:p>
            <w:pPr>
              <w:pStyle w:val="Compact"/>
              <w:jc w:val="left"/>
            </w:pPr>
            <w:r>
              <w:t xml:space="preserve">—</w:t>
            </w:r>
          </w:p>
        </w:tc>
        <w:tc>
          <w:tcPr/>
          <w:p>
            <w:pPr>
              <w:pStyle w:val="Compact"/>
              <w:jc w:val="left"/>
            </w:pPr>
            <w:r>
              <w:rPr>
                <w:bCs/>
                <w:b/>
              </w:rPr>
              <w:t xml:space="preserve">kein gangbarer Weg</w:t>
            </w:r>
          </w:p>
        </w:tc>
      </w:tr>
    </w:tbl>
    <w:bookmarkEnd w:id="159"/>
    <w:bookmarkEnd w:id="160"/>
    <w:bookmarkStart w:id="169" w:name="vereinigtes-königreich-1"/>
    <w:p>
      <w:pPr>
        <w:pStyle w:val="Heading2"/>
      </w:pPr>
      <w:r>
        <w:t xml:space="preserve">9. Vereinigtes Königreich</w:t>
      </w:r>
    </w:p>
    <w:bookmarkStart w:id="161" w:name="X65d6cd3b01f4a6f4fa3772821e6ea744c8a1257"/>
    <w:p>
      <w:pPr>
        <w:pStyle w:val="Heading3"/>
      </w:pPr>
      <w:r>
        <w:t xml:space="preserve">9.1 Die verbindlichen britischen KI-Regeln sind Datenschutzregeln</w:t>
      </w:r>
    </w:p>
    <w:p>
      <w:pPr>
        <w:pStyle w:val="FirstParagraph"/>
      </w:pPr>
      <w:r>
        <w:rPr>
          <w:bCs/>
          <w:b/>
        </w:rPr>
        <w:t xml:space="preserve">Es gibt weiterhin kein britisches KI-Gesetz.</w:t>
      </w:r>
      <w:r>
        <w:t xml:space="preserve"> </w:t>
      </w:r>
      <w:r>
        <w:t xml:space="preserve">KI wird am Einsatzpunkt durch die bestehenden Fachaufsichten reguliert, auf Grundlage der fünf nicht gesetzlichen Prinzipien des Weißbuchs von März 2023. Das AI Safety Institute wurde am 24. Februar 2025 in</w:t>
      </w:r>
      <w:r>
        <w:t xml:space="preserve"> </w:t>
      </w:r>
      <w:r>
        <w:rPr>
          <w:bCs/>
          <w:b/>
        </w:rPr>
        <w:t xml:space="preserve">AI Security Institute</w:t>
      </w:r>
      <w:r>
        <w:t xml:space="preserve"> </w:t>
      </w:r>
      <w:r>
        <w:t xml:space="preserve">umbenannt, ist nicht gesetzlich verankert, arbeitet an Frontier-Modell-Evaluationen und hat keine Zuständigkeit für EdTech. Ein Gesetzentwurf eines Abgeordneten erhielt am 4. Juni 2026 eine zweite Lesung im Oberhaus — ein Signal, kein Risiko.</w:t>
      </w:r>
    </w:p>
    <w:p>
      <w:pPr>
        <w:pStyle w:val="BodyText"/>
      </w:pPr>
      <w:r>
        <w:t xml:space="preserve">Maßgeblich ist daher die</w:t>
      </w:r>
      <w:r>
        <w:t xml:space="preserve"> </w:t>
      </w:r>
      <w:r>
        <w:rPr>
          <w:bCs/>
          <w:b/>
        </w:rPr>
        <w:t xml:space="preserve">UK-GDPR in der Fassung des Data (Use and Access) Act 2025</w:t>
      </w:r>
      <w:r>
        <w:t xml:space="preserve"> </w:t>
      </w:r>
      <w:r>
        <w:t xml:space="preserve">nebst dem kommenden gesetzlichen ICO-Kodex.</w:t>
      </w:r>
    </w:p>
    <w:bookmarkEnd w:id="161"/>
    <w:bookmarkStart w:id="162" w:name="Xcb206ce55cd576a87ba49825b9d8065cf27dcb9"/>
    <w:p>
      <w:pPr>
        <w:pStyle w:val="Heading3"/>
      </w:pPr>
      <w:r>
        <w:t xml:space="preserve">9.2 Die DUAA-Reform der automatisierten Entscheidung — eine echte Divergenz zur EU</w:t>
      </w:r>
    </w:p>
    <w:p>
      <w:pPr>
        <w:pStyle w:val="FirstParagraph"/>
      </w:pPr>
      <w:r>
        <w:t xml:space="preserve">Königliche Zustimmung am 19. Juni 2025;</w:t>
      </w:r>
      <w:r>
        <w:t xml:space="preserve"> </w:t>
      </w:r>
      <w:r>
        <w:rPr>
          <w:bCs/>
          <w:b/>
        </w:rPr>
        <w:t xml:space="preserve">s.80 in Kraft seit 5. Februar 2026</w:t>
      </w:r>
      <w:r>
        <w:t xml:space="preserve">. Sie</w:t>
      </w:r>
      <w:r>
        <w:t xml:space="preserve"> </w:t>
      </w:r>
      <w:r>
        <w:rPr>
          <w:bCs/>
          <w:b/>
        </w:rPr>
        <w:t xml:space="preserve">ersetzt Artikel 22 UK-GDPR vollständig</w:t>
      </w:r>
      <w:r>
        <w:t xml:space="preserve"> </w:t>
      </w:r>
      <w:r>
        <w:t xml:space="preserve">durch die Artikel 22A–22D.</w:t>
      </w:r>
    </w:p>
    <w:p>
      <w:pPr>
        <w:numPr>
          <w:ilvl w:val="0"/>
          <w:numId w:val="1045"/>
        </w:numPr>
        <w:pStyle w:val="Compact"/>
      </w:pPr>
      <w:r>
        <w:rPr>
          <w:bCs/>
          <w:b/>
        </w:rPr>
        <w:t xml:space="preserve">Art. 22A Abs. 1 Buchst. a:</w:t>
      </w:r>
      <w:r>
        <w:t xml:space="preserve"> </w:t>
      </w:r>
      <w:r>
        <w:t xml:space="preserve">Eine Entscheidung beruht ausschließlich auf automatisierter Verarbeitung,</w:t>
      </w:r>
      <w:r>
        <w:t xml:space="preserve"> </w:t>
      </w:r>
      <w:r>
        <w:rPr>
          <w:iCs/>
          <w:i/>
        </w:rPr>
        <w:t xml:space="preserve">„if there is no meaningful human involvement in the taking of the decision”</w:t>
      </w:r>
      <w:r>
        <w:t xml:space="preserve">; Buchst. b definiert die „significant decision” als solche mit rechtlicher oder ähnlich erheblicher Wirkung. Abs. 2 verlangt die Berücksichtigung des Ausmaßes, in dem die Entscheidung durch Profiling zustande kommt.</w:t>
      </w:r>
    </w:p>
    <w:p>
      <w:pPr>
        <w:numPr>
          <w:ilvl w:val="0"/>
          <w:numId w:val="1045"/>
        </w:numPr>
        <w:pStyle w:val="Compact"/>
      </w:pPr>
      <w:r>
        <w:rPr>
          <w:bCs/>
          <w:b/>
        </w:rPr>
        <w:t xml:space="preserve">Art. 22B Abs. 1:</w:t>
      </w:r>
      <w:r>
        <w:t xml:space="preserve"> </w:t>
      </w:r>
      <w:r>
        <w:t xml:space="preserve">Das</w:t>
      </w:r>
      <w:r>
        <w:t xml:space="preserve"> </w:t>
      </w:r>
      <w:r>
        <w:rPr>
          <w:bCs/>
          <w:b/>
        </w:rPr>
        <w:t xml:space="preserve">Verbot besteht nur noch für besondere Datenkategorien</w:t>
      </w:r>
      <w:r>
        <w:t xml:space="preserve"> </w:t>
      </w:r>
      <w:r>
        <w:t xml:space="preserve">fort — eine erhebliche Entscheidung, die ganz oder teilweise auf Art.-9-Verarbeitung beruht, darf nicht ausschließlich automatisiert ergehen, sofern nicht ausdrückliche Einwilligung oder Vertrag/gesetzliche Ermächtigung nebst Art. 9 Abs. 2 Buchst. g vorliegen.</w:t>
      </w:r>
      <w:r>
        <w:t xml:space="preserve"> </w:t>
      </w:r>
      <w:r>
        <w:rPr>
          <w:bCs/>
          <w:b/>
        </w:rPr>
        <w:t xml:space="preserve">Abs. 4</w:t>
      </w:r>
      <w:r>
        <w:t xml:space="preserve"> </w:t>
      </w:r>
      <w:r>
        <w:t xml:space="preserve">schließt die Stützung auf die neuen „recognised legitimate interests” vollständig aus.</w:t>
      </w:r>
    </w:p>
    <w:p>
      <w:pPr>
        <w:numPr>
          <w:ilvl w:val="0"/>
          <w:numId w:val="1045"/>
        </w:numPr>
        <w:pStyle w:val="Compact"/>
      </w:pPr>
      <w:r>
        <w:rPr>
          <w:bCs/>
          <w:b/>
        </w:rPr>
        <w:t xml:space="preserve">Art. 22C:</w:t>
      </w:r>
      <w:r>
        <w:t xml:space="preserve"> </w:t>
      </w:r>
      <w:r>
        <w:t xml:space="preserve">Im Übrigen sind ausschließlich automatisierte erhebliche Entscheidungen</w:t>
      </w:r>
      <w:r>
        <w:t xml:space="preserve"> </w:t>
      </w:r>
      <w:r>
        <w:rPr>
          <w:bCs/>
          <w:b/>
        </w:rPr>
        <w:t xml:space="preserve">zulässig, vorbehaltlich vier Garantien</w:t>
      </w:r>
      <w:r>
        <w:t xml:space="preserve"> </w:t>
      </w:r>
      <w:r>
        <w:t xml:space="preserve">— Information über die Entscheidung, Möglichkeit zur Stellungnahme, Eingreifen eines Menschen, Anfechtungsmöglichkeit.</w:t>
      </w:r>
    </w:p>
    <w:p>
      <w:pPr>
        <w:numPr>
          <w:ilvl w:val="0"/>
          <w:numId w:val="1045"/>
        </w:numPr>
        <w:pStyle w:val="Compact"/>
      </w:pPr>
      <w:r>
        <w:rPr>
          <w:bCs/>
          <w:b/>
        </w:rPr>
        <w:t xml:space="preserve">DPA 2018 s.14 wurde zum 5. Februar 2026 aufgehoben.</w:t>
      </w:r>
      <w:r>
        <w:t xml:space="preserve"> </w:t>
      </w:r>
      <w:r>
        <w:t xml:space="preserve">Jede Dokumentation, jede DSFA-Vorlage und jedes sonstige Material, das s.14 zitiert, ist damit überholt.</w:t>
      </w:r>
    </w:p>
    <w:p>
      <w:pPr>
        <w:pStyle w:val="FirstParagraph"/>
      </w:pPr>
      <w:r>
        <w:rPr>
          <w:bCs/>
          <w:b/>
        </w:rPr>
        <w:t xml:space="preserve">Anwendung auf die KI-gestützte Prüfungsbewertung.</w:t>
      </w:r>
      <w:r>
        <w:t xml:space="preserve"> </w:t>
      </w:r>
      <w:r>
        <w:t xml:space="preserve">Eine Prüfungsnote ist ersichtlich eine erhebliche Entscheidung; der ICO-Entwurf ergänzt, dass Kinder Entscheidungen als erheblich empfinden können, die andere nicht so empfinden, und dass Organisationen, die nicht differenzieren können, die Garantien durchgängig anwenden sollten.</w:t>
      </w:r>
      <w:r>
        <w:t xml:space="preserve"> </w:t>
      </w:r>
      <w:r>
        <w:rPr>
          <w:bCs/>
          <w:b/>
        </w:rPr>
        <w:t xml:space="preserve">Die eigentliche Gefahr sind die besonderen Kategorien:</w:t>
      </w:r>
      <w:r>
        <w:t xml:space="preserve"> </w:t>
      </w:r>
      <w:r>
        <w:t xml:space="preserve">Art. 22B greift, wenn die Entscheidung</w:t>
      </w:r>
      <w:r>
        <w:t xml:space="preserve"> </w:t>
      </w:r>
      <w:r>
        <w:rPr>
          <w:iCs/>
          <w:i/>
        </w:rPr>
        <w:t xml:space="preserve">„ganz oder teilweise”</w:t>
      </w:r>
      <w:r>
        <w:t xml:space="preserve"> </w:t>
      </w:r>
      <w:r>
        <w:t xml:space="preserve">auf Art.-9-Verarbeitung beruht, und vollständige Arbeiten enthalten regelmäßig Gesundheits-, Behinderungs-, Religions-, Ethnizitäts- oder Orientierungsbezüge. Versagt die menschliche Prüfung je, wird die Entscheidung ausschließlich automatisiert</w:t>
      </w:r>
      <w:r>
        <w:t xml:space="preserve"> </w:t>
      </w:r>
      <w:r>
        <w:rPr>
          <w:iCs/>
          <w:i/>
        </w:rPr>
        <w:t xml:space="preserve">und</w:t>
      </w:r>
      <w:r>
        <w:t xml:space="preserve"> </w:t>
      </w:r>
      <w:r>
        <w:t xml:space="preserve">beruht teilweise auf besonderen Kategorien — und keine der beiden verfügbaren Bedingungen ist von einer Schule ohne Weiteres zu erfüllen.</w:t>
      </w:r>
    </w:p>
    <w:p>
      <w:pPr>
        <w:pStyle w:val="BodyText"/>
      </w:pPr>
      <w:r>
        <w:rPr>
          <w:bCs/>
          <w:b/>
        </w:rPr>
        <w:t xml:space="preserve">Der ICO-Entwurf zur automatisierten Entscheidung</w:t>
      </w:r>
      <w:r>
        <w:t xml:space="preserve"> </w:t>
      </w:r>
      <w:r>
        <w:t xml:space="preserve">(Konsultation 31. März bis 29. Mai 2026;</w:t>
      </w:r>
      <w:r>
        <w:t xml:space="preserve"> </w:t>
      </w:r>
      <w:r>
        <w:rPr>
          <w:bCs/>
          <w:b/>
        </w:rPr>
        <w:t xml:space="preserve">endgültige Fassung am 11. September 2026 nicht veröffentlicht</w:t>
      </w:r>
      <w:r>
        <w:t xml:space="preserve">) setzt einen anspruchsvollen Maßstab für aussagekräftige menschliche Beteiligung: aktive Beteiligung statt symbolischer Gesten, vor Anwendung der Entscheidung; der Prüfer muss die Entscheidung sehen, solange sie änderbar ist, und Befugnis und Fähigkeit zur Änderung haben; er muss in Logik, Ausgaben, Grenzen und Risiken des Systems geschult sein; er muss die relevanten Daten berücksichtigen;</w:t>
      </w:r>
      <w:r>
        <w:t xml:space="preserve"> </w:t>
      </w:r>
      <w:r>
        <w:rPr>
          <w:bCs/>
          <w:b/>
        </w:rPr>
        <w:t xml:space="preserve">die Prüfung muss bei jeder Entscheidung stattfinden, nicht stichprobenartig</w:t>
      </w:r>
      <w:r>
        <w:t xml:space="preserve">; Zeitpunkt und Verfahren sind zu dokumentieren; und die Informationspflicht aus Art. 22C ist entscheidungsbezogen, eine Datenschutzerklärung genügt nicht.</w:t>
      </w:r>
      <w:r>
        <w:t xml:space="preserve"> </w:t>
      </w:r>
      <w:r>
        <w:rPr>
          <w:iCs/>
          <w:i/>
        </w:rPr>
        <w:t xml:space="preserve">(Diese Einzelheiten stammen aus dem Entwurf und aus Kanzleianalysen dazu; die Kriterien können sich ändern.)</w:t>
      </w:r>
    </w:p>
    <w:p>
      <w:pPr>
        <w:pStyle w:val="BodyText"/>
      </w:pPr>
      <w:r>
        <w:rPr>
          <w:bCs/>
          <w:b/>
        </w:rPr>
        <w:t xml:space="preserve">Ein gesetzlicher ICO-Kodex ist nun vorgeschrieben.</w:t>
      </w:r>
      <w:r>
        <w:t xml:space="preserve"> </w:t>
      </w:r>
      <w:r>
        <w:t xml:space="preserve">Die Data Protection Act 2018 (Code of Practice on Artificial Intelligence and Automated Decision-Making) Regulations 2026,</w:t>
      </w:r>
      <w:r>
        <w:t xml:space="preserve"> </w:t>
      </w:r>
      <w:r>
        <w:rPr>
          <w:bCs/>
          <w:b/>
        </w:rPr>
        <w:t xml:space="preserve">SI 2026/425, in Kraft seit 12. Mai 2026</w:t>
      </w:r>
      <w:r>
        <w:t xml:space="preserve">, verpflichten den Commissioner zu einem Kodex über Entwicklung und Einsatz von KI sowie automatisierte Entscheidungen — und reg. 2(2): Der Kodex</w:t>
      </w:r>
      <w:r>
        <w:t xml:space="preserve"> </w:t>
      </w:r>
      <w:r>
        <w:rPr>
          <w:bCs/>
          <w:b/>
        </w:rPr>
        <w:t xml:space="preserve">muss</w:t>
      </w:r>
      <w:r>
        <w:t xml:space="preserve"> </w:t>
      </w:r>
      <w:r>
        <w:t xml:space="preserve">Leitlinien zur Verarbeitung personenbezogener Daten von Kindern enthalten. Es handelt sich um einen gesetzlichen Kodex, der vor Gericht verwertbar ist und den der ICO bei der Durchsetzung berücksichtigen muss.</w:t>
      </w:r>
      <w:r>
        <w:t xml:space="preserve"> </w:t>
      </w:r>
      <w:r>
        <w:rPr>
          <w:bCs/>
          <w:b/>
        </w:rPr>
        <w:t xml:space="preserve">Am 11. September 2026 waren weder Entwurf noch Konsultation noch Zeitplan veröffentlicht. Sein Kinder-Kapitel wird das maßgebliche britische Konformitätsdokument für derartige Systeme und ist zu beobachten.</w:t>
      </w:r>
    </w:p>
    <w:bookmarkEnd w:id="162"/>
    <w:bookmarkStart w:id="163" w:name="X7bb698d813931a007a3a2fc4fee40763738292c"/>
    <w:p>
      <w:pPr>
        <w:pStyle w:val="Heading3"/>
      </w:pPr>
      <w:r>
        <w:t xml:space="preserve">9.3 Die Prüfungsarbeiten-Ausnahme — nützlich und regelmäßig überzeichnet</w:t>
      </w:r>
    </w:p>
    <w:p>
      <w:pPr>
        <w:pStyle w:val="FirstParagraph"/>
      </w:pPr>
      <w:r>
        <w:t xml:space="preserve">DPA 2018 Sch. 2 Part 4 para 25 leistet zweierlei:</w:t>
      </w:r>
    </w:p>
    <w:p>
      <w:pPr>
        <w:numPr>
          <w:ilvl w:val="0"/>
          <w:numId w:val="1046"/>
        </w:numPr>
        <w:pStyle w:val="Compact"/>
      </w:pPr>
      <w:r>
        <w:rPr>
          <w:bCs/>
          <w:b/>
        </w:rPr>
        <w:t xml:space="preserve">Abs. 1 ist eine echte Ausnahme:</w:t>
      </w:r>
      <w:r>
        <w:t xml:space="preserve"> </w:t>
      </w:r>
      <w:r>
        <w:t xml:space="preserve">Art. 13 Abs. 1–3, Art. 14 Abs. 1–4 und Art. 15 Abs. 1–3</w:t>
      </w:r>
      <w:r>
        <w:t xml:space="preserve"> </w:t>
      </w:r>
      <w:r>
        <w:rPr>
          <w:iCs/>
          <w:i/>
        </w:rPr>
        <w:t xml:space="preserve">„do not apply to personal data consisting of information recorded by candidates during an exam”</w:t>
      </w:r>
      <w:r>
        <w:t xml:space="preserve">. Ein Auskunftsersuchen erzwingt also nicht die Herausgabe des Arbeitsinhalts selbst.</w:t>
      </w:r>
    </w:p>
    <w:p>
      <w:pPr>
        <w:numPr>
          <w:ilvl w:val="0"/>
          <w:numId w:val="1046"/>
        </w:numPr>
        <w:pStyle w:val="Compact"/>
      </w:pPr>
      <w:r>
        <w:rPr>
          <w:bCs/>
          <w:b/>
        </w:rPr>
        <w:t xml:space="preserve">Abs. 2–3 modifizieren für Noten lediglich die</w:t>
      </w:r>
      <w:r>
        <w:rPr>
          <w:bCs/>
          <w:b/>
        </w:rPr>
        <w:t xml:space="preserve"> </w:t>
      </w:r>
      <w:r>
        <w:rPr>
          <w:iCs/>
          <w:i/>
          <w:bCs/>
          <w:b/>
        </w:rPr>
        <w:t xml:space="preserve">Frist</w:t>
      </w:r>
      <w:r>
        <w:rPr>
          <w:bCs/>
          <w:b/>
        </w:rPr>
        <w:t xml:space="preserve">:</w:t>
      </w:r>
      <w:r>
        <w:t xml:space="preserve"> </w:t>
      </w:r>
      <w:r>
        <w:t xml:space="preserve">Entsteht die Frage vor Bekanntgabe der Ergebnisse, gilt eine Frist von fünf Monaten ab Entstehen oder vierzig Tagen ab Bekanntgabe, je nachdem, was früher eintritt. Die Noten bleiben auskunftspflichtig.</w:t>
      </w:r>
    </w:p>
    <w:p>
      <w:pPr>
        <w:pStyle w:val="FirstParagraph"/>
      </w:pPr>
      <w:r>
        <w:rPr>
          <w:bCs/>
          <w:b/>
        </w:rPr>
        <w:t xml:space="preserve">Für Artikel 22C leistet sie nichts.</w:t>
      </w:r>
      <w:r>
        <w:t xml:space="preserve"> </w:t>
      </w:r>
      <w:r>
        <w:t xml:space="preserve">Para 25 beschränkt nur Art. 13–15. Die Pflichten aus Art. 22C, Art. 16 (Berichtigung), Art. 21 (Widerspruch) und die neue Beschwerdepflicht bleiben unberührt. Die auf para 25 gestützte Aussage, „Prüfungsdaten sind ausgenommen”, ist überzeichnet und wird von jedem kompetenten schulischen Datenschutzbeauftragten als solche erkannt.</w:t>
      </w:r>
    </w:p>
    <w:p>
      <w:pPr>
        <w:pStyle w:val="BodyText"/>
      </w:pPr>
      <w:r>
        <w:rPr>
          <w:bCs/>
          <w:b/>
        </w:rPr>
        <w:t xml:space="preserve">Neues Beschwerderegime.</w:t>
      </w:r>
      <w:r>
        <w:t xml:space="preserve"> </w:t>
      </w:r>
      <w:r>
        <w:t xml:space="preserve">DUAA s.103, in Kraft seit 19. Juni 2026, fügt DPA 2018 s.164A ein: Betroffene können sich</w:t>
      </w:r>
      <w:r>
        <w:t xml:space="preserve"> </w:t>
      </w:r>
      <w:r>
        <w:rPr>
          <w:bCs/>
          <w:b/>
        </w:rPr>
        <w:t xml:space="preserve">beim Verantwortlichen</w:t>
      </w:r>
      <w:r>
        <w:t xml:space="preserve"> </w:t>
      </w:r>
      <w:r>
        <w:t xml:space="preserve">beschweren, der die Beschwerde</w:t>
      </w:r>
      <w:r>
        <w:t xml:space="preserve"> </w:t>
      </w:r>
      <w:r>
        <w:rPr>
          <w:iCs/>
          <w:i/>
        </w:rPr>
        <w:t xml:space="preserve">erleichtern</w:t>
      </w:r>
      <w:r>
        <w:t xml:space="preserve"> </w:t>
      </w:r>
      <w:r>
        <w:t xml:space="preserve">(etwa durch ein elektronisches Formular),</w:t>
      </w:r>
      <w:r>
        <w:t xml:space="preserve"> </w:t>
      </w:r>
      <w:r>
        <w:rPr>
          <w:bCs/>
          <w:b/>
        </w:rPr>
        <w:t xml:space="preserve">binnen 30 Tagen bestätigen</w:t>
      </w:r>
      <w:r>
        <w:t xml:space="preserve"> </w:t>
      </w:r>
      <w:r>
        <w:t xml:space="preserve">und unverzüglich reagieren muss. Art. 77 UK-GDPR wurde aufgehoben. Ein Elternteil, das eine KI-gestützte Note bestreitet, ist damit ein Datenschutzbeschwerdefall mit gesetzlicher Frist.</w:t>
      </w:r>
      <w:r>
        <w:t xml:space="preserve"> </w:t>
      </w:r>
      <w:r>
        <w:rPr>
          <w:bCs/>
          <w:b/>
        </w:rPr>
        <w:t xml:space="preserve">Der rechtmäßige Einsatz setzt daher einen entscheidungsbezogenen Anfechtungs- und Beschwerdeweg voraus, den die einsetzende Schule in ihr s.164A-Verfahren überführen kann; derselbe Weg erfüllt zugleich die Garantien des Art. 22C Abs. 2 Buchst. b und d.</w:t>
      </w:r>
    </w:p>
    <w:bookmarkEnd w:id="163"/>
    <w:bookmarkStart w:id="164" w:name="X99afafc55667c090d857beec659b5a43a0d16d5"/>
    <w:p>
      <w:pPr>
        <w:pStyle w:val="Heading3"/>
      </w:pPr>
      <w:r>
        <w:t xml:space="preserve">9.4 Das EdTech-Audit des ICO — die beste verfügbare britische Konformitätscheckliste</w:t>
      </w:r>
    </w:p>
    <w:p>
      <w:pPr>
        <w:pStyle w:val="FirstParagraph"/>
      </w:pPr>
      <w:r>
        <w:rPr>
          <w:iCs/>
          <w:i/>
        </w:rPr>
        <w:t xml:space="preserve">Edtech examined</w:t>
      </w:r>
      <w:r>
        <w:t xml:space="preserve">, 24. Juni 2026: 28 geprüfte Anbieter, die geschätzt 70–90 %+ der britischen Schulen erreichen; 596 Empfehlungen, 98 % angenommen.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Befund</w:t>
            </w:r>
          </w:p>
        </w:tc>
        <w:tc>
          <w:tcPr/>
          <w:p>
            <w:pPr>
              <w:pStyle w:val="Compact"/>
              <w:jc w:val="left"/>
            </w:pPr>
            <w:r>
              <w:t xml:space="preserve">Verbreitung</w:t>
            </w:r>
          </w:p>
        </w:tc>
      </w:tr>
      <w:tr>
        <w:tc>
          <w:tcPr/>
          <w:p>
            <w:pPr>
              <w:pStyle w:val="Compact"/>
              <w:jc w:val="left"/>
            </w:pPr>
            <w:r>
              <w:t xml:space="preserve">Sich nicht als</w:t>
            </w:r>
            <w:r>
              <w:t xml:space="preserve"> </w:t>
            </w:r>
            <w:r>
              <w:rPr>
                <w:bCs/>
                <w:b/>
              </w:rPr>
              <w:t xml:space="preserve">Verantwortliche</w:t>
            </w:r>
            <w:r>
              <w:t xml:space="preserve"> </w:t>
            </w:r>
            <w:r>
              <w:t xml:space="preserve">erkannt, wenn Kinderdaten über den beauftragten Dienst hinaus genutzt wurden</w:t>
            </w:r>
          </w:p>
        </w:tc>
        <w:tc>
          <w:tcPr/>
          <w:p>
            <w:pPr>
              <w:pStyle w:val="Compact"/>
              <w:jc w:val="left"/>
            </w:pPr>
            <w:r>
              <w:t xml:space="preserve">~70 %</w:t>
            </w:r>
          </w:p>
        </w:tc>
      </w:tr>
      <w:tr>
        <w:tc>
          <w:tcPr/>
          <w:p>
            <w:pPr>
              <w:pStyle w:val="Compact"/>
              <w:jc w:val="left"/>
            </w:pPr>
            <w:r>
              <w:t xml:space="preserve">Unvollständige oder unrichtige Verarbeitungsverzeichnisse</w:t>
            </w:r>
          </w:p>
        </w:tc>
        <w:tc>
          <w:tcPr/>
          <w:p>
            <w:pPr>
              <w:pStyle w:val="Compact"/>
              <w:jc w:val="left"/>
            </w:pPr>
            <w:r>
              <w:t xml:space="preserve">~90 %</w:t>
            </w:r>
          </w:p>
        </w:tc>
      </w:tr>
      <w:tr>
        <w:tc>
          <w:tcPr/>
          <w:p>
            <w:pPr>
              <w:pStyle w:val="Compact"/>
              <w:jc w:val="left"/>
            </w:pPr>
            <w:r>
              <w:t xml:space="preserve">Vage Verträge ohne konkrete Verarbeitungsweisungen</w:t>
            </w:r>
          </w:p>
        </w:tc>
        <w:tc>
          <w:tcPr/>
          <w:p>
            <w:pPr>
              <w:pStyle w:val="Compact"/>
              <w:jc w:val="left"/>
            </w:pPr>
            <w:r>
              <w:t xml:space="preserve">~70 %</w:t>
            </w:r>
          </w:p>
        </w:tc>
      </w:tr>
      <w:tr>
        <w:tc>
          <w:tcPr/>
          <w:p>
            <w:pPr>
              <w:pStyle w:val="Compact"/>
              <w:jc w:val="left"/>
            </w:pPr>
            <w:r>
              <w:t xml:space="preserve">Unzureichend detaillierte veröffentlichte Datenschutzinformationen</w:t>
            </w:r>
          </w:p>
        </w:tc>
        <w:tc>
          <w:tcPr/>
          <w:p>
            <w:pPr>
              <w:pStyle w:val="Compact"/>
              <w:jc w:val="left"/>
            </w:pPr>
            <w:r>
              <w:t xml:space="preserve">~80 %</w:t>
            </w:r>
          </w:p>
        </w:tc>
      </w:tr>
      <w:tr>
        <w:tc>
          <w:tcPr/>
          <w:p>
            <w:pPr>
              <w:pStyle w:val="Compact"/>
              <w:jc w:val="left"/>
            </w:pPr>
            <w:r>
              <w:t xml:space="preserve">Starre, nicht begründbare oder unbefristete Speicherung</w:t>
            </w:r>
          </w:p>
        </w:tc>
        <w:tc>
          <w:tcPr/>
          <w:p>
            <w:pPr>
              <w:pStyle w:val="Compact"/>
              <w:jc w:val="left"/>
            </w:pPr>
            <w:r>
              <w:t xml:space="preserve">~70 %</w:t>
            </w:r>
          </w:p>
        </w:tc>
      </w:tr>
      <w:tr>
        <w:tc>
          <w:tcPr/>
          <w:p>
            <w:pPr>
              <w:pStyle w:val="Compact"/>
              <w:jc w:val="left"/>
            </w:pPr>
            <w:r>
              <w:t xml:space="preserve">DSFA, die Risiko organisationsbezogen statt als</w:t>
            </w:r>
            <w:r>
              <w:t xml:space="preserve"> </w:t>
            </w:r>
            <w:r>
              <w:rPr>
                <w:bCs/>
                <w:b/>
              </w:rPr>
              <w:t xml:space="preserve">Risiko für Kinder</w:t>
            </w:r>
            <w:r>
              <w:t xml:space="preserve"> </w:t>
            </w:r>
            <w:r>
              <w:t xml:space="preserve">fassen</w:t>
            </w:r>
          </w:p>
        </w:tc>
        <w:tc>
          <w:tcPr/>
          <w:p>
            <w:pPr>
              <w:pStyle w:val="Compact"/>
              <w:jc w:val="left"/>
            </w:pPr>
            <w:r>
              <w:t xml:space="preserve">weit verbreitet</w:t>
            </w:r>
          </w:p>
        </w:tc>
      </w:tr>
    </w:tbl>
    <w:p>
      <w:pPr>
        <w:pStyle w:val="BodyText"/>
      </w:pPr>
      <w:r>
        <w:t xml:space="preserve">Zur KI im Besonderen: Mehrere Anbieter nutzten Kinderdaten zum Training von KI-Funktionen oder gaben anonymisierte Informationen an Dritte weiter,</w:t>
      </w:r>
      <w:r>
        <w:t xml:space="preserve"> </w:t>
      </w:r>
      <w:r>
        <w:rPr>
          <w:bCs/>
          <w:b/>
        </w:rPr>
        <w:t xml:space="preserve">ohne eine Rechtsgrundlage zu benennen</w:t>
      </w:r>
      <w:r>
        <w:t xml:space="preserve">. Zur Minimierung empfiehlt der ICO Initialen oder Pseudonyme, Jahrgangsstufe statt vollständigem Geburtsdatum und</w:t>
      </w:r>
      <w:r>
        <w:t xml:space="preserve"> </w:t>
      </w:r>
      <w:r>
        <w:rPr>
          <w:bCs/>
          <w:b/>
        </w:rPr>
        <w:t xml:space="preserve">besondere Kategorien optional und standardmäßig deaktiviert</w:t>
      </w:r>
      <w:r>
        <w:t xml:space="preserve">. Der ICO erörtert mit DfE und den dezentralen Verwaltungen einen</w:t>
      </w:r>
      <w:r>
        <w:t xml:space="preserve"> </w:t>
      </w:r>
      <w:r>
        <w:rPr>
          <w:bCs/>
          <w:b/>
        </w:rPr>
        <w:t xml:space="preserve">möglichen neuen EdTech-Kodex</w:t>
      </w:r>
      <w:r>
        <w:t xml:space="preserve">, und die Beschaffungsleitlinien des DfE verweisen Schulen bereits auf den Bericht.</w:t>
      </w:r>
      <w:r>
        <w:t xml:space="preserve"> </w:t>
      </w:r>
      <w:r>
        <w:rPr>
          <w:bCs/>
          <w:b/>
        </w:rPr>
        <w:t xml:space="preserve">Die 596 Empfehlungsthemen sind die Prüfungsfragen, die schulische Datenschutzbeauftragte nun an Anbieter richten.</w:t>
      </w:r>
    </w:p>
    <w:p>
      <w:pPr>
        <w:pStyle w:val="BodyText"/>
      </w:pPr>
      <w:r>
        <w:rPr>
          <w:bCs/>
          <w:b/>
        </w:rPr>
        <w:t xml:space="preserve">Children’s Code.</w:t>
      </w:r>
      <w:r>
        <w:t xml:space="preserve"> </w:t>
      </w:r>
      <w:r>
        <w:t xml:space="preserve">Er gilt nicht, wenn alle drei Bedingungen erfüllt sind: kein Direktvertrieb an Verbraucher; der Anbieter verarbeitet Kinderdaten nur zur Erfüllung der von der Schule bestimmten öffentlichen Aufgabe; und der Anbieter handelt ausschließlich auf Weisung der Schule.</w:t>
      </w:r>
      <w:r>
        <w:t xml:space="preserve"> </w:t>
      </w:r>
      <w:r>
        <w:rPr>
          <w:bCs/>
          <w:b/>
        </w:rPr>
        <w:t xml:space="preserve">Bewahrt ein Anbieter Arbeiten zur Modellverbesserung, für Benchmarking oder Produktanalytik auf eigene Rechnung auf, wird er Verantwortlicher und der Kodex gilt vollständig.</w:t>
      </w:r>
      <w:r>
        <w:t xml:space="preserve"> </w:t>
      </w:r>
      <w:r>
        <w:t xml:space="preserve">Das ist eine binäre architektonische Unterscheidung. Seit 5. Februar 2026 verlangt DUAA s.81 zusätzlich die Berücksichtigung der „children’s higher protection matters” bei technischen und organisatorischen Maßnahmen.</w:t>
      </w:r>
    </w:p>
    <w:bookmarkEnd w:id="164"/>
    <w:bookmarkStart w:id="165" w:name="dfe-der-faktische-anbieterstandard"/>
    <w:p>
      <w:pPr>
        <w:pStyle w:val="Heading3"/>
      </w:pPr>
      <w:r>
        <w:t xml:space="preserve">9.5 DfE — der faktische Anbieterstandard</w:t>
      </w:r>
    </w:p>
    <w:p>
      <w:pPr>
        <w:pStyle w:val="FirstParagraph"/>
      </w:pPr>
      <w:r>
        <w:rPr>
          <w:bCs/>
          <w:b/>
        </w:rPr>
        <w:t xml:space="preserve">„Generative AI: product safety standards”</w:t>
      </w:r>
      <w:r>
        <w:t xml:space="preserve"> </w:t>
      </w:r>
      <w:r>
        <w:t xml:space="preserve">(22. Januar 2025, zuletzt 19. Januar 2026; in KCSIE 2026 und im DfE-Grundsatzpapier weiterhin als „product safety expectations” bezeichnet — dasselbe Dokument). Sie richten sich an</w:t>
      </w:r>
      <w:r>
        <w:t xml:space="preserve"> </w:t>
      </w:r>
      <w:r>
        <w:rPr>
          <w:bCs/>
          <w:b/>
        </w:rPr>
        <w:t xml:space="preserve">EdTech-Entwickler und -Anbieter</w:t>
      </w:r>
      <w:r>
        <w:t xml:space="preserve">, und die Verantwortung für vorgelagerte Zusicherungen liegt beim Anbieter, der unmittelbar mit der Schule arbeitet.</w:t>
      </w:r>
    </w:p>
    <w:p>
      <w:pPr>
        <w:pStyle w:val="BodyText"/>
      </w:pPr>
      <w:r>
        <w:t xml:space="preserve">Die KI-gestützte Bewertung fällt eindeutig unter</w:t>
      </w:r>
      <w:r>
        <w:t xml:space="preserve"> </w:t>
      </w:r>
      <w:r>
        <w:rPr>
          <w:bCs/>
          <w:b/>
        </w:rPr>
        <w:t xml:space="preserve">Anwendungsfall 3: „Assessment and analytics: tools that automate the marking of student work, provide detailed performance analytics, and offer personalised feedback.”</w:t>
      </w:r>
      <w:r>
        <w:t xml:space="preserve"> </w:t>
      </w:r>
      <w:r>
        <w:t xml:space="preserve">Das ist für den Zuschnitt wichtig: Mehrere Standards gelten ausdrücklich nur für lernerseitige Produkte, ein lehrkraftseitiges Produkt ist daher</w:t>
      </w:r>
      <w:r>
        <w:t xml:space="preserve"> </w:t>
      </w:r>
      <w:r>
        <w:rPr>
          <w:bCs/>
          <w:b/>
        </w:rPr>
        <w:t xml:space="preserve">außerhalb</w:t>
      </w:r>
      <w:r>
        <w:t xml:space="preserve"> </w:t>
      </w:r>
      <w:r>
        <w:t xml:space="preserve">von Filtering, Monitoring, kognitiver, emotionaler und sozialer Entwicklung sowie psychischer Gesundheit — und</w:t>
      </w:r>
      <w:r>
        <w:t xml:space="preserve"> </w:t>
      </w:r>
      <w:r>
        <w:rPr>
          <w:bCs/>
          <w:b/>
        </w:rPr>
        <w:t xml:space="preserve">innerhalb</w:t>
      </w:r>
      <w:r>
        <w:t xml:space="preserve"> </w:t>
      </w:r>
      <w:r>
        <w:t xml:space="preserve">von Security, Privacy and data protection, Intellectual property, Design and testing, Governance und Manipulation.</w:t>
      </w:r>
      <w:r>
        <w:t xml:space="preserve"> </w:t>
      </w:r>
      <w:r>
        <w:rPr>
          <w:bCs/>
          <w:b/>
        </w:rPr>
        <w:t xml:space="preserve">Eine schülerseitige Feedbackfunktion verschiebt ein Produkt in die lernerseitigen Standards, einschließlich Meldewegen an die Schutzbeauftragten, Sitzungszeitbegrenzungen, Notlagenerkennung und Anti-Anthropomorphisierung.</w:t>
      </w:r>
    </w:p>
    <w:p>
      <w:pPr>
        <w:pStyle w:val="BodyText"/>
      </w:pPr>
      <w:r>
        <w:t xml:space="preserve">Zu den anwendbaren Standards gehören: administrativ einstellbare Berechtigungsstufen, Sicherheitstests neuer Versionen und Modelle vor Freigabe, MFA für Konten mit Zugriff auf personenbezogene Betriebsdaten; eine in regelmäßigen Abständen und altersgerecht präsentierte Datenschutzerklärung mit Angabe, ob außerhalb des Vereinigten Königreichs oder der EU verarbeitet wird; eine</w:t>
      </w:r>
      <w:r>
        <w:t xml:space="preserve"> </w:t>
      </w:r>
      <w:r>
        <w:rPr>
          <w:bCs/>
          <w:b/>
        </w:rPr>
        <w:t xml:space="preserve">DSFA während der Entwicklung und über den gesamten Lebenszyklus</w:t>
      </w:r>
      <w:r>
        <w:t xml:space="preserve">; Einhaltung des Children’s Code; und — entscheidend —</w:t>
      </w:r>
      <w:r>
        <w:t xml:space="preserve"> </w:t>
      </w:r>
      <w:r>
        <w:rPr>
          <w:bCs/>
          <w:b/>
        </w:rPr>
        <w:t xml:space="preserve">keine Erhebung, Speicherung, Weitergabe oder Nutzung personenbezogener Daten zu kommerziellen Zwecken einschließlich weiterem Modelltraining und Feinabstimmung ohne Bestätigung einer geeigneten Rechtsgrundlage</w:t>
      </w:r>
      <w:r>
        <w:t xml:space="preserve">.</w:t>
      </w:r>
    </w:p>
    <w:p>
      <w:pPr>
        <w:pStyle w:val="BodyText"/>
      </w:pPr>
      <w:r>
        <w:rPr>
          <w:bCs/>
          <w:b/>
        </w:rPr>
        <w:t xml:space="preserve">Der IP-Standard ist die härteste Einzelbeschränkung für die Nutzung von Prüfungsmaterial als Trainingsdaten.</w:t>
      </w:r>
      <w:r>
        <w:t xml:space="preserve"> </w:t>
      </w:r>
      <w:r>
        <w:t xml:space="preserve">Klausuren sind urheberrechtlich geschützte Werke der Schüler; das DfE stellt fest, Schulen</w:t>
      </w:r>
      <w:r>
        <w:t xml:space="preserve"> </w:t>
      </w:r>
      <w:r>
        <w:rPr>
          <w:iCs/>
          <w:i/>
        </w:rPr>
        <w:t xml:space="preserve">„must not allow or cause students’ original work to be used to train generative AI models unless they have permission, or an exception to copyright applies”</w:t>
      </w:r>
      <w:r>
        <w:t xml:space="preserve"> </w:t>
      </w:r>
      <w:r>
        <w:t xml:space="preserve">— Erlaubnis vom Schüler oder, bei Minderjährigen, von den Erziehungsberechtigten. Und es gibt keine einschlägige Schranke: Die weite Text-und-Data-Mining-Ausnahme wird nicht weiterverfolgt, und eine gesetzliche Transparenzpflicht zu Trainingsdaten besteht nicht.</w:t>
      </w:r>
      <w:r>
        <w:t xml:space="preserve"> </w:t>
      </w:r>
      <w:r>
        <w:rPr>
          <w:bCs/>
          <w:b/>
        </w:rPr>
        <w:t xml:space="preserve">Erforderlich ist daher ein gesondert lizenzierter Korpus.</w:t>
      </w:r>
      <w:r>
        <w:t xml:space="preserve"> </w:t>
      </w:r>
      <w:r>
        <w:t xml:space="preserve">Ofquals</w:t>
      </w:r>
      <w:r>
        <w:t xml:space="preserve"> </w:t>
      </w:r>
      <w:r>
        <w:rPr>
          <w:iCs/>
          <w:i/>
        </w:rPr>
        <w:t xml:space="preserve">„bank of expertly marked student scripts, with appropriate permissions”</w:t>
      </w:r>
      <w:r>
        <w:t xml:space="preserve"> </w:t>
      </w:r>
      <w:r>
        <w:t xml:space="preserve">für den DfE-Content-Store ist das Vorbild einer solchen Lizenzierung.</w:t>
      </w:r>
    </w:p>
    <w:p>
      <w:pPr>
        <w:pStyle w:val="BodyText"/>
      </w:pPr>
      <w:r>
        <w:rPr>
          <w:bCs/>
          <w:b/>
        </w:rPr>
        <w:t xml:space="preserve">Der Manipulations-Standard gilt für lehrkraftseitige Produkte</w:t>
      </w:r>
      <w:r>
        <w:t xml:space="preserve"> </w:t>
      </w:r>
      <w:r>
        <w:t xml:space="preserve">und untersagt</w:t>
      </w:r>
      <w:r>
        <w:t xml:space="preserve"> </w:t>
      </w:r>
      <w:r>
        <w:rPr>
          <w:iCs/>
          <w:i/>
        </w:rPr>
        <w:t xml:space="preserve">„portraying absolute, or unjustified confidence”</w:t>
      </w:r>
      <w:r>
        <w:t xml:space="preserve">.</w:t>
      </w:r>
      <w:r>
        <w:t xml:space="preserve"> </w:t>
      </w:r>
      <w:r>
        <w:rPr>
          <w:bCs/>
          <w:b/>
        </w:rPr>
        <w:t xml:space="preserve">Das ist eine unmittelbare Oberflächenanforderung: Ein solches System muss kalibrierte Konfidenzbänder ausweisen, bei niedriger Konfidenz eine Pflichtprüfung auslösen und eine Note nie als feststehend darstellen.</w:t>
      </w:r>
    </w:p>
    <w:p>
      <w:pPr>
        <w:pStyle w:val="BodyText"/>
      </w:pPr>
      <w:r>
        <w:rPr>
          <w:bCs/>
          <w:b/>
        </w:rPr>
        <w:t xml:space="preserve">Es gibt keine DfE-Zertifizierung, keine Selbsterklärung, kein Register und kein Konformitätszeichen.</w:t>
      </w:r>
      <w:r>
        <w:t xml:space="preserve"> </w:t>
      </w:r>
      <w:r>
        <w:t xml:space="preserve">Da kein Zertifizierungsweg besteht, ist eine veröffentlichte klauselweise Selbstauskunft gegen diese Standards das verfügbare Mittel zum Konformitätsnachweis, ist genau das, wonach schulische Datenschutzbeauftragte und Verwaltungsleitungen suchen, und adressiert die im ICO-EdTech-Audit festgestellten Themen. Das</w:t>
      </w:r>
      <w:r>
        <w:t xml:space="preserve"> </w:t>
      </w:r>
      <w:r>
        <w:rPr>
          <w:bCs/>
          <w:b/>
        </w:rPr>
        <w:t xml:space="preserve">EdTech Impact Testbed Programme</w:t>
      </w:r>
      <w:r>
        <w:t xml:space="preserve"> </w:t>
      </w:r>
      <w:r>
        <w:t xml:space="preserve">(£23 Mio. ab FY2026-27) ist der Weg zu einer staatlich testierten Evidenzbasis.</w:t>
      </w:r>
    </w:p>
    <w:p>
      <w:pPr>
        <w:pStyle w:val="BodyText"/>
      </w:pPr>
      <w:r>
        <w:t xml:space="preserve">Das DfE-Grundsatzpapier hält fest:</w:t>
      </w:r>
      <w:r>
        <w:t xml:space="preserve"> </w:t>
      </w:r>
      <w:r>
        <w:rPr>
          <w:iCs/>
          <w:i/>
        </w:rPr>
        <w:t xml:space="preserve">„We see more immediate benefits and fewer risks from teacher-facing use of generative AI”</w:t>
      </w:r>
      <w:r>
        <w:t xml:space="preserve">, verbunden mit der Verantwortungsregel —</w:t>
      </w:r>
      <w:r>
        <w:t xml:space="preserve"> </w:t>
      </w:r>
      <w:r>
        <w:rPr>
          <w:iCs/>
          <w:i/>
        </w:rPr>
        <w:t xml:space="preserve">„The quality and content of any final documents remains the responsibility of the professional who produced it.”</w:t>
      </w:r>
      <w:r>
        <w:t xml:space="preserve"> </w:t>
      </w:r>
      <w:r>
        <w:t xml:space="preserve">Ofsted bewertet den KI-Einsatz nicht unmittelbar, sondern dessen</w:t>
      </w:r>
      <w:r>
        <w:t xml:space="preserve"> </w:t>
      </w:r>
      <w:r>
        <w:rPr>
          <w:bCs/>
          <w:b/>
        </w:rPr>
        <w:t xml:space="preserve">Wirkung</w:t>
      </w:r>
      <w:r>
        <w:t xml:space="preserve">, und beurteilt</w:t>
      </w:r>
      <w:r>
        <w:t xml:space="preserve"> </w:t>
      </w:r>
      <w:r>
        <w:rPr>
          <w:bCs/>
          <w:b/>
        </w:rPr>
        <w:t xml:space="preserve">die Entscheidungsfindung des Trägers</w:t>
      </w:r>
      <w:r>
        <w:t xml:space="preserve">, nicht das Werkzeug.</w:t>
      </w:r>
    </w:p>
    <w:bookmarkEnd w:id="165"/>
    <w:bookmarkStart w:id="166" w:name="Xfdbc34e237be9747d90ab1f3fc9099941608673"/>
    <w:p>
      <w:pPr>
        <w:pStyle w:val="Heading3"/>
      </w:pPr>
      <w:r>
        <w:t xml:space="preserve">9.6 Ofqual und JCQ — die harte Grenze und der verbleibende Raum</w:t>
      </w:r>
    </w:p>
    <w:p>
      <w:pPr>
        <w:pStyle w:val="FirstParagraph"/>
      </w:pPr>
      <w:r>
        <w:rPr>
          <w:bCs/>
          <w:b/>
        </w:rPr>
        <w:t xml:space="preserve">Ofquals Position (Grundsatzpapier, Stand 16. Juli 2026):</w:t>
      </w:r>
    </w:p>
    <w:p>
      <w:pPr>
        <w:pStyle w:val="BlockText"/>
      </w:pPr>
      <w:r>
        <w:rPr>
          <w:iCs/>
          <w:i/>
        </w:rPr>
        <w:t xml:space="preserve">„We have made clear to awarding organisations that</w:t>
      </w:r>
      <w:r>
        <w:rPr>
          <w:iCs/>
          <w:i/>
        </w:rPr>
        <w:t xml:space="preserve"> </w:t>
      </w:r>
      <w:r>
        <w:rPr>
          <w:bCs/>
          <w:b/>
          <w:iCs/>
          <w:i/>
        </w:rPr>
        <w:t xml:space="preserve">AI may not be used as a sole marker in any assessments that are part of regulated qualifications</w:t>
      </w:r>
      <w:r>
        <w:rPr>
          <w:iCs/>
          <w:i/>
        </w:rPr>
        <w:t xml:space="preserve">.”</w:t>
      </w:r>
    </w:p>
    <w:p>
      <w:pPr>
        <w:pStyle w:val="FirstParagraph"/>
      </w:pPr>
      <w:r>
        <w:t xml:space="preserve">Und im nächsten Absatz die Öffnung:</w:t>
      </w:r>
    </w:p>
    <w:p>
      <w:pPr>
        <w:pStyle w:val="BlockText"/>
      </w:pPr>
      <w:r>
        <w:rPr>
          <w:iCs/>
          <w:i/>
        </w:rPr>
        <w:t xml:space="preserve">„…we recognise the potential for AI to support marking of lower-stakes and classroom-based assessment. We have contributed to work led by the Department for Education to support the development of AI tools to assist teachers in marking classroom assessments.”</w:t>
      </w:r>
    </w:p>
    <w:p>
      <w:pPr>
        <w:pStyle w:val="FirstParagraph"/>
      </w:pPr>
      <w:r>
        <w:t xml:space="preserve">Ofquals Forschungspapier</w:t>
      </w:r>
      <w:r>
        <w:t xml:space="preserve"> </w:t>
      </w:r>
      <w:r>
        <w:rPr>
          <w:iCs/>
          <w:i/>
        </w:rPr>
        <w:t xml:space="preserve">Principles of AI use in marking</w:t>
      </w:r>
      <w:r>
        <w:t xml:space="preserve"> </w:t>
      </w:r>
      <w:r>
        <w:t xml:space="preserve">(14. Januar 2026) ist in beide Richtungen offen: KI als alleiniger Bewertungsmaßstab entspricht den Vorschriften nicht, aber</w:t>
      </w:r>
      <w:r>
        <w:t xml:space="preserve"> </w:t>
      </w:r>
      <w:r>
        <w:rPr>
          <w:iCs/>
          <w:i/>
        </w:rPr>
        <w:t xml:space="preserve">„principled arguments exist for accepting AI and automated marking in high stakes assessments, in the right conditions and with the right safeguards”</w:t>
      </w:r>
      <w:r>
        <w:t xml:space="preserve">. Es weist darauf hin, dass Erklärbarkeitsmethoden</w:t>
      </w:r>
      <w:r>
        <w:t xml:space="preserve"> </w:t>
      </w:r>
      <w:r>
        <w:rPr>
          <w:bCs/>
          <w:b/>
        </w:rPr>
        <w:t xml:space="preserve">irreführende</w:t>
      </w:r>
      <w:r>
        <w:t xml:space="preserve"> </w:t>
      </w:r>
      <w:r>
        <w:t xml:space="preserve">Erklärungen erzeugen können, dass empirische Studien</w:t>
      </w:r>
      <w:r>
        <w:t xml:space="preserve"> </w:t>
      </w:r>
      <w:r>
        <w:rPr>
          <w:bCs/>
          <w:b/>
        </w:rPr>
        <w:t xml:space="preserve">unterschiedliche KI-Bewertungsleistung über demografische Gruppen</w:t>
      </w:r>
      <w:r>
        <w:t xml:space="preserve"> </w:t>
      </w:r>
      <w:r>
        <w:t xml:space="preserve">festgestellt haben und dass</w:t>
      </w:r>
      <w:r>
        <w:t xml:space="preserve"> </w:t>
      </w:r>
      <w:r>
        <w:rPr>
          <w:bCs/>
          <w:b/>
        </w:rPr>
        <w:t xml:space="preserve">Übereinstimmung mit menschlichen Bewertungen allein kein hinreichender</w:t>
      </w:r>
      <w:r>
        <w:t xml:space="preserve"> </w:t>
      </w:r>
      <w:r>
        <w:t xml:space="preserve">Validitätsnachweis ist. Art und Ausmaß menschlicher Beteiligung</w:t>
      </w:r>
      <w:r>
        <w:t xml:space="preserve"> </w:t>
      </w:r>
      <w:r>
        <w:rPr>
          <w:iCs/>
          <w:i/>
        </w:rPr>
        <w:t xml:space="preserve">„remains a key regulatory question”</w:t>
      </w:r>
      <w:r>
        <w:t xml:space="preserve">; Ofqual sammelt über 12–24 Monate Evidenz.</w:t>
      </w:r>
    </w:p>
    <w:p>
      <w:pPr>
        <w:pStyle w:val="BodyText"/>
      </w:pPr>
      <w:r>
        <w:rPr>
          <w:bCs/>
          <w:b/>
        </w:rPr>
        <w:t xml:space="preserve">JCQ geht operativ weiter als das Datenschutzrecht.</w:t>
      </w:r>
      <w:r>
        <w:t xml:space="preserve"> </w:t>
      </w:r>
      <w:r>
        <w:t xml:space="preserve">Instructions for Conducting Coursework s.8.1 und für Non-Examination Assessments s.6.1:</w:t>
      </w:r>
      <w:r>
        <w:t xml:space="preserve"> </w:t>
      </w:r>
      <w:r>
        <w:rPr>
          <w:iCs/>
          <w:i/>
        </w:rPr>
        <w:t xml:space="preserve">„Teachers must not use artificial intelligence as the sole means of marking candidates’ work.”</w:t>
      </w:r>
      <w:r>
        <w:t xml:space="preserve"> </w:t>
      </w:r>
      <w:r>
        <w:t xml:space="preserve">Und in</w:t>
      </w:r>
      <w:r>
        <w:t xml:space="preserve"> </w:t>
      </w:r>
      <w:r>
        <w:rPr>
          <w:iCs/>
          <w:i/>
        </w:rPr>
        <w:t xml:space="preserve">AI Use in Assessments</w:t>
      </w:r>
      <w:r>
        <w:t xml:space="preserve">:</w:t>
      </w:r>
      <w:r>
        <w:t xml:space="preserve"> </w:t>
      </w:r>
      <w:r>
        <w:rPr>
          <w:iCs/>
          <w:i/>
        </w:rPr>
        <w:t xml:space="preserve">„an AI tool cannot be the sole marker. A human assessor must review all the work in its entirety and determine the mark it warrants, regardless of the outcomes of an AI tool.”</w:t>
      </w:r>
      <w:r>
        <w:t xml:space="preserve"> </w:t>
      </w:r>
      <w:r>
        <w:rPr>
          <w:iCs/>
          <w:i/>
        </w:rPr>
        <w:t xml:space="preserve">(Die Abschnittsnummern stammen aus der Webdarstellung des JCQ; die zugrunde liegenden PDF-Dateien waren nicht abrufbar — vor externer Zitierung prüfen.)</w:t>
      </w:r>
    </w:p>
    <w:p>
      <w:pPr>
        <w:pStyle w:val="BodyText"/>
      </w:pPr>
      <w:r>
        <w:rPr>
          <w:bCs/>
          <w:b/>
        </w:rPr>
        <w:t xml:space="preserve">„Review all the work in its entirety” ist strenger als Art. 22A</w:t>
      </w:r>
      <w:r>
        <w:t xml:space="preserve"> </w:t>
      </w:r>
      <w:r>
        <w:t xml:space="preserve">— es genügt nicht, den Vorschlag zu prüfen; der Prüfer muss die Arbeit lesen. Dieselbe Anforderung stellt das deutsche Recht mit</w:t>
      </w:r>
      <w:r>
        <w:t xml:space="preserve"> </w:t>
      </w:r>
      <w:r>
        <w:rPr>
          <w:iCs/>
          <w:i/>
        </w:rPr>
        <w:t xml:space="preserve">persönlich unmittelbar und vollständig zur Kenntnis nehmen</w:t>
      </w:r>
      <w:r>
        <w:t xml:space="preserve">.</w:t>
      </w:r>
      <w:r>
        <w:t xml:space="preserve"> </w:t>
      </w:r>
      <w:r>
        <w:rPr>
          <w:bCs/>
          <w:b/>
        </w:rPr>
        <w:t xml:space="preserve">Ein für eine solche Bewertung eingesetztes System muss daher Arbeit und Notenvorschlag nebeneinander darstellen und darf die Eintragung einer Note ohne sichtbare Arbeit nicht zulassen.</w:t>
      </w:r>
    </w:p>
    <w:p>
      <w:pPr>
        <w:pStyle w:val="BodyText"/>
      </w:pPr>
      <w:r>
        <w:rPr>
          <w:bCs/>
          <w:b/>
        </w:rPr>
        <w:t xml:space="preserve">Regulatorische Grenze nach Art der Leistungsfeststellung.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Regulierte Abschlüsse (GCSE, A level, VTQ)</w:t>
            </w:r>
          </w:p>
        </w:tc>
        <w:tc>
          <w:tcPr/>
          <w:p>
            <w:pPr>
              <w:pStyle w:val="Compact"/>
              <w:jc w:val="left"/>
            </w:pPr>
            <w:r>
              <w:t xml:space="preserve">Klassen-/formative Leistungsfeststellung</w:t>
            </w:r>
          </w:p>
        </w:tc>
      </w:tr>
      <w:tr>
        <w:tc>
          <w:tcPr/>
          <w:p>
            <w:pPr>
              <w:pStyle w:val="Compact"/>
              <w:jc w:val="left"/>
            </w:pPr>
            <w:r>
              <w:t xml:space="preserve">Aufsicht</w:t>
            </w:r>
          </w:p>
        </w:tc>
        <w:tc>
          <w:tcPr/>
          <w:p>
            <w:pPr>
              <w:pStyle w:val="Compact"/>
              <w:jc w:val="left"/>
            </w:pPr>
            <w:r>
              <w:t xml:space="preserve">Ofqual, Qualifications Wales, Qualifications Scotland, CCEA</w:t>
            </w:r>
          </w:p>
        </w:tc>
        <w:tc>
          <w:tcPr/>
          <w:p>
            <w:pPr>
              <w:pStyle w:val="Compact"/>
              <w:jc w:val="left"/>
            </w:pPr>
            <w:r>
              <w:t xml:space="preserve">keine — professionelles Urteil der Schule</w:t>
            </w:r>
          </w:p>
        </w:tc>
      </w:tr>
      <w:tr>
        <w:tc>
          <w:tcPr/>
          <w:p>
            <w:pPr>
              <w:pStyle w:val="Compact"/>
              <w:jc w:val="left"/>
            </w:pPr>
            <w:r>
              <w:t xml:space="preserve">Alleinige KI-Bewertung</w:t>
            </w:r>
          </w:p>
        </w:tc>
        <w:tc>
          <w:tcPr/>
          <w:p>
            <w:pPr>
              <w:pStyle w:val="Compact"/>
              <w:jc w:val="left"/>
            </w:pPr>
            <w:r>
              <w:rPr>
                <w:bCs/>
                <w:b/>
              </w:rPr>
              <w:t xml:space="preserve">Verboten</w:t>
            </w:r>
          </w:p>
        </w:tc>
        <w:tc>
          <w:tcPr/>
          <w:p>
            <w:pPr>
              <w:pStyle w:val="Compact"/>
              <w:jc w:val="left"/>
            </w:pPr>
            <w:r>
              <w:t xml:space="preserve">nicht verboten; vom DfE unterstützt</w:t>
            </w:r>
          </w:p>
        </w:tc>
      </w:tr>
      <w:tr>
        <w:tc>
          <w:tcPr/>
          <w:p>
            <w:pPr>
              <w:pStyle w:val="Compact"/>
              <w:jc w:val="left"/>
            </w:pPr>
            <w:r>
              <w:t xml:space="preserve">Gatekeeper</w:t>
            </w:r>
          </w:p>
        </w:tc>
        <w:tc>
          <w:tcPr/>
          <w:p>
            <w:pPr>
              <w:pStyle w:val="Compact"/>
              <w:jc w:val="left"/>
            </w:pPr>
            <w:r>
              <w:t xml:space="preserve">die Prüfungsorganisation (~7 Stellen)</w:t>
            </w:r>
          </w:p>
        </w:tc>
        <w:tc>
          <w:tcPr/>
          <w:p>
            <w:pPr>
              <w:pStyle w:val="Compact"/>
              <w:jc w:val="left"/>
            </w:pPr>
            <w:r>
              <w:t xml:space="preserve">jede Schule bzw. jeder Trust einzeln</w:t>
            </w:r>
          </w:p>
        </w:tc>
      </w:tr>
      <w:tr>
        <w:tc>
          <w:tcPr/>
          <w:p>
            <w:pPr>
              <w:pStyle w:val="Compact"/>
              <w:jc w:val="left"/>
            </w:pPr>
            <w:r>
              <w:t xml:space="preserve">Zulässiger Einsatzweg</w:t>
            </w:r>
          </w:p>
        </w:tc>
        <w:tc>
          <w:tcPr/>
          <w:p>
            <w:pPr>
              <w:pStyle w:val="Compact"/>
              <w:jc w:val="left"/>
            </w:pPr>
            <w:r>
              <w:t xml:space="preserve">Bereitstellung</w:t>
            </w:r>
            <w:r>
              <w:t xml:space="preserve"> </w:t>
            </w:r>
            <w:r>
              <w:rPr>
                <w:bCs/>
                <w:b/>
              </w:rPr>
              <w:t xml:space="preserve">an</w:t>
            </w:r>
            <w:r>
              <w:t xml:space="preserve"> </w:t>
            </w:r>
            <w:r>
              <w:t xml:space="preserve">Prüfungsorganisationen als KI-Assistenz innerhalb ihres menschlichen Verfahrens</w:t>
            </w:r>
          </w:p>
        </w:tc>
        <w:tc>
          <w:tcPr/>
          <w:p>
            <w:pPr>
              <w:pStyle w:val="Compact"/>
              <w:jc w:val="left"/>
            </w:pPr>
            <w:r>
              <w:t xml:space="preserve">Einsatz durch einzelne Schulen und Trusts</w:t>
            </w:r>
          </w:p>
        </w:tc>
      </w:tr>
    </w:tbl>
    <w:p>
      <w:pPr>
        <w:pStyle w:val="BodyText"/>
      </w:pPr>
      <w:r>
        <w:t xml:space="preserve">Die Begleitdokumentation eines solchen Systems muss ausdrücklich festhalten, dass es nicht für die Bewertung regulierter Abschlüsse bestimmt ist; eine technische Sperre, die diese Grenze durchsetzt, adressiert den realistischen Fehlerfall — die Nutzung an Vorabklausuren mit anschließender Elternbeschwerde und einer Schule ohne verteidigbare Position. Das regulierte Segment ist dabei nicht verschlossen: Ofquals eigene Formulierung von KI „zur Unterstützung von Bewertung und Qualitätssicherung” mit „menschlicher Zweitbewertung aller oder eines Teils” beschreibt ein KI-gestütztes Produkt.</w:t>
      </w:r>
      <w:r>
        <w:t xml:space="preserve"> </w:t>
      </w:r>
      <w:r>
        <w:rPr>
          <w:bCs/>
          <w:b/>
        </w:rPr>
        <w:t xml:space="preserve">Das Hindernis dort ist Evidenz, nicht Verbot.</w:t>
      </w:r>
    </w:p>
    <w:p>
      <w:pPr>
        <w:pStyle w:val="BodyText"/>
      </w:pPr>
      <w:r>
        <w:rPr>
          <w:bCs/>
          <w:b/>
        </w:rPr>
        <w:t xml:space="preserve">Der Hochschulbereich</w:t>
      </w:r>
      <w:r>
        <w:t xml:space="preserve"> </w:t>
      </w:r>
      <w:r>
        <w:t xml:space="preserve">ist das am wenigsten regulierte und am stärksten fragmentierte britische Segment: Einrichtungen sind autonom, keine Aufsicht gibt die Bewertungsmethodik vor, OfS-Bedingung B4 gilt allgemein, und</w:t>
      </w:r>
      <w:r>
        <w:t xml:space="preserve"> </w:t>
      </w:r>
      <w:r>
        <w:rPr>
          <w:iCs/>
          <w:i/>
        </w:rPr>
        <w:t xml:space="preserve">eine KI-spezifische OfS-Leitlinie oder -Bedingung war nicht auffindbar</w:t>
      </w:r>
      <w:r>
        <w:t xml:space="preserve">. Hochschulstudierende sind volljährig, der Children’s Code gilt also nicht, was den Pflichtenumfang erheblich verringert.</w:t>
      </w:r>
    </w:p>
    <w:bookmarkEnd w:id="166"/>
    <w:bookmarkStart w:id="167" w:name="Xe7a58f095eeedf17196e4c384262719acb6feda"/>
    <w:p>
      <w:pPr>
        <w:pStyle w:val="Heading3"/>
      </w:pPr>
      <w:r>
        <w:t xml:space="preserve">9.7 Gleichbehandlung — und die daraus folgende Nachweispflicht</w:t>
      </w:r>
    </w:p>
    <w:p>
      <w:pPr>
        <w:pStyle w:val="FirstParagraph"/>
      </w:pPr>
      <w:r>
        <w:rPr>
          <w:bCs/>
          <w:b/>
        </w:rPr>
        <w:t xml:space="preserve">Equality Act 2010 s.19 (mittelbare Diskriminierung):</w:t>
      </w:r>
      <w:r>
        <w:t xml:space="preserve"> </w:t>
      </w:r>
      <w:r>
        <w:t xml:space="preserve">Ein OCR/LLM-Bewerter, der weniger lesbare Handschrift, dysgraphische Schrift, nicht standardsprachlichen Dialekt oder EAL-Syntax systematisch schlechter bewertet, ist ein Lehrbuchfall. Betroffene geschützte Merkmale: Behinderung, ethnische Herkunft, Religion oder Weltanschauung.</w:t>
      </w:r>
      <w:r>
        <w:t xml:space="preserve"> </w:t>
      </w:r>
      <w:r>
        <w:rPr>
          <w:bCs/>
          <w:b/>
        </w:rPr>
        <w:t xml:space="preserve">ss.20–21</w:t>
      </w:r>
      <w:r>
        <w:t xml:space="preserve"> </w:t>
      </w:r>
      <w:r>
        <w:t xml:space="preserve">begründen eine vorwirkende Pflicht zu angemessenen Vorkehrungen — bewertet ein solches System abgeschriebene, vergrößerte oder maschinenschriftliche Arbeiten schlechter, ist die Pflicht der Schule ausgelöst.</w:t>
      </w:r>
      <w:r>
        <w:t xml:space="preserve"> </w:t>
      </w:r>
      <w:r>
        <w:rPr>
          <w:bCs/>
          <w:b/>
        </w:rPr>
        <w:t xml:space="preserve">s.149 (Public Sector Equality Duty)</w:t>
      </w:r>
      <w:r>
        <w:t xml:space="preserve"> </w:t>
      </w:r>
      <w:r>
        <w:t xml:space="preserve">gilt für maintained schools, Akademien sowie FE-/HE-Anbieter in öffentlicher Funktion.</w:t>
      </w:r>
    </w:p>
    <w:p>
      <w:pPr>
        <w:pStyle w:val="BodyText"/>
      </w:pPr>
      <w:r>
        <w:rPr>
          <w:bCs/>
          <w:b/>
        </w:rPr>
        <w:t xml:space="preserve">Die Pflicht trifft die Schule, aber die Schule kann sie ohne Daten des Anbieters nicht erfüllen.</w:t>
      </w:r>
      <w:r>
        <w:t xml:space="preserve"> </w:t>
      </w:r>
      <w:r>
        <w:t xml:space="preserve">Der rechtmäßige Einsatz verlangt daher</w:t>
      </w:r>
      <w:r>
        <w:t xml:space="preserve"> </w:t>
      </w:r>
      <w:r>
        <w:rPr>
          <w:bCs/>
          <w:b/>
        </w:rPr>
        <w:t xml:space="preserve">stratifizierte Leistungsnachweise</w:t>
      </w:r>
      <w:r>
        <w:t xml:space="preserve"> </w:t>
      </w:r>
      <w:r>
        <w:t xml:space="preserve">— Übereinstimmung mit menschlichen Bewertern nach Lesbarkeitsklasse, EAL-Status, SEND-/Nachteilsausgleichsstatus und, soweit rechtlich zulässig, ethnischer Herkunft — nebst einem fortlaufenden mandantenbezogenen Disparitäts-Dashboard. Eine Schule, die keine Gleichbehandlungswirkung belegen kann, darf nicht rechtmäßig einsetzen. Ofquals eigene Forschung bestätigt das Risiko, und Art. 4a KI-VO liefert nun die unionsrechtliche Grundlage für die dafür erforderliche Verarbeitung geschützter Merkmale.</w:t>
      </w:r>
    </w:p>
    <w:bookmarkEnd w:id="167"/>
    <w:bookmarkStart w:id="168" w:name="vergabe-transparenz-online-sicherheit"/>
    <w:p>
      <w:pPr>
        <w:pStyle w:val="Heading3"/>
      </w:pPr>
      <w:r>
        <w:t xml:space="preserve">9.8 Vergabe, Transparenz, Online-Sicherheit</w:t>
      </w:r>
    </w:p>
    <w:p>
      <w:pPr>
        <w:pStyle w:val="FirstParagraph"/>
      </w:pPr>
      <w:r>
        <w:rPr>
          <w:bCs/>
          <w:b/>
        </w:rPr>
        <w:t xml:space="preserve">Procurement Act 2023</w:t>
      </w:r>
      <w:r>
        <w:t xml:space="preserve"> </w:t>
      </w:r>
      <w:r>
        <w:t xml:space="preserve">in Kraft seit 24. Februar 2025. DfE-Wertgrenzen: niedrig unter £10.000; mittel £10.000–£40.000; hoch über £40.000, mit fünf Wegen vom DfE-Rahmenvertrag bis zum vollständigen Verfahren.</w:t>
      </w:r>
      <w:r>
        <w:t xml:space="preserve"> </w:t>
      </w:r>
      <w:r>
        <w:rPr>
          <w:bCs/>
          <w:b/>
        </w:rPr>
        <w:t xml:space="preserve">Eine Einzelschullizenz liegt fast sicher unter £10.000 — Entscheidung der Schulleitung oder Verwaltungsleitung, keine Ausschreibung. Ein Trust-weiter Abschluss überschreitet £40.000 rasch und kann die Schwelle des Gesetzes erreichen, was Monate hinzufügt. Der Bezug über einen DfE-Rahmenvertrag verwandelt ein volles Verfahren in eine Direktvergabe.</w:t>
      </w:r>
      <w:r>
        <w:t xml:space="preserve"> </w:t>
      </w:r>
      <w:r>
        <w:t xml:space="preserve">KI-spezifische Vergabeanforderungen für Schulen bestehen nicht.</w:t>
      </w:r>
    </w:p>
    <w:p>
      <w:pPr>
        <w:pStyle w:val="BodyText"/>
      </w:pPr>
      <w:r>
        <w:rPr>
          <w:bCs/>
          <w:b/>
        </w:rPr>
        <w:t xml:space="preserve">Algorithmic Transparency Recording Standard:</w:t>
      </w:r>
      <w:r>
        <w:t xml:space="preserve"> </w:t>
      </w:r>
      <w:r>
        <w:t xml:space="preserve">verpflichtend für Ministerien und nachgeordnete Stellen mit Publikumsverkehr,</w:t>
      </w:r>
      <w:r>
        <w:t xml:space="preserve"> </w:t>
      </w:r>
      <w:r>
        <w:rPr>
          <w:bCs/>
          <w:b/>
        </w:rPr>
        <w:t xml:space="preserve">nicht</w:t>
      </w:r>
      <w:r>
        <w:t xml:space="preserve"> </w:t>
      </w:r>
      <w:r>
        <w:t xml:space="preserve">für Schulen, Trusts oder Kommunen. Für Einsätze in Schulen greift er also nicht — die freiwillige Veröffentlichung eines ATRS-Datensatzes ist gleichwohl ein günstiges und ungewöhnlich glaubwürdiges Transparenzartefakt für öffentliche Käufer. Zu beachten: Ofqual</w:t>
      </w:r>
      <w:r>
        <w:t xml:space="preserve"> </w:t>
      </w:r>
      <w:r>
        <w:rPr>
          <w:iCs/>
          <w:i/>
        </w:rPr>
        <w:t xml:space="preserve">ist</w:t>
      </w:r>
      <w:r>
        <w:t xml:space="preserve"> </w:t>
      </w:r>
      <w:r>
        <w:t xml:space="preserve">eine nachgeordnete Stelle, ein Ofqual-Einsatz erforderte also einen Eintrag.</w:t>
      </w:r>
    </w:p>
    <w:p>
      <w:pPr>
        <w:pStyle w:val="BodyText"/>
      </w:pPr>
      <w:r>
        <w:rPr>
          <w:bCs/>
          <w:b/>
        </w:rPr>
        <w:t xml:space="preserve">Online Safety Act 2023:</w:t>
      </w:r>
      <w:r>
        <w:t xml:space="preserve"> </w:t>
      </w:r>
      <w:r>
        <w:t xml:space="preserve">nur bei einer schülerseitigen Funktion einschlägig, die Nutzern das Teilen von Inhalten untereinander erlaubt oder Live-Websuchen durchführt.</w:t>
      </w:r>
      <w:r>
        <w:t xml:space="preserve"> </w:t>
      </w:r>
      <w:r>
        <w:rPr>
          <w:bCs/>
          <w:b/>
        </w:rPr>
        <w:t xml:space="preserve">Ein lehrkraftseitiges Produkt ohne Nutzer-zu-Nutzer-Austausch und ohne Live-Websuche fällt nicht darunter.</w:t>
      </w:r>
      <w:r>
        <w:t xml:space="preserve"> </w:t>
      </w:r>
      <w:r>
        <w:t xml:space="preserve">Zu beachten ist ferner Children’s Wellbeing and Schools Act 2026 s.72, der die Ermächtigung schafft, das digitale Einwilligungsalter von 13 auf bis zu 16 anzuheben — ein latentes Risiko für jede einwilligungsbasierte schülerseitige Funktion, ohne Bedeutung für einen Einsatz auf Grundlage der öffentlichen Aufgabe.</w:t>
      </w:r>
    </w:p>
    <w:bookmarkEnd w:id="168"/>
    <w:bookmarkEnd w:id="169"/>
    <w:bookmarkStart w:id="177" w:name="vereinigte-staaten-bundesebene"/>
    <w:p>
      <w:pPr>
        <w:pStyle w:val="Heading2"/>
      </w:pPr>
      <w:r>
        <w:t xml:space="preserve">10. Vereinigte Staaten — Bundesebene</w:t>
      </w:r>
    </w:p>
    <w:p>
      <w:pPr>
        <w:pStyle w:val="FirstParagraph"/>
      </w:pPr>
      <w:r>
        <w:rPr>
          <w:bCs/>
          <w:b/>
        </w:rPr>
        <w:t xml:space="preserve">Für die KI-gestützte Prüfungskorrektur gibt es keine US-Bundesaufsicht über KI.</w:t>
      </w:r>
      <w:r>
        <w:t xml:space="preserve"> </w:t>
      </w:r>
      <w:r>
        <w:t xml:space="preserve">Die FTC erreicht einen Anbieter über COPPA und § 5 (unlautere und irreführende Praktiken); das Bildungsministerium erreicht einen Anbieter nur über die geförderte Einrichtung; das OMB erreicht einen privaten Anbieter gar nicht. Verbindlich sind FERPA-Verträge, COPPA, Antidiskriminierungsrecht, Landesrecht und die Beschaffung der Schulbezirke — und keines davon wurde mit Blick auf KI-Korrektur geschrieben.</w:t>
      </w:r>
    </w:p>
    <w:bookmarkStart w:id="170" w:name="ferpa-1"/>
    <w:p>
      <w:pPr>
        <w:pStyle w:val="Heading3"/>
      </w:pPr>
      <w:r>
        <w:t xml:space="preserve">10.1 FERPA</w:t>
      </w:r>
    </w:p>
    <w:p>
      <w:pPr>
        <w:pStyle w:val="FirstParagraph"/>
      </w:pPr>
      <w:r>
        <w:t xml:space="preserve">Eingescannte Arbeiten, OCR-Transkriptionen, Bewertungsvorschläge, erzeugtes Feedback und Endnoten sind sämtlich</w:t>
      </w:r>
      <w:r>
        <w:t xml:space="preserve"> </w:t>
      </w:r>
      <w:r>
        <w:rPr>
          <w:bCs/>
          <w:b/>
        </w:rPr>
        <w:t xml:space="preserve">education records</w:t>
      </w:r>
      <w:r>
        <w:t xml:space="preserve">: Die Definition erfasst Aufzeichnungen, die</w:t>
      </w:r>
      <w:r>
        <w:t xml:space="preserve"> </w:t>
      </w:r>
      <w:r>
        <w:rPr>
          <w:iCs/>
          <w:i/>
        </w:rPr>
        <w:t xml:space="preserve">„by a party acting for the agency or institution”</w:t>
      </w:r>
      <w:r>
        <w:t xml:space="preserve"> </w:t>
      </w:r>
      <w:r>
        <w:t xml:space="preserve">geführt werden; eine Ausnahme für die „eigene Kopie” des Anbieters gibt es nicht. (Am Rande: Die FERPA-Definition des</w:t>
      </w:r>
      <w:r>
        <w:t xml:space="preserve"> </w:t>
      </w:r>
      <w:r>
        <w:rPr>
          <w:iCs/>
          <w:i/>
        </w:rPr>
        <w:t xml:space="preserve">biometric record</w:t>
      </w:r>
      <w:r>
        <w:t xml:space="preserve"> </w:t>
      </w:r>
      <w:r>
        <w:t xml:space="preserve">nennt</w:t>
      </w:r>
      <w:r>
        <w:t xml:space="preserve"> </w:t>
      </w:r>
      <w:r>
        <w:rPr>
          <w:bCs/>
          <w:b/>
        </w:rPr>
        <w:t xml:space="preserve">Handschrift</w:t>
      </w:r>
      <w:r>
        <w:t xml:space="preserve"> </w:t>
      </w:r>
      <w:r>
        <w:t xml:space="preserve">ausdrücklich — das wirkt weniger unter FERPA als unter einzelstaatlichem Biometrierecht, gehört aber vermerkt.)</w:t>
      </w:r>
    </w:p>
    <w:p>
      <w:pPr>
        <w:pStyle w:val="BodyText"/>
      </w:pPr>
      <w:r>
        <w:rPr>
          <w:bCs/>
          <w:b/>
        </w:rPr>
        <w:t xml:space="preserve">Die</w:t>
      </w:r>
      <w:r>
        <w:rPr>
          <w:bCs/>
          <w:b/>
        </w:rPr>
        <w:t xml:space="preserve"> </w:t>
      </w:r>
      <w:r>
        <w:rPr>
          <w:iCs/>
          <w:i/>
          <w:bCs/>
          <w:b/>
        </w:rPr>
        <w:t xml:space="preserve">school official</w:t>
      </w:r>
      <w:r>
        <w:rPr>
          <w:bCs/>
          <w:b/>
        </w:rPr>
        <w:t xml:space="preserve">-Ausnahme ist der maßgebliche Vertragsmechanismus.</w:t>
      </w:r>
      <w:r>
        <w:t xml:space="preserve"> </w:t>
      </w:r>
      <w:r>
        <w:t xml:space="preserve">34 CFR § 99.31(a)(1)(i)(B) stellt drei Bedingungen an den Anbieter: Erbringung einer Leistung, für die die Einrichtung sonst Beschäftigte einsetzen würde;</w:t>
      </w:r>
      <w:r>
        <w:t xml:space="preserve"> </w:t>
      </w:r>
      <w:r>
        <w:rPr>
          <w:bCs/>
          <w:b/>
        </w:rPr>
        <w:t xml:space="preserve">unmittelbare Kontrolle der Einrichtung</w:t>
      </w:r>
      <w:r>
        <w:t xml:space="preserve"> </w:t>
      </w:r>
      <w:r>
        <w:t xml:space="preserve">über Nutzung und Verwahrung der Akten; Bindung an die Weitergabegrenzen des § 99.33(a). Zwei weitere Bedingungen treffen die</w:t>
      </w:r>
      <w:r>
        <w:t xml:space="preserve"> </w:t>
      </w:r>
      <w:r>
        <w:rPr>
          <w:bCs/>
          <w:b/>
        </w:rPr>
        <w:t xml:space="preserve">Einrichtung</w:t>
      </w:r>
      <w:r>
        <w:t xml:space="preserve">: Festlegung der</w:t>
      </w:r>
      <w:r>
        <w:t xml:space="preserve"> </w:t>
      </w:r>
      <w:r>
        <w:rPr>
          <w:iCs/>
          <w:i/>
        </w:rPr>
        <w:t xml:space="preserve">school official</w:t>
      </w:r>
      <w:r>
        <w:t xml:space="preserve">-Kriterien in der</w:t>
      </w:r>
      <w:r>
        <w:t xml:space="preserve"> </w:t>
      </w:r>
      <w:r>
        <w:rPr>
          <w:bCs/>
          <w:b/>
        </w:rPr>
        <w:t xml:space="preserve">Jahresmitteilung</w:t>
      </w:r>
      <w:r>
        <w:t xml:space="preserve"> </w:t>
      </w:r>
      <w:r>
        <w:t xml:space="preserve">(§ 99.7(a)(3)(iii)) und angemessene Zugriffsbegrenzung (§ 99.31(a)(1)(ii)).</w:t>
      </w:r>
    </w:p>
    <w:p>
      <w:pPr>
        <w:pStyle w:val="BodyText"/>
      </w:pPr>
      <w:r>
        <w:t xml:space="preserve">Vertragsgestaltung: Der Vertrag muss die drei anbieterseitigen Bedingungen zusichern</w:t>
      </w:r>
      <w:r>
        <w:t xml:space="preserve"> </w:t>
      </w:r>
      <w:r>
        <w:rPr>
          <w:bCs/>
          <w:b/>
        </w:rPr>
        <w:t xml:space="preserve">und</w:t>
      </w:r>
      <w:r>
        <w:t xml:space="preserve"> </w:t>
      </w:r>
      <w:r>
        <w:t xml:space="preserve">die Einrichtung zur Erklärung verpflichten, dass sie den Anbieter in ihrer Jahresmitteilung benannt hat. Fehlt das, scheitert die Ausnahme — der Verstoß liegt bei der Einrichtung, die kommerzielle Folge trifft den Anbieter.</w:t>
      </w:r>
    </w:p>
    <w:p>
      <w:pPr>
        <w:pStyle w:val="BodyText"/>
      </w:pPr>
      <w:r>
        <w:rPr>
          <w:bCs/>
          <w:b/>
        </w:rPr>
        <w:t xml:space="preserve">„Unmittelbare Kontrolle” in der Praxis:</w:t>
      </w:r>
      <w:r>
        <w:t xml:space="preserve"> </w:t>
      </w:r>
      <w:r>
        <w:t xml:space="preserve">keine einseitige AGB-Änderung (nach der Auslegung des Ministeriums erschwert einseitige Änderbarkeit den Nachweis); Zweckbindung im Vertrag, nicht in der Datenschutzerklärung; Löschung oder Rückgabe bei Vertragsende nach Weisung; Genehmigung von Unterauftragnehmern durch die Einrichtung; Prüfrechte.</w:t>
      </w:r>
    </w:p>
    <w:p>
      <w:pPr>
        <w:pStyle w:val="BodyText"/>
      </w:pPr>
      <w:r>
        <w:rPr>
          <w:bCs/>
          <w:b/>
        </w:rPr>
        <w:t xml:space="preserve">Die Weitergaberegel ist die KI-Regel.</w:t>
      </w:r>
      <w:r>
        <w:t xml:space="preserve"> </w:t>
      </w:r>
      <w:r>
        <w:t xml:space="preserve">§ 99.33(a)(2): Empfänger</w:t>
      </w:r>
      <w:r>
        <w:t xml:space="preserve"> </w:t>
      </w:r>
      <w:r>
        <w:rPr>
          <w:iCs/>
          <w:i/>
        </w:rPr>
        <w:t xml:space="preserve">„may use the information, but only for the purposes for which the disclosure was made.”</w:t>
      </w:r>
      <w:r>
        <w:t xml:space="preserve"> </w:t>
      </w:r>
      <w:r>
        <w:t xml:space="preserve">Das ist eine</w:t>
      </w:r>
      <w:r>
        <w:t xml:space="preserve"> </w:t>
      </w:r>
      <w:r>
        <w:rPr>
          <w:bCs/>
          <w:b/>
        </w:rPr>
        <w:t xml:space="preserve">Nutzungs-</w:t>
      </w:r>
      <w:r>
        <w:t xml:space="preserve">, nicht bloß eine Weitergabebeschränkung. Die Offenlegung an den Anbieter dient der Korrektur der Prüfungen dieser Einrichtung. Dieselben Arbeiten zum Training oder zur Evaluierung eines Modells zu nutzen, das anderen Kunden dient, überschreitet diesen Zweck und fällt aus der Ausnahme heraus.</w:t>
      </w:r>
    </w:p>
    <w:p>
      <w:pPr>
        <w:pStyle w:val="BodyText"/>
      </w:pPr>
      <w:r>
        <w:t xml:space="preserve">Drei Wege stehen offen, wenn Trainingsdaten angestrebt werden:</w:t>
      </w:r>
    </w:p>
    <w:p>
      <w:pPr>
        <w:numPr>
          <w:ilvl w:val="0"/>
          <w:numId w:val="1047"/>
        </w:numPr>
        <w:pStyle w:val="Compact"/>
      </w:pPr>
      <w:r>
        <w:rPr>
          <w:bCs/>
          <w:b/>
        </w:rPr>
        <w:t xml:space="preserve">De-Identifikation (§ 99.31(b)).</w:t>
      </w:r>
      <w:r>
        <w:t xml:space="preserve"> </w:t>
      </w:r>
      <w:r>
        <w:t xml:space="preserve">Real, in diesem Kontext aber brüchig: Handschriftbilder sind ihrer Natur nach re-identifizierbar, und Freitextantworten enthalten beiläufige Identifikatoren. Jede De-Identifikationsbehauptung ist mit dokumentierter Methode und Re-Identifikationsrisikobewertung zu belegen, nicht zu behaupten.</w:t>
      </w:r>
    </w:p>
    <w:p>
      <w:pPr>
        <w:numPr>
          <w:ilvl w:val="0"/>
          <w:numId w:val="1047"/>
        </w:numPr>
        <w:pStyle w:val="Compact"/>
      </w:pPr>
      <w:r>
        <w:rPr>
          <w:bCs/>
          <w:b/>
        </w:rPr>
        <w:t xml:space="preserve">Die Studien-Ausnahme (§ 99.31(a)(6))</w:t>
      </w:r>
      <w:r>
        <w:t xml:space="preserve"> </w:t>
      </w:r>
      <w:r>
        <w:t xml:space="preserve">— Offenlegung an eine Organisation, die Studien für die Einrichtung durchführt, um Vorhersagetests zu entwickeln, zu validieren oder zu verwalten oder den Unterricht zu verbessern, unter</w:t>
      </w:r>
      <w:r>
        <w:t xml:space="preserve"> </w:t>
      </w:r>
      <w:r>
        <w:rPr>
          <w:bCs/>
          <w:b/>
        </w:rPr>
        <w:t xml:space="preserve">schriftlicher Vereinbarung</w:t>
      </w:r>
      <w:r>
        <w:t xml:space="preserve"> </w:t>
      </w:r>
      <w:r>
        <w:t xml:space="preserve">über Zweck, Umfang und Dauer, mit Nutzungsbeschränkung, Nichtidentifikationsgebot und</w:t>
      </w:r>
      <w:r>
        <w:t xml:space="preserve"> </w:t>
      </w:r>
      <w:r>
        <w:rPr>
          <w:bCs/>
          <w:b/>
        </w:rPr>
        <w:t xml:space="preserve">Vernichtung</w:t>
      </w:r>
      <w:r>
        <w:t xml:space="preserve"> </w:t>
      </w:r>
      <w:r>
        <w:t xml:space="preserve">aller personenbezogenen Daten mit ausdrücklicher Frist. Modellvalidierung und Kalibrierung passen; ein unbefristet aufbewahrter Trainingskorpus nicht, weil die Vernichtungspflicht ausdrücklich ist.</w:t>
      </w:r>
      <w:r>
        <w:t xml:space="preserve"> </w:t>
      </w:r>
      <w:r>
        <w:rPr>
          <w:bCs/>
          <w:b/>
        </w:rPr>
        <w:t xml:space="preserve">Das ist die sauberste bundesrechtliche Grundlage für ein begrenztes Kalibrierungsprogramm und sie wird wenig genutzt.</w:t>
      </w:r>
    </w:p>
    <w:p>
      <w:pPr>
        <w:numPr>
          <w:ilvl w:val="0"/>
          <w:numId w:val="1047"/>
        </w:numPr>
        <w:pStyle w:val="Compact"/>
      </w:pPr>
      <w:r>
        <w:rPr>
          <w:bCs/>
          <w:b/>
        </w:rPr>
        <w:t xml:space="preserve">Einwilligung (§ 99.30)</w:t>
      </w:r>
      <w:r>
        <w:t xml:space="preserve"> </w:t>
      </w:r>
      <w:r>
        <w:t xml:space="preserve">— in der Fläche nicht praktikabel.</w:t>
      </w:r>
    </w:p>
    <w:p>
      <w:pPr>
        <w:pStyle w:val="FirstParagraph"/>
      </w:pPr>
      <w:r>
        <w:rPr>
          <w:bCs/>
          <w:b/>
        </w:rPr>
        <w:t xml:space="preserve">Die daraus folgende Haltung: standardmäßig kein Training auf Kundendaten, mit einer gesonderten, begrenzten Studienvereinbarung zum Opt-in.</w:t>
      </w:r>
      <w:r>
        <w:t xml:space="preserve"> </w:t>
      </w:r>
      <w:r>
        <w:t xml:space="preserve">Das ist zugleich die FERPA-, die COPPA- und die landesrechtliche Antwort — eine konsistente Position statt dreier.</w:t>
      </w:r>
    </w:p>
    <w:p>
      <w:pPr>
        <w:pStyle w:val="BodyText"/>
      </w:pPr>
      <w:r>
        <w:rPr>
          <w:bCs/>
          <w:b/>
        </w:rPr>
        <w:t xml:space="preserve">Durchsetzung.</w:t>
      </w:r>
      <w:r>
        <w:t xml:space="preserve"> </w:t>
      </w:r>
      <w:r>
        <w:t xml:space="preserve">FERPA kennt kein Klagerecht Einzelner (</w:t>
      </w:r>
      <w:r>
        <w:rPr>
          <w:iCs/>
          <w:i/>
        </w:rPr>
        <w:t xml:space="preserve">Gonzaga University v. Doe</w:t>
      </w:r>
      <w:r>
        <w:t xml:space="preserve">, 536 U.S. 273 (2002)). Das Ministerium kann Mittel zurückhalten, Unterlassung anordnen oder die Förderfähigkeit beenden; und ein</w:t>
      </w:r>
      <w:r>
        <w:t xml:space="preserve"> </w:t>
      </w:r>
      <w:r>
        <w:rPr>
          <w:bCs/>
          <w:b/>
        </w:rPr>
        <w:t xml:space="preserve">Dritter, der unzulässig weitergibt, kann für mindestens fünf Jahre vom Zugang zu Bildungsakten ausgeschlossen werden</w:t>
      </w:r>
      <w:r>
        <w:t xml:space="preserve"> </w:t>
      </w:r>
      <w:r>
        <w:t xml:space="preserve">— die einzige FERPA-Sanktion, die einen Anbieter trifft. In der Praxis wurden weder Mittel entzogen noch das fünfjährige Verbot je verhängt.</w:t>
      </w:r>
      <w:r>
        <w:t xml:space="preserve"> </w:t>
      </w:r>
      <w:r>
        <w:rPr>
          <w:bCs/>
          <w:b/>
        </w:rPr>
        <w:t xml:space="preserve">Die reale Risikoleiter lautet daher: Vertrag und Freistellung; einzelstaatliche Schülerdatenschutzgesetze, die den Anbieter unmittelbar binden und Sanktionen kennen; einzelstaatliches Verbraucherschutzrecht und FTC Act § 5; Reputation; Ausschluss aus der Beschaffung.</w:t>
      </w:r>
      <w:r>
        <w:t xml:space="preserve"> </w:t>
      </w:r>
      <w:r>
        <w:t xml:space="preserve">Das Student Privacy Policy Office des Ministeriums arbeitet weiter und schreibt weiterhin Anbieter an — im Mai 2026 erging ein Schreiben an einen namentlich genannten LMS-Anbieter.</w:t>
      </w:r>
    </w:p>
    <w:bookmarkEnd w:id="170"/>
    <w:bookmarkStart w:id="171" w:name="X755a4f987b421b7d813c4c8256ffe76b881d168"/>
    <w:p>
      <w:pPr>
        <w:pStyle w:val="Heading3"/>
      </w:pPr>
      <w:r>
        <w:t xml:space="preserve">10.2 Die Bundesposition zu KI in der Bildung ist fördernd, nicht regulierend</w:t>
      </w:r>
    </w:p>
    <w:p>
      <w:pPr>
        <w:pStyle w:val="FirstParagraph"/>
      </w:pPr>
      <w:r>
        <w:rPr>
          <w:bCs/>
          <w:b/>
        </w:rPr>
        <w:t xml:space="preserve">Es gibt keine Leitlinie des Bildungsministeriums speziell zu KI und FERPA.</w:t>
      </w:r>
      <w:r>
        <w:t xml:space="preserve"> </w:t>
      </w:r>
      <w:r>
        <w:t xml:space="preserve">Die vollständige Leitlinienliste des SPPO (175 Einträge, geprüft am 11. September 2026) enthält keinen KI-Eintrag. Das ist eine echte Lücke.</w:t>
      </w:r>
    </w:p>
    <w:p>
      <w:pPr>
        <w:pStyle w:val="BodyText"/>
      </w:pPr>
      <w:r>
        <w:t xml:space="preserve">Die vorhandenen Grundsatzpapiere stammen vom Office of Educational Technology —</w:t>
      </w:r>
      <w:r>
        <w:t xml:space="preserve"> </w:t>
      </w:r>
      <w:r>
        <w:rPr>
          <w:iCs/>
          <w:i/>
        </w:rPr>
        <w:t xml:space="preserve">Artificial Intelligence and the Future of Teaching and Learning</w:t>
      </w:r>
      <w:r>
        <w:t xml:space="preserve"> </w:t>
      </w:r>
      <w:r>
        <w:t xml:space="preserve">(Mai 2023) und</w:t>
      </w:r>
      <w:r>
        <w:t xml:space="preserve"> </w:t>
      </w:r>
      <w:r>
        <w:rPr>
          <w:iCs/>
          <w:i/>
        </w:rPr>
        <w:t xml:space="preserve">Designing for Education with Artificial Intelligence:</w:t>
      </w:r>
      <w:r>
        <w:rPr>
          <w:iCs/>
          <w:i/>
        </w:rPr>
        <w:t xml:space="preserve"> </w:t>
      </w:r>
      <w:r>
        <w:rPr>
          <w:bCs/>
          <w:b/>
          <w:iCs/>
          <w:i/>
        </w:rPr>
        <w:t xml:space="preserve">An Essential Guide for Developers</w:t>
      </w:r>
      <w:r>
        <w:t xml:space="preserve"> </w:t>
      </w:r>
      <w:r>
        <w:t xml:space="preserve">(Juli 2024; so lautet der korrekte Untertitel).</w:t>
      </w:r>
      <w:r>
        <w:t xml:space="preserve"> </w:t>
      </w:r>
      <w:r>
        <w:rPr>
          <w:bCs/>
          <w:b/>
        </w:rPr>
        <w:t xml:space="preserve">Dieses Büro wurde im März 2025 aufgelöst</w:t>
      </w:r>
      <w:r>
        <w:t xml:space="preserve">, im Rahmen eines Personalabbaus von rund 4.133 auf rund 2.183 Stellen.</w:t>
      </w:r>
      <w:r>
        <w:t xml:space="preserve"> </w:t>
      </w:r>
      <w:r>
        <w:rPr>
          <w:iCs/>
          <w:i/>
        </w:rPr>
        <w:t xml:space="preserve">(Auflösung in der Fachpresse berichtet; eine Mitteilung des Ministeriums war nicht auffindbar.)</w:t>
      </w:r>
      <w:r>
        <w:t xml:space="preserve"> </w:t>
      </w:r>
      <w:r>
        <w:t xml:space="preserve">Eine Nachfolgeleitlinie ist nicht erschienen.</w:t>
      </w:r>
    </w:p>
    <w:p>
      <w:pPr>
        <w:pStyle w:val="BodyText"/>
      </w:pPr>
      <w:r>
        <w:rPr>
          <w:bCs/>
          <w:b/>
        </w:rPr>
        <w:t xml:space="preserve">EO 14277 „Advancing Artificial Intelligence Education for American Youth”</w:t>
      </w:r>
      <w:r>
        <w:t xml:space="preserve"> </w:t>
      </w:r>
      <w:r>
        <w:t xml:space="preserve">(23. April 2025) führte zu einem</w:t>
      </w:r>
      <w:r>
        <w:t xml:space="preserve"> </w:t>
      </w:r>
      <w:r>
        <w:rPr>
          <w:bCs/>
          <w:b/>
        </w:rPr>
        <w:t xml:space="preserve">Dear-Colleague-Letter vom 22. Juli 2025</w:t>
      </w:r>
      <w:r>
        <w:t xml:space="preserve"> </w:t>
      </w:r>
      <w:r>
        <w:t xml:space="preserve">zur Verwendung von Bundesmitteln für KI und zu einer</w:t>
      </w:r>
      <w:r>
        <w:t xml:space="preserve"> </w:t>
      </w:r>
      <w:r>
        <w:rPr>
          <w:bCs/>
          <w:b/>
        </w:rPr>
        <w:t xml:space="preserve">endgültigen Förderpriorität, veröffentlicht am 13. April 2026, wirksam am 13. Mai 2026</w:t>
      </w:r>
      <w:r>
        <w:t xml:space="preserve">. Beide sind lehrkraftzentriert formuliert — KI soll Lehrkräfte unterstützen, Schüler sollen „mit” statt „ausschließlich von” KI lernen, Systeme müssen FERPA einhalten.</w:t>
      </w:r>
      <w:r>
        <w:t xml:space="preserve"> </w:t>
      </w:r>
      <w:r>
        <w:rPr>
          <w:bCs/>
          <w:b/>
        </w:rPr>
        <w:t xml:space="preserve">Keines behandelt die KI-Bewertung von Schülerarbeiten, benennt Hochrisikonutzungen oder stellt Bedingungen zu Aufsicht, Datenschutz oder Nichtdiskriminierung.</w:t>
      </w:r>
    </w:p>
    <w:p>
      <w:pPr>
        <w:pStyle w:val="BodyText"/>
      </w:pPr>
      <w:r>
        <w:rPr>
          <w:bCs/>
          <w:b/>
        </w:rPr>
        <w:t xml:space="preserve">Eine strukturelle Warnung.</w:t>
      </w:r>
      <w:r>
        <w:t xml:space="preserve"> </w:t>
      </w:r>
      <w:r>
        <w:t xml:space="preserve">Zwischen November 2025 und Juni 2026 wurden Aufgaben des Bildungsministeriums per Ressortvereinbarung verlagert; im Juni 2026 ist die Durchsetzung durch das Office for Civil Rights berichteten Angaben zufolge auf das Justizministerium übergegangen —</w:t>
      </w:r>
      <w:r>
        <w:t xml:space="preserve"> </w:t>
      </w:r>
      <w:r>
        <w:rPr>
          <w:bCs/>
          <w:b/>
        </w:rPr>
        <w:t xml:space="preserve">einschließlich der Beschwerden zum Schülerdatenschutz nach FERPA und PPRA</w:t>
      </w:r>
      <w:r>
        <w:t xml:space="preserve">, wobei das Bildungsministerium das Student Privacy Policy Office und die abschließende Entscheidung über dessen Fälle behält.</w:t>
      </w:r>
      <w:r>
        <w:t xml:space="preserve"> </w:t>
      </w:r>
      <w:r>
        <w:rPr>
          <w:iCs/>
          <w:i/>
        </w:rPr>
        <w:t xml:space="preserve">(Einzelne Sekundärquelle, kein Wirksamkeitsdatum, Beteiligte sprachen von offenen Details — dies ist der dringlichste Nachprüfungspunkt.)</w:t>
      </w:r>
      <w:r>
        <w:t xml:space="preserve"> </w:t>
      </w:r>
      <w:r>
        <w:t xml:space="preserve">Trifft es zu, ändert sich der Charakter der Beschwerdebearbeitung wesentlich: Eine an die Bürgerrechtsabteilung des Justizministeriums geleitete Beschwerde bearbeiten Prozessanwälte, nicht ein Beratungsbüro mit dem Regelergebnis freiwilliger Abhilfe.</w:t>
      </w:r>
    </w:p>
    <w:bookmarkEnd w:id="171"/>
    <w:bookmarkStart w:id="172" w:name="ppra-ein-günstig-vermeidbares-risiko"/>
    <w:p>
      <w:pPr>
        <w:pStyle w:val="Heading3"/>
      </w:pPr>
      <w:r>
        <w:t xml:space="preserve">10.3 PPRA — ein günstig vermeidbares Risiko</w:t>
      </w:r>
    </w:p>
    <w:p>
      <w:pPr>
        <w:pStyle w:val="FirstParagraph"/>
      </w:pPr>
      <w:r>
        <w:t xml:space="preserve">20 U.S.C. § 1232h(b) untersagt, von einem Schüler ohne vorherige schriftliche Elterneinwilligung die Teilnahme an einer</w:t>
      </w:r>
      <w:r>
        <w:t xml:space="preserve"> </w:t>
      </w:r>
      <w:r>
        <w:rPr>
          <w:iCs/>
          <w:i/>
        </w:rPr>
        <w:t xml:space="preserve">„survey, analysis, or</w:t>
      </w:r>
      <w:r>
        <w:rPr>
          <w:iCs/>
          <w:i/>
        </w:rPr>
        <w:t xml:space="preserve"> </w:t>
      </w:r>
      <w:r>
        <w:rPr>
          <w:bCs/>
          <w:b/>
          <w:iCs/>
          <w:i/>
        </w:rPr>
        <w:t xml:space="preserve">evaluation</w:t>
      </w:r>
      <w:r>
        <w:rPr>
          <w:iCs/>
          <w:i/>
        </w:rPr>
        <w:t xml:space="preserve">”</w:t>
      </w:r>
      <w:r>
        <w:t xml:space="preserve"> </w:t>
      </w:r>
      <w:r>
        <w:t xml:space="preserve">zu verlangen, die Informationen zu acht geschützten Kategorien offenbart, darunter politische Überzeugungen,</w:t>
      </w:r>
      <w:r>
        <w:t xml:space="preserve"> </w:t>
      </w:r>
      <w:r>
        <w:rPr>
          <w:bCs/>
          <w:b/>
        </w:rPr>
        <w:t xml:space="preserve">psychische Probleme des Schülers oder der Familie</w:t>
      </w:r>
      <w:r>
        <w:t xml:space="preserve">, Sexualverhalten, rechtswidriges oder herabsetzendes Verhalten, kritische Einschätzungen naher Angehöriger, geschützte Vertrauensverhältnisse,</w:t>
      </w:r>
      <w:r>
        <w:t xml:space="preserve"> </w:t>
      </w:r>
      <w:r>
        <w:rPr>
          <w:bCs/>
          <w:b/>
        </w:rPr>
        <w:t xml:space="preserve">religiöse Praktiken oder Überzeugungen</w:t>
      </w:r>
      <w:r>
        <w:t xml:space="preserve"> </w:t>
      </w:r>
      <w:r>
        <w:t xml:space="preserve">und Einkommen.</w:t>
      </w:r>
    </w:p>
    <w:p>
      <w:pPr>
        <w:pStyle w:val="BodyText"/>
      </w:pPr>
      <w:r>
        <w:t xml:space="preserve">Das Wort</w:t>
      </w:r>
      <w:r>
        <w:t xml:space="preserve"> </w:t>
      </w:r>
      <w:r>
        <w:rPr>
          <w:bCs/>
          <w:b/>
        </w:rPr>
        <w:t xml:space="preserve">„evaluation”</w:t>
      </w:r>
      <w:r>
        <w:t xml:space="preserve"> </w:t>
      </w:r>
      <w:r>
        <w:t xml:space="preserve">ist die Angriffsfläche. Eine Feedback-Engine, die einen Freitextaufsatz liest und Kommentare zu Überzeugungen, familiären Umständen oder Gemütslage ausgibt, ist zumindest vertretbar eine solche Bewertung.</w:t>
      </w:r>
      <w:r>
        <w:t xml:space="preserve"> </w:t>
      </w:r>
      <w:r>
        <w:rPr>
          <w:iCs/>
          <w:i/>
        </w:rPr>
        <w:t xml:space="preserve">(Eine PPRA-Durchsetzung oder Leitlinie zu KI-Feedback war nicht auffindbar — die Auslegung ist ungeprüft, aber für einen Beschwerdeführer naheliegend und günstig zu vermeiden.)</w:t>
      </w:r>
    </w:p>
    <w:p>
      <w:pPr>
        <w:pStyle w:val="BodyText"/>
      </w:pPr>
      <w:r>
        <w:rPr>
          <w:bCs/>
          <w:b/>
        </w:rPr>
        <w:t xml:space="preserve">Designregel: Der Anbieter muss vertraglich zusichern, dass die Modelle nichts über Überzeugungen, Familie, Gemütslage oder die übrigen geschützten Kategorien ableiten oder ausgeben und dass sich das Feedback auf das geprüfte fachliche Konstrukt beschränkt.</w:t>
      </w:r>
      <w:r>
        <w:t xml:space="preserve"> </w:t>
      </w:r>
      <w:r>
        <w:t xml:space="preserve">Diese eine Zusicherung nimmt PPRA aus der Analyse.</w:t>
      </w:r>
      <w:r>
        <w:t xml:space="preserve"> </w:t>
      </w:r>
      <w:r>
        <w:rPr>
          <w:bCs/>
          <w:b/>
        </w:rPr>
        <w:t xml:space="preserve">Funktionen zu Affekt, Wohlbefinden oder Risikomarkierung sollten in den USA nicht eingesetzt werden</w:t>
      </w:r>
      <w:r>
        <w:t xml:space="preserve"> </w:t>
      </w:r>
      <w:r>
        <w:t xml:space="preserve">— „dieser Schüler könnte belastet sein” fällt unmittelbar unter Kategorie 2, und der Grenznutzen ist gering.</w:t>
      </w:r>
    </w:p>
    <w:bookmarkEnd w:id="172"/>
    <w:bookmarkStart w:id="173" w:name="coppa-in-der-fassung-von-2025"/>
    <w:p>
      <w:pPr>
        <w:pStyle w:val="Heading3"/>
      </w:pPr>
      <w:r>
        <w:t xml:space="preserve">10.4 COPPA in der Fassung von 2025</w:t>
      </w:r>
    </w:p>
    <w:p>
      <w:pPr>
        <w:pStyle w:val="FirstParagraph"/>
      </w:pPr>
      <w:r>
        <w:t xml:space="preserve">Angekündigt am 16. Januar 2025; veröffentlicht am 22. April 2025 (90 FR 16916); wirksam 23. Juni 2025;</w:t>
      </w:r>
      <w:r>
        <w:t xml:space="preserve"> </w:t>
      </w:r>
      <w:r>
        <w:rPr>
          <w:bCs/>
          <w:b/>
        </w:rPr>
        <w:t xml:space="preserve">vollständige Compliance seit 22. April 2026 — bereits abgelaufen.</w:t>
      </w:r>
      <w:r>
        <w:t xml:space="preserve"> </w:t>
      </w:r>
      <w:r>
        <w:t xml:space="preserve">Jeder US-Start mit unter 13-Jährigen findet ohne Übergangsfrist statt.</w:t>
      </w:r>
    </w:p>
    <w:p>
      <w:pPr>
        <w:pStyle w:val="BodyText"/>
      </w:pPr>
      <w:r>
        <w:t xml:space="preserve">Drei Änderungen sind erheblich:</w:t>
      </w:r>
    </w:p>
    <w:p>
      <w:pPr>
        <w:numPr>
          <w:ilvl w:val="0"/>
          <w:numId w:val="1048"/>
        </w:numPr>
        <w:pStyle w:val="Compact"/>
      </w:pPr>
      <w:r>
        <w:rPr>
          <w:bCs/>
          <w:b/>
        </w:rPr>
        <w:t xml:space="preserve">Gesonderte Einwilligung für die Weitergabe an Dritte (16 CFR § 312.5(a)(2)).</w:t>
      </w:r>
      <w:r>
        <w:t xml:space="preserve"> </w:t>
      </w:r>
      <w:r>
        <w:t xml:space="preserve">Die FTC hat in der Begründung ausgeführt:</w:t>
      </w:r>
      <w:r>
        <w:t xml:space="preserve"> </w:t>
      </w:r>
      <w:r>
        <w:rPr>
          <w:iCs/>
          <w:i/>
        </w:rPr>
        <w:t xml:space="preserve">„Disclosures of a child’s personal information to third parties … to train or otherwise develop artificial intelligence technologies, are not integral to the website or online service and would require consent.”</w:t>
      </w:r>
      <w:r>
        <w:t xml:space="preserve"> </w:t>
      </w:r>
      <w:r>
        <w:t xml:space="preserve">Genau zu sein lohnt: Die Worte „artificial intelligence” kommen im Verordnungstext nicht vor — es ist die</w:t>
      </w:r>
      <w:r>
        <w:t xml:space="preserve"> </w:t>
      </w:r>
      <w:r>
        <w:rPr>
          <w:bCs/>
          <w:b/>
        </w:rPr>
        <w:t xml:space="preserve">Auslegung</w:t>
      </w:r>
      <w:r>
        <w:t xml:space="preserve"> </w:t>
      </w:r>
      <w:r>
        <w:t xml:space="preserve">des Begriffs „integral” in der Begründung. Sie ist als</w:t>
      </w:r>
      <w:r>
        <w:t xml:space="preserve"> </w:t>
      </w:r>
      <w:r>
        <w:rPr>
          <w:bCs/>
          <w:b/>
        </w:rPr>
        <w:t xml:space="preserve">Weitergabe</w:t>
      </w:r>
      <w:r>
        <w:t xml:space="preserve">regel formuliert; wer sein eigenes Modell auf rechtmäßig erhobenen Daten trainiert, gibt nicht offenkundig an Dritte weiter. Die für einen Anbieter ungünstigste Lesart ist, dass die Übermittlung an eine Drittanbieter-Modell-API eine solche Weitergabe ist.</w:t>
      </w:r>
      <w:r>
        <w:t xml:space="preserve"> </w:t>
      </w:r>
      <w:r>
        <w:rPr>
          <w:bCs/>
          <w:b/>
        </w:rPr>
        <w:t xml:space="preserve">Eine klärende Äußerung der FTC war nicht auffindbar.</w:t>
      </w:r>
    </w:p>
    <w:p>
      <w:pPr>
        <w:numPr>
          <w:ilvl w:val="0"/>
          <w:numId w:val="1048"/>
        </w:numPr>
        <w:pStyle w:val="Compact"/>
      </w:pPr>
      <w:r>
        <w:rPr>
          <w:bCs/>
          <w:b/>
        </w:rPr>
        <w:t xml:space="preserve">Speicherung (§ 312.10) — die Norm mit Zähnen, und sie steht im Verordnungstext.</w:t>
      </w:r>
      <w:r>
        <w:t xml:space="preserve"> </w:t>
      </w:r>
      <w:r>
        <w:rPr>
          <w:iCs/>
          <w:i/>
        </w:rPr>
        <w:t xml:space="preserve">„Personal information collected online from a child may not be retained indefinitely.”</w:t>
      </w:r>
      <w:r>
        <w:t xml:space="preserve"> </w:t>
      </w:r>
      <w:r>
        <w:t xml:space="preserve">Eine schriftliche, veröffentlichte Aufbewahrungsrichtlinie mit Zwecken, betrieblichem Bedarf und Löschfrist ist Pflicht. Die FTC hat Ausnahmen für Sicherheit, Betrugsprävention, Nachweisführung und Dienstkontinuität ausdrücklich abgelehnt.</w:t>
      </w:r>
      <w:r>
        <w:t xml:space="preserve"> </w:t>
      </w:r>
      <w:r>
        <w:rPr>
          <w:bCs/>
          <w:b/>
        </w:rPr>
        <w:t xml:space="preserve">Das beendet einen dauerhaften Trainingskorpus mit Daten unter 13-Jähriger</w:t>
      </w:r>
      <w:r>
        <w:t xml:space="preserve">, weil ein Trainingsdatensatz definitionsgemäß unbefristet aufbewahrt wird und sich nicht redlich als für die Korrektur einer Klausur erforderlich beschreiben lässt.</w:t>
      </w:r>
    </w:p>
    <w:p>
      <w:pPr>
        <w:numPr>
          <w:ilvl w:val="0"/>
          <w:numId w:val="1048"/>
        </w:numPr>
        <w:pStyle w:val="Compact"/>
      </w:pPr>
      <w:r>
        <w:rPr>
          <w:bCs/>
          <w:b/>
        </w:rPr>
        <w:t xml:space="preserve">Sicherheit (§ 312.8(b)–(c)):</w:t>
      </w:r>
      <w:r>
        <w:t xml:space="preserve"> </w:t>
      </w:r>
      <w:r>
        <w:t xml:space="preserve">ein schriftliches Informationssicherheitsprogramm mit benanntem Koordinator, jährlichen Risikobewertungen, Tests und jährlicher Bewertung; sowie</w:t>
      </w:r>
      <w:r>
        <w:t xml:space="preserve"> </w:t>
      </w:r>
      <w:r>
        <w:rPr>
          <w:bCs/>
          <w:b/>
        </w:rPr>
        <w:t xml:space="preserve">schriftliche Zusicherungen</w:t>
      </w:r>
      <w:r>
        <w:t xml:space="preserve"> </w:t>
      </w:r>
      <w:r>
        <w:t xml:space="preserve">von Dienstleistern und Dritten, bevor diese Kinderdaten erheben oder verwahren.</w:t>
      </w:r>
    </w:p>
    <w:p>
      <w:pPr>
        <w:pStyle w:val="FirstParagraph"/>
      </w:pPr>
      <w:r>
        <w:rPr>
          <w:bCs/>
          <w:b/>
        </w:rPr>
        <w:t xml:space="preserve">Der Schulautorisierungsmechanismus ist eine Verlautbarung, keine kodifizierte Ausnahme.</w:t>
      </w:r>
      <w:r>
        <w:t xml:space="preserve"> </w:t>
      </w:r>
      <w:r>
        <w:t xml:space="preserve">Die FTC hat ihn 2024 vorgeschlagen und zurückgezogen, um einer erwarteten FERPA-Rechtsetzung nicht vorzugreifen —</w:t>
      </w:r>
      <w:r>
        <w:t xml:space="preserve"> </w:t>
      </w:r>
      <w:r>
        <w:rPr>
          <w:bCs/>
          <w:b/>
        </w:rPr>
        <w:t xml:space="preserve">die nicht ergangen ist</w:t>
      </w:r>
      <w:r>
        <w:t xml:space="preserve">. Das Ergebnis ist eine zweijährige Blockade: Die FTC hat auf das Bildungsministerium verwiesen, dieses wurde halbiert, und keines der Instrumente existiert.</w:t>
      </w:r>
      <w:r>
        <w:t xml:space="preserve"> </w:t>
      </w:r>
      <w:r>
        <w:rPr>
          <w:bCs/>
          <w:b/>
        </w:rPr>
        <w:t xml:space="preserve">Vom Fortbestehen der Blockade ist auszugehen.</w:t>
      </w:r>
      <w:r>
        <w:t xml:space="preserve"> </w:t>
      </w:r>
      <w:r>
        <w:t xml:space="preserve">Maßgeblich ist die FTC-Verlautbarung zu EdTech und COPPA von 2022: keine erzwungene Übererhebung; Nutzung nur zur Erbringung des angeforderten Dienstes; keine kommerzielle Nutzung; keine Aufbewahrung für spekulative künftige Zwecke; Sicherheitsmängel verstoßen auch ohne Vorfall; und</w:t>
      </w:r>
      <w:r>
        <w:t xml:space="preserve"> </w:t>
      </w:r>
      <w:r>
        <w:rPr>
          <w:iCs/>
          <w:i/>
        </w:rPr>
        <w:t xml:space="preserve">„the responsibility for COPPA compliance is on businesses, not schools or parents.”</w:t>
      </w:r>
    </w:p>
    <w:p>
      <w:pPr>
        <w:pStyle w:val="BodyText"/>
      </w:pPr>
      <w:r>
        <w:rPr>
          <w:bCs/>
          <w:b/>
        </w:rPr>
        <w:t xml:space="preserve">Die Edmodo-Verfügung ist der Mahnfall</w:t>
      </w:r>
      <w:r>
        <w:t xml:space="preserve"> </w:t>
      </w:r>
      <w:r>
        <w:t xml:space="preserve">— 6 Mio. USD Buße, wegen Zahlungsunfähigkeit ausgesetzt, und das Unternehmen überlebte den Reputationsschaden nicht. Zwei Elemente sind erheblich</w:t>
      </w:r>
      <w:r>
        <w:t xml:space="preserve"> </w:t>
      </w:r>
      <w:r>
        <w:rPr>
          <w:iCs/>
          <w:i/>
        </w:rPr>
        <w:t xml:space="preserve">(Sekundärquelle; der Verfügungstext war nicht abrufbar)</w:t>
      </w:r>
      <w:r>
        <w:t xml:space="preserve">:</w:t>
      </w:r>
      <w:r>
        <w:t xml:space="preserve"> </w:t>
      </w:r>
      <w:r>
        <w:rPr>
          <w:bCs/>
          <w:b/>
        </w:rPr>
        <w:t xml:space="preserve">algorithmische Herausgabe</w:t>
      </w:r>
      <w:r>
        <w:t xml:space="preserve"> </w:t>
      </w:r>
      <w:r>
        <w:t xml:space="preserve">— Löschung von Modellen oder Algorithmen, die mit ohne wirksame Einwilligung oder Schulautorisierung erhobenen Kinderdaten entwickelt wurden, also die schärfste denkbare Sanktion gegen einen KI-Korrekturanbieter, weil sie den Vermögenswert vernichtet statt ihn zu bebußen; und die Definition von „School” im</w:t>
      </w:r>
      <w:r>
        <w:t xml:space="preserve"> </w:t>
      </w:r>
      <w:r>
        <w:rPr>
          <w:bCs/>
          <w:b/>
        </w:rPr>
        <w:t xml:space="preserve">Singular</w:t>
      </w:r>
      <w:r>
        <w:t xml:space="preserve">, was FTC-Skepsis gegenüber diffusen „der Bezirk hat zugestimmt”-Ketten signalisiert.</w:t>
      </w:r>
    </w:p>
    <w:bookmarkEnd w:id="173"/>
    <w:bookmarkStart w:id="174" w:name="Xa753bf4fd000a396c892f06d5d33be7bf3438ee"/>
    <w:p>
      <w:pPr>
        <w:pStyle w:val="Heading3"/>
      </w:pPr>
      <w:r>
        <w:t xml:space="preserve">10.5 Bürgerrechte — und wo das reale Risiko nun liegt</w:t>
      </w:r>
    </w:p>
    <w:p>
      <w:pPr>
        <w:pStyle w:val="FirstParagraph"/>
      </w:pPr>
      <w:r>
        <w:rPr>
          <w:bCs/>
          <w:b/>
        </w:rPr>
        <w:t xml:space="preserve">Die mittelbare Diskriminierung ist bundesrechtlich eingeschränkt worden; weder diese Einschränkung noch ihre Grenzen sind zu überzeichnen.</w:t>
      </w:r>
      <w:r>
        <w:t xml:space="preserve"> </w:t>
      </w:r>
      <w:r>
        <w:t xml:space="preserve">EO 14281 (23. April 2025) wies die Behörden an, die Durchsetzung von Disparate-Impact-Haftung herabzustufen; das Bildungsministerium setzte dies mit einer am</w:t>
      </w:r>
      <w:r>
        <w:t xml:space="preserve"> </w:t>
      </w:r>
      <w:r>
        <w:rPr>
          <w:bCs/>
          <w:b/>
        </w:rPr>
        <w:t xml:space="preserve">24. Juli 2026</w:t>
      </w:r>
      <w:r>
        <w:t xml:space="preserve"> </w:t>
      </w:r>
      <w:r>
        <w:t xml:space="preserve">veröffentlichten Endregel um, die 34 CFR § 100.3(b)(2) und verwandte Title-VI-Bestimmungen aufhob, ohne Anhörungsverfahren unter Berufung auf die Ausnahme für Förderregelungen</w:t>
      </w:r>
      <w:r>
        <w:t xml:space="preserve"> </w:t>
      </w:r>
      <w:r>
        <w:rPr>
          <w:iCs/>
          <w:i/>
        </w:rPr>
        <w:t xml:space="preserve">(eine Verfahrenswahl, die selbst angreifbar ist; ob Klagen anhängig sind, konnte nicht verifiziert werden)</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Bleibt bestehen</w:t>
            </w:r>
          </w:p>
        </w:tc>
        <w:tc>
          <w:tcPr/>
          <w:p>
            <w:pPr>
              <w:pStyle w:val="Compact"/>
              <w:jc w:val="left"/>
            </w:pPr>
            <w:r>
              <w:t xml:space="preserve">Geschwächt oder entfallen</w:t>
            </w:r>
          </w:p>
        </w:tc>
      </w:tr>
      <w:tr>
        <w:tc>
          <w:tcPr/>
          <w:p>
            <w:pPr>
              <w:pStyle w:val="Compact"/>
              <w:jc w:val="left"/>
            </w:pPr>
            <w:r>
              <w:rPr>
                <w:bCs/>
                <w:b/>
              </w:rPr>
              <w:t xml:space="preserve">Vorsätzliche</w:t>
            </w:r>
            <w:r>
              <w:t xml:space="preserve"> </w:t>
            </w:r>
            <w:r>
              <w:t xml:space="preserve">Diskriminierung nach Title VI — gesetzlich</w:t>
            </w:r>
          </w:p>
        </w:tc>
        <w:tc>
          <w:tcPr/>
          <w:p>
            <w:pPr>
              <w:pStyle w:val="Compact"/>
              <w:jc w:val="left"/>
            </w:pPr>
            <w:r>
              <w:t xml:space="preserve">Regulatorische</w:t>
            </w:r>
            <w:r>
              <w:t xml:space="preserve"> </w:t>
            </w:r>
            <w:r>
              <w:rPr>
                <w:bCs/>
                <w:b/>
              </w:rPr>
              <w:t xml:space="preserve">Disparate-Impact</w:t>
            </w:r>
            <w:r>
              <w:t xml:space="preserve">-Haftung nach Title VI</w:t>
            </w:r>
          </w:p>
        </w:tc>
      </w:tr>
      <w:tr>
        <w:tc>
          <w:tcPr/>
          <w:p>
            <w:pPr>
              <w:pStyle w:val="Compact"/>
              <w:jc w:val="left"/>
            </w:pPr>
            <w:r>
              <w:rPr>
                <w:bCs/>
                <w:b/>
              </w:rPr>
              <w:t xml:space="preserve">Section 504 / ADA</w:t>
            </w:r>
            <w:r>
              <w:t xml:space="preserve"> </w:t>
            </w:r>
            <w:r>
              <w:t xml:space="preserve">— wirkungsbezogen angelegt; unterlassene Vorkehrungen und Verwaltungsmethoden setzen keinen Vorsatz voraus</w:t>
            </w:r>
          </w:p>
        </w:tc>
        <w:tc>
          <w:tcPr/>
          <w:p>
            <w:pPr>
              <w:pStyle w:val="Compact"/>
              <w:jc w:val="left"/>
            </w:pPr>
            <w:r>
              <w:t xml:space="preserve">Bundesweite Durchsetzungspriorität für Wirkungsklagen</w:t>
            </w:r>
          </w:p>
        </w:tc>
      </w:tr>
      <w:tr>
        <w:tc>
          <w:tcPr/>
          <w:p>
            <w:pPr>
              <w:pStyle w:val="Compact"/>
              <w:jc w:val="left"/>
            </w:pPr>
            <w:r>
              <w:t xml:space="preserve">Title-IX-Wirkungsanalyse (eigene Vorschriften)</w:t>
            </w:r>
          </w:p>
        </w:tc>
        <w:tc>
          <w:tcPr/>
          <w:p>
            <w:pPr>
              <w:pStyle w:val="Compact"/>
              <w:jc w:val="left"/>
            </w:pPr>
            <w:r>
              <w:t xml:space="preserve">—</w:t>
            </w:r>
          </w:p>
        </w:tc>
      </w:tr>
      <w:tr>
        <w:tc>
          <w:tcPr/>
          <w:p>
            <w:pPr>
              <w:pStyle w:val="Compact"/>
              <w:jc w:val="left"/>
            </w:pPr>
            <w:r>
              <w:rPr>
                <w:bCs/>
                <w:b/>
              </w:rPr>
              <w:t xml:space="preserve">Einzelstaatliches</w:t>
            </w:r>
            <w:r>
              <w:t xml:space="preserve"> </w:t>
            </w:r>
            <w:r>
              <w:t xml:space="preserve">Antidiskriminierungs- und KI-Recht</w:t>
            </w:r>
          </w:p>
        </w:tc>
        <w:tc>
          <w:tcPr/>
          <w:p>
            <w:pPr>
              <w:pStyle w:val="Compact"/>
              <w:jc w:val="left"/>
            </w:pPr>
            <w:r>
              <w:t xml:space="preserve">—</w:t>
            </w:r>
          </w:p>
        </w:tc>
      </w:tr>
    </w:tbl>
    <w:p>
      <w:pPr>
        <w:pStyle w:val="BodyText"/>
      </w:pPr>
      <w:r>
        <w:rPr>
          <w:bCs/>
          <w:b/>
        </w:rPr>
        <w:t xml:space="preserve">Das Bias-Risiko ist nicht entfallen.</w:t>
      </w:r>
      <w:r>
        <w:t xml:space="preserve"> </w:t>
      </w:r>
      <w:r>
        <w:t xml:space="preserve">Der Behinderungsweg ist unberührt und für ein KI-Korrekturwerkzeug der wahrscheinlichere Angriffsvektor; das Landesrecht wächst; und Reputations- und Beschaffungsrisiko sind gegenüber der Dogmatik gleichgültig. Ein Bezirk, der eine Fehlerquotenlücke nach Untergruppen sieht, trennt sich vom Anbieter, unabhängig davon, ob jemand ermitteln würde.</w:t>
      </w:r>
    </w:p>
    <w:p>
      <w:pPr>
        <w:pStyle w:val="BodyText"/>
      </w:pPr>
      <w:r>
        <w:rPr>
          <w:bCs/>
          <w:b/>
        </w:rPr>
        <w:t xml:space="preserve">Die OCR-Leitlinie</w:t>
      </w:r>
      <w:r>
        <w:rPr>
          <w:bCs/>
          <w:b/>
        </w:rPr>
        <w:t xml:space="preserve"> </w:t>
      </w:r>
      <w:r>
        <w:rPr>
          <w:iCs/>
          <w:i/>
          <w:bCs/>
          <w:b/>
        </w:rPr>
        <w:t xml:space="preserve">Avoiding the Discriminatory Use of Artificial Intelligence</w:t>
      </w:r>
      <w:r>
        <w:rPr>
          <w:bCs/>
          <w:b/>
        </w:rPr>
        <w:t xml:space="preserve"> </w:t>
      </w:r>
      <w:r>
        <w:rPr>
          <w:bCs/>
          <w:b/>
        </w:rPr>
        <w:t xml:space="preserve">(November 2024, überarbeitet Januar 2025) wurde förmlich zurückgenommen</w:t>
      </w:r>
      <w:r>
        <w:t xml:space="preserve"> </w:t>
      </w:r>
      <w:r>
        <w:rPr>
          <w:iCs/>
          <w:i/>
        </w:rPr>
        <w:t xml:space="preserve">(Datum und Instrument der Rücknahme nicht feststellbar)</w:t>
      </w:r>
      <w:r>
        <w:t xml:space="preserve">. Sie bleibt das nützlichste verfügbare Einzeldokument, weil die Rücknahme ihren Leitliniencharakter beseitigt, nicht aber ihren Wert als Landkarte möglicher Beschwerdeführung. Ihr Beispiel 1 beschreibt genau dieses Szenario: ein Werkzeug mit</w:t>
      </w:r>
      <w:r>
        <w:t xml:space="preserve"> </w:t>
      </w:r>
      <w:r>
        <w:rPr>
          <w:iCs/>
          <w:i/>
        </w:rPr>
        <w:t xml:space="preserve">„a low error rate for evaluating essays written by native English speakers”</w:t>
      </w:r>
      <w:r>
        <w:t xml:space="preserve">, aber</w:t>
      </w:r>
      <w:r>
        <w:t xml:space="preserve"> </w:t>
      </w:r>
      <w:r>
        <w:rPr>
          <w:iCs/>
          <w:i/>
        </w:rPr>
        <w:t xml:space="preserve">„a high error rate when evaluating essays written by non-native English speakers”</w:t>
      </w:r>
      <w:r>
        <w:t xml:space="preserve">. Der rote Faden ihrer Beispiele: Haftung entsteht nicht aus dem KI-Einsatz, sondern aus dem Vertrauen auf die Ausgabe, dem Unterlassen von Fehlerquotenprüfungen nach Untergruppen und dem Ignorieren von Beschwerden.</w:t>
      </w:r>
    </w:p>
    <w:p>
      <w:pPr>
        <w:pStyle w:val="BodyText"/>
      </w:pPr>
      <w:r>
        <w:rPr>
          <w:bCs/>
          <w:b/>
        </w:rPr>
        <w:t xml:space="preserve">Nachteilsausgleiche sind eine Bauanforderung, keine Policy-Frage.</w:t>
      </w:r>
      <w:r>
        <w:t xml:space="preserve"> </w:t>
      </w:r>
      <w:r>
        <w:t xml:space="preserve">Die IDEA-Vertraulichkeitsregeln treten zu FERPA hinzu. Inhaltlich: Zeitverlängerung ist für die Korrektur ohne Belang; Schreibkraft oder Textverarbeitung verändern das Artefakt von Handschrift zu Text, und</w:t>
      </w:r>
      <w:r>
        <w:t xml:space="preserve"> </w:t>
      </w:r>
      <w:r>
        <w:rPr>
          <w:bCs/>
          <w:b/>
        </w:rPr>
        <w:t xml:space="preserve">getippte Arbeiten dürfen nicht anders bewertet werden</w:t>
      </w:r>
      <w:r>
        <w:t xml:space="preserve">; Verzicht auf Rechtschreib- und Grammatikbewertung bedeutet, dass</w:t>
      </w:r>
      <w:r>
        <w:t xml:space="preserve"> </w:t>
      </w:r>
      <w:r>
        <w:rPr>
          <w:bCs/>
          <w:b/>
        </w:rPr>
        <w:t xml:space="preserve">das Raster je Schüler änderbar sein muss</w:t>
      </w:r>
      <w:r>
        <w:t xml:space="preserve">; alternative oder gekürzte Antwortformate sind zu unterstützen.</w:t>
      </w:r>
      <w:r>
        <w:t xml:space="preserve"> </w:t>
      </w:r>
      <w:r>
        <w:rPr>
          <w:bCs/>
          <w:b/>
        </w:rPr>
        <w:t xml:space="preserve">Ein System, das auf jede Arbeit dasselbe Raster anwendet, kann einen 504-Plan nicht umsetzen.</w:t>
      </w:r>
      <w:r>
        <w:t xml:space="preserve"> </w:t>
      </w:r>
      <w:r>
        <w:t xml:space="preserve">Ein solches System muss ein Kennzeichen für schülerbezogene Rasteranpassung annehmen und belegen, dass es angewandt wurde.</w:t>
      </w:r>
    </w:p>
    <w:bookmarkEnd w:id="174"/>
    <w:bookmarkStart w:id="175" w:name="X31ca63b0a173a400daeeed65e76b856a2eefe18"/>
    <w:p>
      <w:pPr>
        <w:pStyle w:val="Heading3"/>
      </w:pPr>
      <w:r>
        <w:t xml:space="preserve">10.6 Was die Evidenz zum Bewertungs-Bias tatsächlich zeigt</w:t>
      </w:r>
    </w:p>
    <w:p>
      <w:pPr>
        <w:pStyle w:val="FirstParagraph"/>
      </w:pPr>
      <w:r>
        <w:t xml:space="preserve">Zwei Studien wurden verifiziert; sie sind sorgfältig und nicht schlagwortartig zu lesen.</w:t>
      </w:r>
    </w:p>
    <w:p>
      <w:pPr>
        <w:numPr>
          <w:ilvl w:val="0"/>
          <w:numId w:val="1049"/>
        </w:numPr>
        <w:pStyle w:val="Compact"/>
      </w:pPr>
      <w:r>
        <w:rPr>
          <w:bCs/>
          <w:b/>
        </w:rPr>
        <w:t xml:space="preserve">Li, Qunhan &amp; Mao (2026),</w:t>
      </w:r>
      <w:r>
        <w:rPr>
          <w:bCs/>
          <w:b/>
        </w:rPr>
        <w:t xml:space="preserve"> </w:t>
      </w:r>
      <w:r>
        <w:rPr>
          <w:iCs/>
          <w:i/>
          <w:bCs/>
          <w:b/>
        </w:rPr>
        <w:t xml:space="preserve">Scientific Reports</w:t>
      </w:r>
      <w:r>
        <w:rPr>
          <w:bCs/>
          <w:b/>
        </w:rPr>
        <w:t xml:space="preserve"> </w:t>
      </w:r>
      <w:r>
        <w:rPr>
          <w:bCs/>
          <w:b/>
        </w:rPr>
        <w:t xml:space="preserve">16:17412</w:t>
      </w:r>
      <w:r>
        <w:t xml:space="preserve"> </w:t>
      </w:r>
      <w:r>
        <w:t xml:space="preserve">— Metaanalyse menschlicher und KI-Bewertung in Englischtests. Der gepoolte Effekt ist nicht signifikant (d = −0,144; p = 0,38),</w:t>
      </w:r>
      <w:r>
        <w:t xml:space="preserve"> </w:t>
      </w:r>
      <w:r>
        <w:rPr>
          <w:bCs/>
          <w:b/>
        </w:rPr>
        <w:t xml:space="preserve">aber I² = 99,95 %</w:t>
      </w:r>
      <w:r>
        <w:t xml:space="preserve">, der Nullbefund verdeckt also enorme Streuung zwischen den Studien. In Untergruppen zeigten</w:t>
      </w:r>
      <w:r>
        <w:t xml:space="preserve"> </w:t>
      </w:r>
      <w:r>
        <w:rPr>
          <w:bCs/>
          <w:b/>
        </w:rPr>
        <w:t xml:space="preserve">große Sprachmodelle die größte Abweichung (d = −1,14; k = 5)</w:t>
      </w:r>
      <w:r>
        <w:t xml:space="preserve"> </w:t>
      </w:r>
      <w:r>
        <w:t xml:space="preserve">mit signifikant höheren menschlichen Werten, spezialisierte NLP-Systeme dagegen kaum Unterschiede; auf GER-Niveau B1–C1</w:t>
      </w:r>
      <w:r>
        <w:t xml:space="preserve"> </w:t>
      </w:r>
      <w:r>
        <w:rPr>
          <w:bCs/>
          <w:b/>
        </w:rPr>
        <w:t xml:space="preserve">bewertete die KI signifikant höher als Menschen</w:t>
      </w:r>
      <w:r>
        <w:t xml:space="preserve">. Die operative Lesart ist nicht „LLM sind gegenüber Nichtmuttersprachlern voreingenommen”, sondern etwas Brauchbareres:</w:t>
      </w:r>
      <w:r>
        <w:t xml:space="preserve"> </w:t>
      </w:r>
      <w:r>
        <w:rPr>
          <w:bCs/>
          <w:b/>
        </w:rPr>
        <w:t xml:space="preserve">Richtung und Ausmaß der Abweichung zwischen LLM und Mensch sind über Kompetenzniveaus hinweg nicht stabil</w:t>
      </w:r>
      <w:r>
        <w:t xml:space="preserve"> </w:t>
      </w:r>
      <w:r>
        <w:t xml:space="preserve">— genau das Muster, das ohne jedes geschützte Merkmal als Eingabe zu unterschiedlicher Genauigkeit zwischen EL- und Nicht-EL-Gruppen führt.</w:t>
      </w:r>
    </w:p>
    <w:p>
      <w:pPr>
        <w:numPr>
          <w:ilvl w:val="0"/>
          <w:numId w:val="1049"/>
        </w:numPr>
        <w:pStyle w:val="Compact"/>
      </w:pPr>
      <w:r>
        <w:rPr>
          <w:bCs/>
          <w:b/>
        </w:rPr>
        <w:t xml:space="preserve">Guo et al. (2025), arXiv:2505.10643</w:t>
      </w:r>
      <w:r>
        <w:t xml:space="preserve"> </w:t>
      </w:r>
      <w:r>
        <w:t xml:space="preserve">— BERT, feinabgestimmt auf Freitextantworten des California Science Test.</w:t>
      </w:r>
      <w:r>
        <w:t xml:space="preserve"> </w:t>
      </w:r>
      <w:r>
        <w:rPr>
          <w:bCs/>
          <w:b/>
        </w:rPr>
        <w:t xml:space="preserve">Bias ist eine Funktion von Umfang und Zusammensetzung der Trainingsdaten</w:t>
      </w:r>
      <w:r>
        <w:t xml:space="preserve">: bei rund 30.000 Antworten von Englischlernenden keine signifikanten Modellunterschiede; bei rund 200 signifikante Genauigkeitsunterschiede, und verzerrte mittlere Punktabstände, wenn die Trainingszusammensetzung von den realen Anteilen abwich.</w:t>
      </w:r>
      <w:r>
        <w:t xml:space="preserve"> </w:t>
      </w:r>
      <w:r>
        <w:rPr>
          <w:bCs/>
          <w:b/>
        </w:rPr>
        <w:t xml:space="preserve">Das ist der handlungsrelevanteste verfügbare Befund: EL-Bias ist weitgehend ein Problem von Datenmenge und Repräsentativität und damit mess- und behebbar.</w:t>
      </w:r>
      <w:r>
        <w:t xml:space="preserve"> </w:t>
      </w:r>
      <w:r>
        <w:t xml:space="preserve">Er stützt eine konkrete Zusage — repräsentative Kalibrierungsdaten je Einsatzkontext und Genauigkeitsberichte nach Untergruppen.</w:t>
      </w:r>
    </w:p>
    <w:p>
      <w:pPr>
        <w:pStyle w:val="FirstParagraph"/>
      </w:pPr>
      <w:r>
        <w:rPr>
          <w:iCs/>
          <w:i/>
        </w:rPr>
        <w:t xml:space="preserve">(Bridgeman, Trapani &amp; Attali (2012), die kanonische ETS-e-rater-Untergruppenstudie, war nicht lesbar — der Verlag lieferte einen Fehler. Ihr keine konkreten Untergruppenbefunde zuschreiben.)</w:t>
      </w:r>
    </w:p>
    <w:p>
      <w:pPr>
        <w:pStyle w:val="BodyText"/>
      </w:pPr>
      <w:r>
        <w:rPr>
          <w:bCs/>
          <w:b/>
        </w:rPr>
        <w:t xml:space="preserve">Eine ungeschlossene Evidenzlücke.</w:t>
      </w:r>
      <w:r>
        <w:t xml:space="preserve"> </w:t>
      </w:r>
      <w:r>
        <w:rPr>
          <w:bCs/>
          <w:b/>
        </w:rPr>
        <w:t xml:space="preserve">Eine veröffentlichte Studie zum Bias der KI-Bewertung</w:t>
      </w:r>
      <w:r>
        <w:rPr>
          <w:bCs/>
          <w:b/>
        </w:rPr>
        <w:t xml:space="preserve"> </w:t>
      </w:r>
      <w:r>
        <w:rPr>
          <w:iCs/>
          <w:i/>
          <w:bCs/>
          <w:b/>
        </w:rPr>
        <w:t xml:space="preserve">handschriftlicher</w:t>
      </w:r>
      <w:r>
        <w:rPr>
          <w:bCs/>
          <w:b/>
        </w:rPr>
        <w:t xml:space="preserve"> </w:t>
      </w:r>
      <w:r>
        <w:rPr>
          <w:bCs/>
          <w:b/>
        </w:rPr>
        <w:t xml:space="preserve">Arbeiten war nicht auffindbar.</w:t>
      </w:r>
      <w:r>
        <w:t xml:space="preserve"> </w:t>
      </w:r>
      <w:r>
        <w:t xml:space="preserve">Sämtliche Evidenz betrifft getippten oder transkribierten Text. Ein System, das eine OCR/HTR-Stufe vorschaltet, fügt eine weitere Variable hinzu, und</w:t>
      </w:r>
      <w:r>
        <w:t xml:space="preserve"> </w:t>
      </w:r>
      <w:r>
        <w:rPr>
          <w:bCs/>
          <w:b/>
        </w:rPr>
        <w:t xml:space="preserve">Transkriptionsfehler sind selbst ein plausibler Bias-Vektor</w:t>
      </w:r>
      <w:r>
        <w:t xml:space="preserve">: Lesbarkeit korreliert mit feinmotorischer Beeinträchtigung, Dysgraphie, Alter und Unterrichtsqualität, und ein überwiegend auf einer Population trainierter Erkenner transkribiert andere schlechter. Ein Schüler, dessen Arbeit mit 92 % Zeichengenauigkeit transkribiert wird, und einer mit 98 % werden nicht am selben Artefakt bewertet.</w:t>
      </w:r>
      <w:r>
        <w:t xml:space="preserve"> </w:t>
      </w:r>
      <w:r>
        <w:rPr>
          <w:bCs/>
          <w:b/>
        </w:rPr>
        <w:t xml:space="preserve">Abhilfe: Transkriptionsgenauigkeit nach Untergruppen messen und berichten; Arbeiten mit niedriger Konfidenz mit Originalbild an die Lehrkraft leiten; Arbeiten unterhalb einer Konfidenzschwelle nie bewerten.</w:t>
      </w:r>
      <w:r>
        <w:t xml:space="preserve"> </w:t>
      </w:r>
      <w:r>
        <w:t xml:space="preserve">Diese Forschungslücke bleibt offen.</w:t>
      </w:r>
    </w:p>
    <w:bookmarkEnd w:id="175"/>
    <w:bookmarkStart w:id="176" w:name="hochschule-barrierefreiheit-haftung"/>
    <w:p>
      <w:pPr>
        <w:pStyle w:val="Heading3"/>
      </w:pPr>
      <w:r>
        <w:t xml:space="preserve">10.7 Hochschule, Barrierefreiheit, Haftung</w:t>
      </w:r>
    </w:p>
    <w:p>
      <w:pPr>
        <w:pStyle w:val="FirstParagraph"/>
      </w:pPr>
      <w:r>
        <w:rPr>
          <w:bCs/>
          <w:b/>
        </w:rPr>
        <w:t xml:space="preserve">„Regular and substantive interaction” (34 CFR § 600.2).</w:t>
      </w:r>
      <w:r>
        <w:t xml:space="preserve"> </w:t>
      </w:r>
      <w:r>
        <w:t xml:space="preserve">Fernunterricht muss regelmäßige und substanzielle Interaktion mit</w:t>
      </w:r>
      <w:r>
        <w:t xml:space="preserve"> </w:t>
      </w:r>
      <w:r>
        <w:rPr>
          <w:bCs/>
          <w:b/>
        </w:rPr>
        <w:t xml:space="preserve">einem Lehrenden</w:t>
      </w:r>
      <w:r>
        <w:t xml:space="preserve"> </w:t>
      </w:r>
      <w:r>
        <w:t xml:space="preserve">ermöglichen, definiert als</w:t>
      </w:r>
      <w:r>
        <w:t xml:space="preserve"> </w:t>
      </w:r>
      <w:r>
        <w:rPr>
          <w:iCs/>
          <w:i/>
        </w:rPr>
        <w:t xml:space="preserve">„an individual”</w:t>
      </w:r>
      <w:r>
        <w:t xml:space="preserve">, der die Qualifikationsanforderungen der Akkreditierungsagentur erfüllt; substanzielle Interaktion erfordert mindestens zwei von fünf Tätigkeiten, deren zweite</w:t>
      </w:r>
      <w:r>
        <w:t xml:space="preserve"> </w:t>
      </w:r>
      <w:r>
        <w:rPr>
          <w:iCs/>
          <w:i/>
        </w:rPr>
        <w:t xml:space="preserve">„assessing or providing feedback on a student’s coursework”</w:t>
      </w:r>
      <w:r>
        <w:t xml:space="preserve"> </w:t>
      </w:r>
      <w:r>
        <w:t xml:space="preserve">lautet — genau die hier betroffene Tätigkeit. Ein Kurs, der daran scheitert, ist ein</w:t>
      </w:r>
      <w:r>
        <w:t xml:space="preserve"> </w:t>
      </w:r>
      <w:r>
        <w:rPr>
          <w:bCs/>
          <w:b/>
        </w:rPr>
        <w:t xml:space="preserve">correspondence course</w:t>
      </w:r>
      <w:r>
        <w:t xml:space="preserve"> </w:t>
      </w:r>
      <w:r>
        <w:t xml:space="preserve">und damit in der Bundesförderung beschränkt.</w:t>
      </w:r>
      <w:r>
        <w:t xml:space="preserve"> </w:t>
      </w:r>
      <w:r>
        <w:rPr>
          <w:bCs/>
          <w:b/>
        </w:rPr>
        <w:t xml:space="preserve">Ein Design, in dem die Lehrkraft prüft und entscheidet, erfüllt den Test, weil das Feedback beim Studierenden das des Lehrenden ist, KI-gestützt erstellt. Das Risiko liegt vollständig in Konfiguration und Vermarktung:</w:t>
      </w:r>
      <w:r>
        <w:t xml:space="preserve"> </w:t>
      </w:r>
      <w:r>
        <w:t xml:space="preserve">niemals eine Konfiguration, die im Fernunterricht KI-Feedback ohne Prüfung durch den Lehrenden ausliefert, und niemals Werbeaussagen, das System „ersetze” die Korrektur durch Lehrende.</w:t>
      </w:r>
      <w:r>
        <w:t xml:space="preserve"> </w:t>
      </w:r>
      <w:r>
        <w:rPr>
          <w:iCs/>
          <w:i/>
        </w:rPr>
        <w:t xml:space="preserve">(Die KI-Akkreditierungsrichtlinie der MSCHE von Juli 2025 und die C-RAC-Erklärung von Oktober 2025 waren nicht abrufbar; beide sind vor einer abschließenden Beurteilung des US-Hochschulsegments zu beschaffen.)</w:t>
      </w:r>
    </w:p>
    <w:p>
      <w:pPr>
        <w:pStyle w:val="BodyText"/>
      </w:pPr>
      <w:r>
        <w:rPr>
          <w:bCs/>
          <w:b/>
        </w:rPr>
        <w:t xml:space="preserve">Barrierefreiheit.</w:t>
      </w:r>
      <w:r>
        <w:t xml:space="preserve"> </w:t>
      </w:r>
      <w:r>
        <w:t xml:space="preserve">Section 508 bindet Bundesbehörden, nicht Bezirke oder Hochschulen — viele einzelstaatliche Vergabegesetze verweisen jedoch darauf, sodass ein VPAT praktisch verlangt wird. Maßgeblich für die einsetzende Einrichtung ist die</w:t>
      </w:r>
      <w:r>
        <w:t xml:space="preserve"> </w:t>
      </w:r>
      <w:r>
        <w:rPr>
          <w:bCs/>
          <w:b/>
        </w:rPr>
        <w:t xml:space="preserve">ADA-Title-II-Webregel (28 CFR Part 35 Subpart H, Endregel vom 24. April 2024), Maßstab WCAG 2.1 Level A und AA</w:t>
      </w:r>
      <w:r>
        <w:t xml:space="preserve">, mit durch Zwischenregel vom 20. April 2026 verlängerten Fristen:</w:t>
      </w:r>
      <w:r>
        <w:t xml:space="preserve"> </w:t>
      </w:r>
      <w:r>
        <w:rPr>
          <w:bCs/>
          <w:b/>
        </w:rPr>
        <w:t xml:space="preserve">26. April 2027</w:t>
      </w:r>
      <w:r>
        <w:t xml:space="preserve"> </w:t>
      </w:r>
      <w:r>
        <w:t xml:space="preserve">für öffentliche Stellen ab 50.000 Einwohnern und</w:t>
      </w:r>
      <w:r>
        <w:t xml:space="preserve"> </w:t>
      </w:r>
      <w:r>
        <w:rPr>
          <w:bCs/>
          <w:b/>
        </w:rPr>
        <w:t xml:space="preserve">26. April 2028</w:t>
      </w:r>
      <w:r>
        <w:t xml:space="preserve"> </w:t>
      </w:r>
      <w:r>
        <w:t xml:space="preserve">für kleinere Stellen und Sonderzweckverbände — was die meisten Schulbezirke sind. Entscheidend ist der Satz, dass die öffentliche Stelle verantwortlich bleibt,</w:t>
      </w:r>
      <w:r>
        <w:t xml:space="preserve"> </w:t>
      </w:r>
      <w:r>
        <w:rPr>
          <w:iCs/>
          <w:i/>
        </w:rPr>
        <w:t xml:space="preserve">„even if it outsources the accessibility work to somebody else”</w:t>
      </w:r>
      <w:r>
        <w:t xml:space="preserve"> </w:t>
      </w:r>
      <w:r>
        <w:t xml:space="preserve">— Bezirke werden die Pflicht daher in den Vertrag schieben. Zwei systemspezifische Fallen:</w:t>
      </w:r>
      <w:r>
        <w:t xml:space="preserve"> </w:t>
      </w:r>
      <w:r>
        <w:rPr>
          <w:bCs/>
          <w:b/>
        </w:rPr>
        <w:t xml:space="preserve">eingescannte Arbeiten sind Nicht-Text-Inhalte</w:t>
      </w:r>
      <w:r>
        <w:t xml:space="preserve"> </w:t>
      </w:r>
      <w:r>
        <w:t xml:space="preserve">und brauchen Alternativen für blinde oder sehbehinderte Prüfende; und farbcodierte Konfidenz- oder Annotationsebenen dürfen Information nicht allein über Farbe transportieren.</w:t>
      </w:r>
    </w:p>
    <w:p>
      <w:pPr>
        <w:pStyle w:val="BodyText"/>
      </w:pPr>
      <w:r>
        <w:rPr>
          <w:bCs/>
          <w:b/>
        </w:rPr>
        <w:t xml:space="preserve">Haftung.</w:t>
      </w:r>
      <w:r>
        <w:t xml:space="preserve"> </w:t>
      </w:r>
      <w:r>
        <w:t xml:space="preserve">Ein bundesrechtliches KI-Haftungsgesetz existiert nicht; Ansprüche werden nach einzelstaatlichem Recht verfolgt — Fahrlässigkeit (die besten Tatsachen des Klägers sind eine bekannte, gemessene und nicht offengelegte Fehlerquote nach Untergruppen), Produkthaftung (ungeklärt, ob KI-Software ein Produkt ist), Irreführung und Verbraucherschutzrecht (übertriebene Genauigkeitsangaben sind der wahrscheinlichste erste Anspruch und der am günstigsten vermeidbare) sowie Vertrag und Freistellung (das realistische Hauptrisiko).</w:t>
      </w:r>
      <w:r>
        <w:t xml:space="preserve"> </w:t>
      </w:r>
      <w:r>
        <w:rPr>
          <w:bCs/>
          <w:b/>
        </w:rPr>
        <w:t xml:space="preserve">Das Schadensprofil in diesem Feld ist ungewöhnlich: Eine Fehlbewertung ist ein kleiner Einzelschaden mit potenziell großer Klasse, weil ein Kalibrierungsfehler jede Arbeit eines Jahrgangs betrifft.</w:t>
      </w:r>
      <w:r>
        <w:t xml:space="preserve"> </w:t>
      </w:r>
      <w:r>
        <w:t xml:space="preserve">Der tragende Anspruch ist der Bildungsnachteil — eine Note, die eine Einstufung, einen Abschluss oder eine Zulassung verändert hat —, einzeln schwer zu beziffern, in der Summe leicht. Versicherungsfolge: Technologie-E&amp;O mit ausdrücklicher KI-Erweiterung, geprüft darauf, dass sie Ansprüche aus der</w:t>
      </w:r>
      <w:r>
        <w:t xml:space="preserve"> </w:t>
      </w:r>
      <w:r>
        <w:rPr>
          <w:iCs/>
          <w:i/>
        </w:rPr>
        <w:t xml:space="preserve">Modellausgabe</w:t>
      </w:r>
      <w:r>
        <w:t xml:space="preserve"> </w:t>
      </w:r>
      <w:r>
        <w:t xml:space="preserve">und nicht nur aus Sicherheitsvorfällen deckt.</w:t>
      </w:r>
      <w:r>
        <w:t xml:space="preserve"> </w:t>
      </w:r>
      <w:r>
        <w:rPr>
          <w:iCs/>
          <w:i/>
        </w:rPr>
        <w:t xml:space="preserve">(Der Versicherungsmarkt wurde nicht recherchiert; als Lücke vermerkt.)</w:t>
      </w:r>
    </w:p>
    <w:bookmarkEnd w:id="176"/>
    <w:bookmarkEnd w:id="177"/>
    <w:bookmarkStart w:id="186" w:name="Xb7930e585919f908a26c36911d6b1bc0ef408d2"/>
    <w:p>
      <w:pPr>
        <w:pStyle w:val="Heading2"/>
      </w:pPr>
      <w:r>
        <w:t xml:space="preserve">11. Vereinigte Staaten — die einzelstaatliche Ebene</w:t>
      </w:r>
    </w:p>
    <w:bookmarkStart w:id="178" w:name="Xf24675771b1244e580fbf3d624ce0d42f9c5a23"/>
    <w:p>
      <w:pPr>
        <w:pStyle w:val="Heading3"/>
      </w:pPr>
      <w:r>
        <w:t xml:space="preserve">11.1 Fünf Ebenen, drei davon prägend für die Systemgestaltung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Ebene</w:t>
            </w:r>
          </w:p>
        </w:tc>
        <w:tc>
          <w:tcPr/>
          <w:p>
            <w:pPr>
              <w:pStyle w:val="Compact"/>
              <w:jc w:val="left"/>
            </w:pPr>
            <w:r>
              <w:t xml:space="preserve">Bindungswirkung</w:t>
            </w:r>
          </w:p>
        </w:tc>
        <w:tc>
          <w:tcPr/>
          <w:p>
            <w:pPr>
              <w:pStyle w:val="Compact"/>
              <w:jc w:val="left"/>
            </w:pPr>
            <w:r>
              <w:t xml:space="preserve">Wirkung auf die Systemgestaltung</w:t>
            </w:r>
          </w:p>
        </w:tc>
      </w:tr>
      <w:tr>
        <w:tc>
          <w:tcPr/>
          <w:p>
            <w:pPr>
              <w:pStyle w:val="Compact"/>
              <w:jc w:val="left"/>
            </w:pPr>
            <w:r>
              <w:t xml:space="preserve">Schülerdatenschutzgesetze für Anbieter (~40 Staaten)</w:t>
            </w:r>
          </w:p>
        </w:tc>
        <w:tc>
          <w:tcPr/>
          <w:p>
            <w:pPr>
              <w:pStyle w:val="Compact"/>
              <w:jc w:val="left"/>
            </w:pPr>
            <w:r>
              <w:t xml:space="preserve">in den meisten unmittelbare Haftung als</w:t>
            </w:r>
            <w:r>
              <w:t xml:space="preserve"> </w:t>
            </w:r>
            <w:r>
              <w:rPr>
                <w:iCs/>
                <w:i/>
              </w:rPr>
              <w:t xml:space="preserve">operator</w:t>
            </w:r>
            <w:r>
              <w:t xml:space="preserve">; sonst vertragliche Weitergabe</w:t>
            </w:r>
          </w:p>
        </w:tc>
        <w:tc>
          <w:tcPr/>
          <w:p>
            <w:pPr>
              <w:pStyle w:val="Compact"/>
              <w:jc w:val="left"/>
            </w:pPr>
            <w:r>
              <w:rPr>
                <w:bCs/>
                <w:b/>
              </w:rPr>
              <w:t xml:space="preserve">Hoch</w:t>
            </w:r>
            <w:r>
              <w:t xml:space="preserve"> </w:t>
            </w:r>
            <w:r>
              <w:t xml:space="preserve">— Nutzung, Aufbewahrung, Löschung, Sicherheit, Meldefristen, Veröffentlichung</w:t>
            </w:r>
          </w:p>
        </w:tc>
      </w:tr>
      <w:tr>
        <w:tc>
          <w:tcPr/>
          <w:p>
            <w:pPr>
              <w:pStyle w:val="Compact"/>
              <w:jc w:val="left"/>
            </w:pPr>
            <w:r>
              <w:t xml:space="preserve">Allgemeine Verbraucherdatenschutzgesetze (20 in Kraft)</w:t>
            </w:r>
          </w:p>
        </w:tc>
        <w:tc>
          <w:tcPr/>
          <w:p>
            <w:pPr>
              <w:pStyle w:val="Compact"/>
              <w:jc w:val="left"/>
            </w:pPr>
            <w:r>
              <w:t xml:space="preserve">für K-12 weitgehend durch FERPA-Ausnahmen verdrängt</w:t>
            </w:r>
          </w:p>
        </w:tc>
        <w:tc>
          <w:tcPr/>
          <w:p>
            <w:pPr>
              <w:pStyle w:val="Compact"/>
              <w:jc w:val="left"/>
            </w:pPr>
            <w:r>
              <w:t xml:space="preserve">Gering für K-12;</w:t>
            </w:r>
            <w:r>
              <w:t xml:space="preserve"> </w:t>
            </w:r>
            <w:r>
              <w:rPr>
                <w:bCs/>
                <w:b/>
              </w:rPr>
              <w:t xml:space="preserve">real für Hochschule und Unternehmen</w:t>
            </w:r>
          </w:p>
        </w:tc>
      </w:tr>
      <w:tr>
        <w:tc>
          <w:tcPr/>
          <w:p>
            <w:pPr>
              <w:pStyle w:val="Compact"/>
              <w:jc w:val="left"/>
            </w:pPr>
            <w:r>
              <w:t xml:space="preserve">Einzelstaatliche KI-Gesetze</w:t>
            </w:r>
          </w:p>
        </w:tc>
        <w:tc>
          <w:tcPr/>
          <w:p>
            <w:pPr>
              <w:pStyle w:val="Compact"/>
              <w:jc w:val="left"/>
            </w:pPr>
            <w:r>
              <w:t xml:space="preserve">zwei greifen: Kaliforniens ADMT-Verordnung und Colorado SB 26-189, beide mit Bildungsbezug</w:t>
            </w:r>
          </w:p>
        </w:tc>
        <w:tc>
          <w:tcPr/>
          <w:p>
            <w:pPr>
              <w:pStyle w:val="Compact"/>
              <w:jc w:val="left"/>
            </w:pPr>
            <w:r>
              <w:rPr>
                <w:bCs/>
                <w:b/>
              </w:rPr>
              <w:t xml:space="preserve">Am höchsten</w:t>
            </w:r>
          </w:p>
        </w:tc>
      </w:tr>
      <w:tr>
        <w:tc>
          <w:tcPr/>
          <w:p>
            <w:pPr>
              <w:pStyle w:val="Compact"/>
              <w:jc w:val="left"/>
            </w:pPr>
            <w:r>
              <w:t xml:space="preserve">KI-Leitlinien der Landesbildungsbehörden (~35 Staaten)</w:t>
            </w:r>
          </w:p>
        </w:tc>
        <w:tc>
          <w:tcPr/>
          <w:p>
            <w:pPr>
              <w:pStyle w:val="Compact"/>
              <w:jc w:val="left"/>
            </w:pPr>
            <w:r>
              <w:t xml:space="preserve">kein Recht, aber Beschaffungsdoktrin</w:t>
            </w:r>
          </w:p>
        </w:tc>
        <w:tc>
          <w:tcPr/>
          <w:p>
            <w:pPr>
              <w:pStyle w:val="Compact"/>
              <w:jc w:val="left"/>
            </w:pPr>
            <w:r>
              <w:rPr>
                <w:bCs/>
                <w:b/>
              </w:rPr>
              <w:t xml:space="preserve">Hoch in der Beschaffung</w:t>
            </w:r>
          </w:p>
        </w:tc>
      </w:tr>
      <w:tr>
        <w:tc>
          <w:tcPr/>
          <w:p>
            <w:pPr>
              <w:pStyle w:val="Compact"/>
              <w:jc w:val="left"/>
            </w:pPr>
            <w:r>
              <w:t xml:space="preserve">SDPC National DPA</w:t>
            </w:r>
          </w:p>
        </w:tc>
        <w:tc>
          <w:tcPr/>
          <w:p>
            <w:pPr>
              <w:pStyle w:val="Compact"/>
              <w:jc w:val="left"/>
            </w:pPr>
            <w:r>
              <w:t xml:space="preserve">vertraglich</w:t>
            </w:r>
          </w:p>
        </w:tc>
        <w:tc>
          <w:tcPr/>
          <w:p>
            <w:pPr>
              <w:pStyle w:val="Compact"/>
              <w:jc w:val="left"/>
            </w:pPr>
            <w:r>
              <w:rPr>
                <w:bCs/>
                <w:b/>
              </w:rPr>
              <w:t xml:space="preserve">Operativ hoch</w:t>
            </w:r>
          </w:p>
        </w:tc>
      </w:tr>
    </w:tbl>
    <w:bookmarkEnd w:id="178"/>
    <w:bookmarkStart w:id="179" w:name="die-drei-wichtigsten-korrekturen"/>
    <w:p>
      <w:pPr>
        <w:pStyle w:val="Heading3"/>
      </w:pPr>
      <w:r>
        <w:t xml:space="preserve">11.2 Die drei wichtigsten Korrekturen</w:t>
      </w:r>
    </w:p>
    <w:p>
      <w:pPr>
        <w:pStyle w:val="FirstParagraph"/>
      </w:pPr>
      <w:r>
        <w:rPr>
          <w:bCs/>
          <w:b/>
        </w:rPr>
        <w:t xml:space="preserve">1. Colorado SB 24-205 — das Gesetz, auf das sich die Vorbereitungen richteten — ist tot und keine Grundlage mehr.</w:t>
      </w:r>
      <w:r>
        <w:t xml:space="preserve"> </w:t>
      </w:r>
      <w:r>
        <w:t xml:space="preserve">Es trat nie in Kraft und wurde nie durchgesetzt. Chronologie: Mai 2024 unterzeichnet (Inkrafttreten 1. Februar 2026); durch SB 25B-004 in der Sondersitzung August 2025 auf den 30. Juni 2026 verschoben;</w:t>
      </w:r>
      <w:r>
        <w:t xml:space="preserve"> </w:t>
      </w:r>
      <w:r>
        <w:rPr>
          <w:bCs/>
          <w:b/>
        </w:rPr>
        <w:t xml:space="preserve">Klage von xAI am 9. April 2026</w:t>
      </w:r>
      <w:r>
        <w:t xml:space="preserve"> </w:t>
      </w:r>
      <w:r>
        <w:t xml:space="preserve">(D. Colo. Nr. 1:26-cv-01515);</w:t>
      </w:r>
      <w:r>
        <w:t xml:space="preserve"> </w:t>
      </w:r>
      <w:r>
        <w:rPr>
          <w:bCs/>
          <w:b/>
        </w:rPr>
        <w:t xml:space="preserve">Beitritt des Justizministeriums als Kläger am 24. April 2026</w:t>
      </w:r>
      <w:r>
        <w:t xml:space="preserve">; Durchsetzungssperre durch Bundesmagistrat am 27. April 2026; und</w:t>
      </w:r>
      <w:r>
        <w:t xml:space="preserve"> </w:t>
      </w:r>
      <w:r>
        <w:rPr>
          <w:bCs/>
          <w:b/>
        </w:rPr>
        <w:t xml:space="preserve">SB 26-189 am 14. Mai 2026 unterzeichnet, das es aufhebt und ersetzt</w:t>
      </w:r>
      <w:r>
        <w:t xml:space="preserve">.</w:t>
      </w:r>
    </w:p>
    <w:p>
      <w:pPr>
        <w:pStyle w:val="BodyText"/>
      </w:pPr>
      <w:r>
        <w:rPr>
          <w:bCs/>
          <w:b/>
        </w:rPr>
        <w:t xml:space="preserve">2. Die bundesrechtliche Verdrängung ist nicht eingetreten; der Flickenteppich bleibt.</w:t>
      </w:r>
      <w:r>
        <w:t xml:space="preserve"> </w:t>
      </w:r>
      <w:r>
        <w:t xml:space="preserve">Das Moratorium von 2025 wurde mit 99:1 aus dem Senat gestrichen.</w:t>
      </w:r>
      <w:r>
        <w:t xml:space="preserve"> </w:t>
      </w:r>
      <w:r>
        <w:rPr>
          <w:bCs/>
          <w:b/>
        </w:rPr>
        <w:t xml:space="preserve">EO 14365 (11. Dezember 2025)</w:t>
      </w:r>
      <w:r>
        <w:t xml:space="preserve"> </w:t>
      </w:r>
      <w:r>
        <w:t xml:space="preserve">ordnete eine KI-Prozessführungs-Task-Force, eine Bewertung einzelstaatlicher KI-Gesetze durch das Handelsministerium (fällig 11. März 2026,</w:t>
      </w:r>
      <w:r>
        <w:t xml:space="preserve"> </w:t>
      </w:r>
      <w:r>
        <w:rPr>
          <w:bCs/>
          <w:b/>
        </w:rPr>
        <w:t xml:space="preserve">nicht veröffentlicht</w:t>
      </w:r>
      <w:r>
        <w:t xml:space="preserve"> </w:t>
      </w:r>
      <w:r>
        <w:t xml:space="preserve">zumindest bis April 2026), BEAD-Förderbedingungen, ein FCC-Verfahren und einen Gesetzentwurf zur Verdrängung an. Ergebnis bislang: kein Gesetz, keine veröffentlichte Liste, ein Beitritt zu fremder Klage und ein unverbindlicher Rahmen vom März 2026.</w:t>
      </w:r>
      <w:r>
        <w:t xml:space="preserve"> </w:t>
      </w:r>
      <w:r>
        <w:rPr>
          <w:bCs/>
          <w:b/>
        </w:rPr>
        <w:t xml:space="preserve">Entscheidend: Die legislative Empfehlung der EO selbst sieht Ausnahmen zum Kinderschutz vor — und die einzelstaatlichen Schülerdatenschutzgesetze sind genau die Normen, die einen Anbieter in diesem Feld am stärksten binden und am wenigsten verdrängungsanfällig sind.</w:t>
      </w:r>
      <w:r>
        <w:t xml:space="preserve"> </w:t>
      </w:r>
      <w:r>
        <w:t xml:space="preserve">Die Schülerdatenschutzebene ist unbedingt einzuhalten; die KI-Ebene ist volatil, und die ADMT-Steuerungen müssen konfigurierbar bleiben.</w:t>
      </w:r>
    </w:p>
    <w:p>
      <w:pPr>
        <w:pStyle w:val="BodyText"/>
      </w:pPr>
      <w:r>
        <w:rPr>
          <w:bCs/>
          <w:b/>
        </w:rPr>
        <w:t xml:space="preserve">3. Zwei KI-Gesetze greifen, und beide nennen Bildung.</w:t>
      </w:r>
    </w:p>
    <w:p>
      <w:pPr>
        <w:pStyle w:val="BodyText"/>
      </w:pPr>
      <w:r>
        <w:rPr>
          <w:bCs/>
          <w:b/>
        </w:rPr>
        <w:t xml:space="preserve">Kalifornien — die ADMT-Verordnung der CPPA.</w:t>
      </w:r>
      <w:r>
        <w:t xml:space="preserve"> </w:t>
      </w:r>
      <w:r>
        <w:t xml:space="preserve">Genehmigt am 23. September 2025; die meisten Bestimmungen seit 1. Januar 2026 in Kraft;</w:t>
      </w:r>
      <w:r>
        <w:t xml:space="preserve"> </w:t>
      </w:r>
      <w:r>
        <w:rPr>
          <w:bCs/>
          <w:b/>
        </w:rPr>
        <w:t xml:space="preserve">ADMT-Compliance ab 1. Januar 2027</w:t>
      </w:r>
      <w:r>
        <w:t xml:space="preserve">. Eine „significant decision” umfasst ausdrücklich</w:t>
      </w:r>
      <w:r>
        <w:t xml:space="preserve"> </w:t>
      </w:r>
      <w:r>
        <w:rPr>
          <w:iCs/>
          <w:i/>
        </w:rPr>
        <w:t xml:space="preserve">„education enrollment or opportunities”</w:t>
      </w:r>
      <w:r>
        <w:t xml:space="preserve">.</w:t>
      </w:r>
      <w:r>
        <w:t xml:space="preserve"> </w:t>
      </w:r>
      <w:r>
        <w:rPr>
          <w:bCs/>
          <w:b/>
        </w:rPr>
        <w:t xml:space="preserve">Der Safe Harbour ist der zentrale rechtliche Mechanismus:</w:t>
      </w:r>
      <w:r>
        <w:t xml:space="preserve"> </w:t>
      </w:r>
      <w:r>
        <w:t xml:space="preserve">Menschliche Entscheidungsfindung wird nicht wesentlich ersetzt, wenn der Prüfende (i) die Ausgabe zu interpretieren weiß, (ii) sie zusammen mit anderen relevanten Informationen prüft und analysiert und (iii) befugt ist, die Entscheidung zu treffen oder zu ändern.</w:t>
      </w:r>
      <w:r>
        <w:t xml:space="preserve"> </w:t>
      </w:r>
      <w:r>
        <w:rPr>
          <w:bCs/>
          <w:b/>
        </w:rPr>
        <w:t xml:space="preserve">Liegen alle drei vor, fällt die Verarbeitung vollständig aus den ADMT-Regeln heraus.</w:t>
      </w:r>
      <w:r>
        <w:t xml:space="preserve"> </w:t>
      </w:r>
      <w:r>
        <w:t xml:space="preserve">Andernfalls greifen Vorabinformation, Widerspruchsrecht oder aussagekräftige Beschwerde binnen 15 Werktagen und ein Auskunftsrecht auf eine allgemeinverständliche Erläuterung.</w:t>
      </w:r>
      <w:r>
        <w:t xml:space="preserve"> </w:t>
      </w:r>
      <w:r>
        <w:rPr>
          <w:bCs/>
          <w:b/>
        </w:rPr>
        <w:t xml:space="preserve">Zu beachten: Zwei Auslöser für die Risikobewertung greifen auch innerhalb des Safe Harbour — Training auf Schülerdaten und die Ableitung von Merkmalen im Bildungskontext. Die kalifornische Risikobewertung ist als unvermeidbar zu behandeln.</w:t>
      </w:r>
      <w:r>
        <w:t xml:space="preserve"> </w:t>
      </w:r>
      <w:r>
        <w:t xml:space="preserve">(Erste Bewertungen für Bestandsverarbeitungen bis 31. Dezember 2027, erste Einreichung 1. April 2028. Umsatz- und Volumenschwellen der CCPA können einen kleinen Anbieter zunächst ausnehmen und nach Wachstum erfassen — dies ist zu modellieren.)</w:t>
      </w:r>
    </w:p>
    <w:p>
      <w:pPr>
        <w:pStyle w:val="BodyText"/>
      </w:pPr>
      <w:r>
        <w:rPr>
          <w:bCs/>
          <w:b/>
        </w:rPr>
        <w:t xml:space="preserve">Colorado SB 26-189 (ADMTA), in Kraft ab 1. Januar 2027.</w:t>
      </w:r>
      <w:r>
        <w:t xml:space="preserve"> </w:t>
      </w:r>
      <w:r>
        <w:t xml:space="preserve">Die „consequential decision” umfasst ausdrücklich Bildung. Der</w:t>
      </w:r>
      <w:r>
        <w:t xml:space="preserve"> </w:t>
      </w:r>
      <w:r>
        <w:rPr>
          <w:bCs/>
          <w:b/>
        </w:rPr>
        <w:t xml:space="preserve">Entwickler</w:t>
      </w:r>
      <w:r>
        <w:t xml:space="preserve"> </w:t>
      </w:r>
      <w:r>
        <w:t xml:space="preserve">muss Betreibern Unterlagen zu bestimmungsgemäßen Verwendungen, bekannten schädlichen Verwendungen und Grenzen, Kategorien der Trainingsdaten und</w:t>
      </w:r>
      <w:r>
        <w:t xml:space="preserve"> </w:t>
      </w:r>
      <w:r>
        <w:rPr>
          <w:bCs/>
          <w:b/>
        </w:rPr>
        <w:t xml:space="preserve">Anleitungen zur Umsetzung menschlicher Aufsicht</w:t>
      </w:r>
      <w:r>
        <w:t xml:space="preserve"> </w:t>
      </w:r>
      <w:r>
        <w:t xml:space="preserve">bereitstellen, wesentliche Änderungen mitteilen und Aufzeichnungen mindestens drei Jahre aufbewahren. Die</w:t>
      </w:r>
      <w:r>
        <w:t xml:space="preserve"> </w:t>
      </w:r>
      <w:r>
        <w:rPr>
          <w:bCs/>
          <w:b/>
        </w:rPr>
        <w:t xml:space="preserve">Schule als Betreiber</w:t>
      </w:r>
      <w:r>
        <w:t xml:space="preserve"> </w:t>
      </w:r>
      <w:r>
        <w:t xml:space="preserve">muss vorab informieren, binnen</w:t>
      </w:r>
      <w:r>
        <w:t xml:space="preserve"> </w:t>
      </w:r>
      <w:r>
        <w:rPr>
          <w:bCs/>
          <w:b/>
        </w:rPr>
        <w:t xml:space="preserve">30 Tagen nach einem nachteiligen Ergebnis</w:t>
      </w:r>
      <w:r>
        <w:t xml:space="preserve"> </w:t>
      </w:r>
      <w:r>
        <w:t xml:space="preserve">eine allgemeinverständliche Beschreibung der Entscheidung, der Rolle der Technologie und der Rechte einschließlich menschlicher Überprüfung liefern und ein</w:t>
      </w:r>
      <w:r>
        <w:t xml:space="preserve"> </w:t>
      </w:r>
      <w:r>
        <w:rPr>
          <w:bCs/>
          <w:b/>
        </w:rPr>
        <w:t xml:space="preserve">aussagekräftiges menschliches Überprüfungsverfahren</w:t>
      </w:r>
      <w:r>
        <w:t xml:space="preserve"> </w:t>
      </w:r>
      <w:r>
        <w:t xml:space="preserve">einrichten, barrierefrei und für Personen mit begrenzten Englischkenntnissen zugänglich. Gegenüber dem aufgehobenen Gesetz entfallen Folgenabschätzungen, Risikomanagementpflicht und Anzeigepflicht gegenüber der Generalstaatsanwaltschaft; das Modell ist nun informationsbasiert. Durchsetzung ausschließlich durch die Generalstaatsanwaltschaft, bis 20.000 USD je Verstoß, 60-Tage-Heilung bis 1. Januar 2030, kein Klagerecht Einzelner.</w:t>
      </w:r>
      <w:r>
        <w:t xml:space="preserve"> </w:t>
      </w:r>
      <w:r>
        <w:rPr>
          <w:bCs/>
          <w:b/>
        </w:rPr>
        <w:t xml:space="preserve">Ein System, das Bewertungen oder Ranglisten erzeugt, fällt nicht unter die Ausnahme für Werkzeuge, die lediglich zusammenfassen — es gelten die vollen Entwicklerpflichten.</w:t>
      </w:r>
      <w:r>
        <w:t xml:space="preserve"> </w:t>
      </w:r>
      <w:r>
        <w:rPr>
          <w:iCs/>
          <w:i/>
        </w:rPr>
        <w:t xml:space="preserve">(Kommentatoren erwarten, dass auch SB 26-189 angegriffen wird.)</w:t>
      </w:r>
    </w:p>
    <w:bookmarkEnd w:id="179"/>
    <w:bookmarkStart w:id="180" w:name="Xb9e5bcca09dc5c9d6d5e5752c218c7e54318e00"/>
    <w:p>
      <w:pPr>
        <w:pStyle w:val="Heading3"/>
      </w:pPr>
      <w:r>
        <w:t xml:space="preserve">11.3 Die Schülerdatenschutzgesetze, die das Design tatsächlich ändern</w:t>
      </w:r>
    </w:p>
    <w:p>
      <w:pPr>
        <w:pStyle w:val="FirstParagraph"/>
      </w:pPr>
      <w:r>
        <w:t xml:space="preserve">Rund vierzig Staaten stellen Anforderungen; etwa acht stellen solche, die ein Standardvertrag und ein SOC-2-Bericht nicht erfüllen.</w:t>
      </w:r>
    </w:p>
    <w:p>
      <w:pPr>
        <w:numPr>
          <w:ilvl w:val="0"/>
          <w:numId w:val="1050"/>
        </w:numPr>
        <w:pStyle w:val="Compact"/>
      </w:pPr>
      <w:r>
        <w:rPr>
          <w:bCs/>
          <w:b/>
        </w:rPr>
        <w:t xml:space="preserve">New York — Education Law § 2-d und 8 NYCRR Part 121. Das strengste Regime des Landes und dasjenige, das praktisch die Grundlinie für einen über mehrere Staaten hinweg tätigen Anbieter setzt.</w:t>
      </w:r>
      <w:r>
        <w:t xml:space="preserve"> </w:t>
      </w:r>
      <w:r>
        <w:t xml:space="preserve">Ein Drittauftragnehmer muss</w:t>
      </w:r>
      <w:r>
        <w:t xml:space="preserve"> </w:t>
      </w:r>
      <w:r>
        <w:rPr>
          <w:bCs/>
          <w:b/>
        </w:rPr>
        <w:t xml:space="preserve">jeder Stelle einen Data Security and Privacy Plan vorlegen</w:t>
      </w:r>
      <w:r>
        <w:t xml:space="preserve">; Schutzmaßnahmen am</w:t>
      </w:r>
      <w:r>
        <w:t xml:space="preserve"> </w:t>
      </w:r>
      <w:r>
        <w:rPr>
          <w:bCs/>
          <w:b/>
        </w:rPr>
        <w:t xml:space="preserve">NIST Cybersecurity Framework v1.1</w:t>
      </w:r>
      <w:r>
        <w:t xml:space="preserve"> </w:t>
      </w:r>
      <w:r>
        <w:t xml:space="preserve">ausrichten (v1.1, nicht CSF 2.0 — eine Zuordnung ist vorzuhalten); die ergänzenden Angaben zur Parents’ Bill of Rights zu Zwecken, Unterauftragnehmern, Laufzeit und Verbleib, Richtigkeitsrügen, Speicherort und</w:t>
      </w:r>
      <w:r>
        <w:t xml:space="preserve"> </w:t>
      </w:r>
      <w:r>
        <w:rPr>
          <w:bCs/>
          <w:b/>
        </w:rPr>
        <w:t xml:space="preserve">Verschlüsselung bei Übertragung und Speicherung</w:t>
      </w:r>
      <w:r>
        <w:t xml:space="preserve"> </w:t>
      </w:r>
      <w:r>
        <w:t xml:space="preserve">liefern; und eine</w:t>
      </w:r>
      <w:r>
        <w:t xml:space="preserve"> </w:t>
      </w:r>
      <w:r>
        <w:rPr>
          <w:bCs/>
          <w:b/>
        </w:rPr>
        <w:t xml:space="preserve">Datenpanne binnen 7 Kalendertagen</w:t>
      </w:r>
      <w:r>
        <w:t xml:space="preserve"> </w:t>
      </w:r>
      <w:r>
        <w:t xml:space="preserve">melden und die Benachrichtigungskosten tragen. Sanktionen bis 10.000 USD für Folgeverstöße zuzüglich</w:t>
      </w:r>
      <w:r>
        <w:t xml:space="preserve"> </w:t>
      </w:r>
      <w:r>
        <w:rPr>
          <w:bCs/>
          <w:b/>
        </w:rPr>
        <w:t xml:space="preserve">Ausschluss vom Erhalt von Schülerdaten für bis zu fünf Jahre</w:t>
      </w:r>
      <w:r>
        <w:t xml:space="preserve"> </w:t>
      </w:r>
      <w:r>
        <w:t xml:space="preserve">— der Ausschluss, nicht die Buße, ist kommerziell erheblich. Die Einhaltung erfordert einen wiederholbaren Plan je Stelle und einen Incident-Prozess, der die 7-Tage-Frist als Standard einhalten kann.</w:t>
      </w:r>
    </w:p>
    <w:p>
      <w:pPr>
        <w:numPr>
          <w:ilvl w:val="0"/>
          <w:numId w:val="1050"/>
        </w:numPr>
        <w:pStyle w:val="Compact"/>
      </w:pPr>
      <w:r>
        <w:rPr>
          <w:bCs/>
          <w:b/>
        </w:rPr>
        <w:t xml:space="preserve">Connecticut — Conn. Gen. Stat. §§ 10-234aa ff.</w:t>
      </w:r>
      <w:r>
        <w:t xml:space="preserve"> </w:t>
      </w:r>
      <w:r>
        <w:t xml:space="preserve">Zehn zwingende Vertragsklauseln, darunter, dass Schülerdaten</w:t>
      </w:r>
      <w:r>
        <w:t xml:space="preserve"> </w:t>
      </w:r>
      <w:r>
        <w:rPr>
          <w:bCs/>
          <w:b/>
        </w:rPr>
        <w:t xml:space="preserve">nicht Eigentum des Auftragnehmers</w:t>
      </w:r>
      <w:r>
        <w:t xml:space="preserve"> </w:t>
      </w:r>
      <w:r>
        <w:t xml:space="preserve">sind und dass Recht von Connecticut gilt. Ungewöhnlich: Der Schulvorstand muss den Vertrag</w:t>
      </w:r>
      <w:r>
        <w:t xml:space="preserve"> </w:t>
      </w:r>
      <w:r>
        <w:rPr>
          <w:bCs/>
          <w:b/>
        </w:rPr>
        <w:t xml:space="preserve">binnen fünf Werktagen nach Abschluss auf seiner Website veröffentlichen</w:t>
      </w:r>
      <w:r>
        <w:t xml:space="preserve">.</w:t>
      </w:r>
      <w:r>
        <w:t xml:space="preserve"> </w:t>
      </w:r>
      <w:r>
        <w:rPr>
          <w:bCs/>
          <w:b/>
        </w:rPr>
        <w:t xml:space="preserve">Verträge mit Schulvorständen in Connecticut werden damit binnen einer Woche nach Abschluss öffentliche Dokumente.</w:t>
      </w:r>
      <w:r>
        <w:t xml:space="preserve"> </w:t>
      </w:r>
      <w:r>
        <w:t xml:space="preserve">Seit 1. Juli 2026 erstreckt Connecticut das Widerspruchsrecht zudem auf</w:t>
      </w:r>
      <w:r>
        <w:t xml:space="preserve"> </w:t>
      </w:r>
      <w:r>
        <w:rPr>
          <w:iCs/>
          <w:i/>
        </w:rPr>
        <w:t xml:space="preserve">„any automated decision”</w:t>
      </w:r>
      <w:r>
        <w:t xml:space="preserve">, nicht nur auf ausschließlich automatisierte —</w:t>
      </w:r>
      <w:r>
        <w:t xml:space="preserve"> </w:t>
      </w:r>
      <w:r>
        <w:rPr>
          <w:bCs/>
          <w:b/>
        </w:rPr>
        <w:t xml:space="preserve">die Bestimmung, die das Standardargument „es ist ein Mensch beteiligt” aushebelt</w:t>
      </w:r>
      <w:r>
        <w:t xml:space="preserve"> </w:t>
      </w:r>
      <w:r>
        <w:t xml:space="preserve">— und ergänzt ein Anfechtungsrecht sowie Profiling-Folgenabschätzungen.</w:t>
      </w:r>
      <w:r>
        <w:t xml:space="preserve"> </w:t>
      </w:r>
      <w:r>
        <w:rPr>
          <w:bCs/>
          <w:b/>
        </w:rPr>
        <w:t xml:space="preserve">Connecticut ist der operativ anspruchsvollste Einzelstaat.</w:t>
      </w:r>
    </w:p>
    <w:p>
      <w:pPr>
        <w:numPr>
          <w:ilvl w:val="0"/>
          <w:numId w:val="1050"/>
        </w:numPr>
        <w:pStyle w:val="Compact"/>
      </w:pPr>
      <w:r>
        <w:rPr>
          <w:bCs/>
          <w:b/>
        </w:rPr>
        <w:t xml:space="preserve">Illinois — SOPPA, 105 ILCS 85.</w:t>
      </w:r>
      <w:r>
        <w:t xml:space="preserve"> </w:t>
      </w:r>
      <w:r>
        <w:t xml:space="preserve">Schriftliche Vereinbarung</w:t>
      </w:r>
      <w:r>
        <w:t xml:space="preserve"> </w:t>
      </w:r>
      <w:r>
        <w:rPr>
          <w:bCs/>
          <w:b/>
        </w:rPr>
        <w:t xml:space="preserve">vor</w:t>
      </w:r>
      <w:r>
        <w:t xml:space="preserve"> </w:t>
      </w:r>
      <w:r>
        <w:t xml:space="preserve">Datenerhalt; Erklärung, dass der Anbieter als</w:t>
      </w:r>
      <w:r>
        <w:t xml:space="preserve"> </w:t>
      </w:r>
      <w:r>
        <w:rPr>
          <w:iCs/>
          <w:i/>
        </w:rPr>
        <w:t xml:space="preserve">school official</w:t>
      </w:r>
      <w:r>
        <w:t xml:space="preserve"> </w:t>
      </w:r>
      <w:r>
        <w:t xml:space="preserve">nach FERPA handelt; Verteilung der Kosten für Untersuchung und Behebung von Datenpannen;</w:t>
      </w:r>
      <w:r>
        <w:t xml:space="preserve"> </w:t>
      </w:r>
      <w:r>
        <w:rPr>
          <w:bCs/>
          <w:b/>
        </w:rPr>
        <w:t xml:space="preserve">30-Tage-Meldung</w:t>
      </w:r>
      <w:r>
        <w:t xml:space="preserve"> </w:t>
      </w:r>
      <w:r>
        <w:t xml:space="preserve">an die Schule; öffentliche Veröffentlichung der Vereinbarung; und eine</w:t>
      </w:r>
      <w:r>
        <w:t xml:space="preserve"> </w:t>
      </w:r>
      <w:r>
        <w:rPr>
          <w:bCs/>
          <w:b/>
        </w:rPr>
        <w:t xml:space="preserve">jährlich veröffentlichte Liste der Dritten und verbundenen Unternehmen</w:t>
      </w:r>
      <w:r>
        <w:t xml:space="preserve">, die Schülerdaten erhalten — eine Drittanbieter-Modell-API wird damit öffentlich gelistet. ISSRA enthält gesondert ein</w:t>
      </w:r>
      <w:r>
        <w:t xml:space="preserve"> </w:t>
      </w:r>
      <w:r>
        <w:rPr>
          <w:bCs/>
          <w:b/>
        </w:rPr>
        <w:t xml:space="preserve">Klagerecht Einzelner</w:t>
      </w:r>
      <w:r>
        <w:t xml:space="preserve">, was in diesem Feld selten ist.</w:t>
      </w:r>
    </w:p>
    <w:p>
      <w:pPr>
        <w:numPr>
          <w:ilvl w:val="0"/>
          <w:numId w:val="1050"/>
        </w:numPr>
        <w:pStyle w:val="Compact"/>
      </w:pPr>
      <w:r>
        <w:rPr>
          <w:bCs/>
          <w:b/>
        </w:rPr>
        <w:t xml:space="preserve">Colorado Student Data Transparency and Security Act.</w:t>
      </w:r>
      <w:r>
        <w:t xml:space="preserve"> </w:t>
      </w:r>
      <w:r>
        <w:t xml:space="preserve">Veröffentlichung von Datenelementen, Lernzwecken und Weitergabepraxis in laienverständlicher Form; Vorabmitteilung wesentlicher Änderungen; kein Verkauf, keine gezielte Werbung, keine unbefugten Profile; Informationssicherheitsprogramm; Meldung von Missbrauch</w:t>
      </w:r>
      <w:r>
        <w:t xml:space="preserve"> </w:t>
      </w:r>
      <w:r>
        <w:rPr>
          <w:bCs/>
          <w:b/>
        </w:rPr>
        <w:t xml:space="preserve">„so bald wie möglich, unabhängig von der Schwere”</w:t>
      </w:r>
      <w:r>
        <w:t xml:space="preserve">;</w:t>
      </w:r>
      <w:r>
        <w:t xml:space="preserve"> </w:t>
      </w:r>
      <w:r>
        <w:rPr>
          <w:bCs/>
          <w:b/>
        </w:rPr>
        <w:t xml:space="preserve">Ermöglichung der Berichtigung sachlich unrichtiger Schülerdaten</w:t>
      </w:r>
      <w:r>
        <w:t xml:space="preserve">; Bindung und Haftung für Unterauftragnehmer; und Vernichtung aller Schülerdaten bei Vertragsende mit schriftlicher Bestätigung.</w:t>
      </w:r>
      <w:r>
        <w:t xml:space="preserve"> </w:t>
      </w:r>
      <w:r>
        <w:rPr>
          <w:bCs/>
          <w:b/>
        </w:rPr>
        <w:t xml:space="preserve">Die Berichtigungspflicht ist unmittelbar einschlägig: Colorado verlangt unabhängig von jedem KI-Gesetz einen Mechanismus zur Korrektur eines falschen KI-erzeugten Datenpunkts.</w:t>
      </w:r>
    </w:p>
    <w:p>
      <w:pPr>
        <w:numPr>
          <w:ilvl w:val="0"/>
          <w:numId w:val="1050"/>
        </w:numPr>
        <w:pStyle w:val="Compact"/>
      </w:pPr>
      <w:r>
        <w:rPr>
          <w:bCs/>
          <w:b/>
        </w:rPr>
        <w:t xml:space="preserve">Kalifornien — SOPIPA (Bus. &amp; Prof. Code § 22584) bindet den Anbieter unmittelbar, ohne Vertrag</w:t>
      </w:r>
      <w:r>
        <w:t xml:space="preserve">, untersagt gezielte Werbung, nicht schulbezogenes Profiling und Verkauf und erlaubt de-identifizierte Daten</w:t>
      </w:r>
      <w:r>
        <w:t xml:space="preserve"> </w:t>
      </w:r>
      <w:r>
        <w:rPr>
          <w:bCs/>
          <w:b/>
        </w:rPr>
        <w:t xml:space="preserve">nur</w:t>
      </w:r>
      <w:r>
        <w:t xml:space="preserve"> </w:t>
      </w:r>
      <w:r>
        <w:t xml:space="preserve">zur Verbesserung von Bildungsprodukten, zum Wirksamkeitsnachweis und zur Entwicklung von Bildungsdiensten.</w:t>
      </w:r>
      <w:r>
        <w:t xml:space="preserve"> </w:t>
      </w:r>
      <w:r>
        <w:rPr>
          <w:bCs/>
          <w:b/>
        </w:rPr>
        <w:t xml:space="preserve">AB 1584 (Educ. Code § 49073.1)</w:t>
      </w:r>
      <w:r>
        <w:t xml:space="preserve"> </w:t>
      </w:r>
      <w:r>
        <w:t xml:space="preserve">regelt den Vertrag mit dem Schulbezirk.</w:t>
      </w:r>
      <w:r>
        <w:t xml:space="preserve"> </w:t>
      </w:r>
      <w:r>
        <w:rPr>
          <w:bCs/>
          <w:b/>
        </w:rPr>
        <w:t xml:space="preserve">Die SOPIPA-Ausnahme ist die kalifornische Antwort auf die Trainingsfrage: Produktverbesserung nur auf</w:t>
      </w:r>
      <w:r>
        <w:rPr>
          <w:bCs/>
          <w:b/>
        </w:rPr>
        <w:t xml:space="preserve"> </w:t>
      </w:r>
      <w:r>
        <w:rPr>
          <w:iCs/>
          <w:i/>
          <w:bCs/>
          <w:b/>
        </w:rPr>
        <w:t xml:space="preserve">de-identifizierten</w:t>
      </w:r>
      <w:r>
        <w:rPr>
          <w:bCs/>
          <w:b/>
        </w:rPr>
        <w:t xml:space="preserve"> </w:t>
      </w:r>
      <w:r>
        <w:rPr>
          <w:bCs/>
          <w:b/>
        </w:rPr>
        <w:t xml:space="preserve">Daten, dokumentiert — nie ein allgemeines Modell auf identifizierbaren Schülerarbeiten.</w:t>
      </w:r>
      <w:r>
        <w:t xml:space="preserve"> </w:t>
      </w:r>
      <w:r>
        <w:t xml:space="preserve">Kalifornien hat zudem</w:t>
      </w:r>
      <w:r>
        <w:t xml:space="preserve"> </w:t>
      </w:r>
      <w:r>
        <w:rPr>
          <w:bCs/>
          <w:b/>
        </w:rPr>
        <w:t xml:space="preserve">keine datenbezogene FERPA-Ausnahme</w:t>
      </w:r>
      <w:r>
        <w:t xml:space="preserve"> </w:t>
      </w:r>
      <w:r>
        <w:t xml:space="preserve">in seinem allgemeinen Gesetz, weshalb diese Analyse dort mehr wiegt als anderswo.</w:t>
      </w:r>
    </w:p>
    <w:p>
      <w:pPr>
        <w:numPr>
          <w:ilvl w:val="0"/>
          <w:numId w:val="1050"/>
        </w:numPr>
        <w:pStyle w:val="Compact"/>
      </w:pPr>
      <w:r>
        <w:rPr>
          <w:bCs/>
          <w:b/>
        </w:rPr>
        <w:t xml:space="preserve">Texas — Educ. Code Kap. 32, Subchapter D, §§ 32.151–32.156</w:t>
      </w:r>
      <w:r>
        <w:t xml:space="preserve"> </w:t>
      </w:r>
      <w:r>
        <w:t xml:space="preserve">(nicht Subchapter C). „Covered information” umfasst ausdrücklich Noten, Testergebnisse, Bildungsakten, biometrische Informationen und Fotografien — eingescannte Arbeiten und abgeleitete Bewertungen sind damit klar erfasst. HB 18 (2023) fügt TEA-Standards und Elterneinwilligung hinzu.</w:t>
      </w:r>
    </w:p>
    <w:p>
      <w:pPr>
        <w:numPr>
          <w:ilvl w:val="0"/>
          <w:numId w:val="1050"/>
        </w:numPr>
        <w:pStyle w:val="Compact"/>
      </w:pPr>
      <w:r>
        <w:rPr>
          <w:bCs/>
          <w:b/>
        </w:rPr>
        <w:t xml:space="preserve">Ohio — SB 29</w:t>
      </w:r>
      <w:r>
        <w:t xml:space="preserve"> </w:t>
      </w:r>
      <w:r>
        <w:t xml:space="preserve">(seit Oktober 2024): Akten sind ausschließlich Eigentum des Bezirks; interner Zugriff beschränkt; kommerzielle Verbreitung untersagt;</w:t>
      </w:r>
      <w:r>
        <w:t xml:space="preserve"> </w:t>
      </w:r>
      <w:r>
        <w:rPr>
          <w:bCs/>
          <w:b/>
        </w:rPr>
        <w:t xml:space="preserve">Löschung, Vernichtung oder Rückgabe binnen 90 Tagen nach Vertragsende</w:t>
      </w:r>
      <w:r>
        <w:t xml:space="preserve">; und</w:t>
      </w:r>
      <w:r>
        <w:t xml:space="preserve"> </w:t>
      </w:r>
      <w:r>
        <w:rPr>
          <w:bCs/>
          <w:b/>
        </w:rPr>
        <w:t xml:space="preserve">Elternbenachrichtigung binnen 72 Stunden — die kürzeste Frist des Landes, die damit die effektive Untergrenze für ein Incident-Response-SLA setzt.</w:t>
      </w:r>
      <w:r>
        <w:t xml:space="preserve"> </w:t>
      </w:r>
      <w:r>
        <w:t xml:space="preserve">Gesondert hat ORC § 3301.24(B) Ohio zum ersten Staat gemacht, der von jedem Bezirk eine förmliche KI-Richtlinie verlangt,</w:t>
      </w:r>
      <w:r>
        <w:t xml:space="preserve"> </w:t>
      </w:r>
      <w:r>
        <w:rPr>
          <w:bCs/>
          <w:b/>
        </w:rPr>
        <w:t xml:space="preserve">bis 1. Juli 2026</w:t>
      </w:r>
      <w:r>
        <w:t xml:space="preserve">.</w:t>
      </w:r>
    </w:p>
    <w:p>
      <w:pPr>
        <w:numPr>
          <w:ilvl w:val="0"/>
          <w:numId w:val="1050"/>
        </w:numPr>
        <w:pStyle w:val="Compact"/>
      </w:pPr>
      <w:r>
        <w:rPr>
          <w:bCs/>
          <w:b/>
        </w:rPr>
        <w:t xml:space="preserve">Utah — HB 55 (2026), in Kraft seit 1. Juli 2026</w:t>
      </w:r>
      <w:r>
        <w:t xml:space="preserve">, das anbieterunfreundlichste neue Schülerdatenschutzgesetz: Bezirke müssen Anbieter über erfasste Verstöße informieren und Abhilfe ermöglichen;</w:t>
      </w:r>
      <w:r>
        <w:t xml:space="preserve"> </w:t>
      </w:r>
      <w:r>
        <w:rPr>
          <w:bCs/>
          <w:b/>
        </w:rPr>
        <w:t xml:space="preserve">bleibt die Abhilfe aus, muss der Bezirk binnen 30 Tagen kündigen</w:t>
      </w:r>
      <w:r>
        <w:t xml:space="preserve">; und</w:t>
      </w:r>
      <w:r>
        <w:t xml:space="preserve"> </w:t>
      </w:r>
      <w:r>
        <w:rPr>
          <w:bCs/>
          <w:b/>
        </w:rPr>
        <w:t xml:space="preserve">Verträge dürfen für eine gesetzlich gebotene Kündigung keine Gebühr, keinen Schadensersatz und keine sonstige finanzielle Belastung des Bezirks vorsehen</w:t>
      </w:r>
      <w:r>
        <w:t xml:space="preserve">.</w:t>
      </w:r>
      <w:r>
        <w:t xml:space="preserve"> </w:t>
      </w:r>
      <w:r>
        <w:rPr>
          <w:bCs/>
          <w:b/>
        </w:rPr>
        <w:t xml:space="preserve">Utah-Verträge müssen daher ein sanktionsfreies gesetzliches Kündigungsrecht enthalten, und pauschalierter Schadensersatz sowie Mindestlaufzeiten sind daran zu prüfen.</w:t>
      </w:r>
    </w:p>
    <w:p>
      <w:pPr>
        <w:numPr>
          <w:ilvl w:val="0"/>
          <w:numId w:val="1050"/>
        </w:numPr>
        <w:pStyle w:val="Compact"/>
      </w:pPr>
      <w:r>
        <w:t xml:space="preserve">Ebenfalls zu nennen:</w:t>
      </w:r>
      <w:r>
        <w:t xml:space="preserve"> </w:t>
      </w:r>
      <w:r>
        <w:rPr>
          <w:bCs/>
          <w:b/>
        </w:rPr>
        <w:t xml:space="preserve">Georgia</w:t>
      </w:r>
      <w:r>
        <w:t xml:space="preserve"> </w:t>
      </w:r>
      <w:r>
        <w:t xml:space="preserve">(45-Tage-Löschung auf Verlangen),</w:t>
      </w:r>
      <w:r>
        <w:t xml:space="preserve"> </w:t>
      </w:r>
      <w:r>
        <w:rPr>
          <w:bCs/>
          <w:b/>
        </w:rPr>
        <w:t xml:space="preserve">Washington</w:t>
      </w:r>
      <w:r>
        <w:t xml:space="preserve"> </w:t>
      </w:r>
      <w:r>
        <w:t xml:space="preserve">(RCW Kap. 28A.604),</w:t>
      </w:r>
      <w:r>
        <w:t xml:space="preserve"> </w:t>
      </w:r>
      <w:r>
        <w:rPr>
          <w:bCs/>
          <w:b/>
        </w:rPr>
        <w:t xml:space="preserve">Louisiana</w:t>
      </w:r>
      <w:r>
        <w:t xml:space="preserve"> </w:t>
      </w:r>
      <w:r>
        <w:t xml:space="preserve">(R.S. 17:3914 mit Sanktionen — die meisten dieser Gesetze haben keine) und</w:t>
      </w:r>
      <w:r>
        <w:t xml:space="preserve"> </w:t>
      </w:r>
      <w:r>
        <w:rPr>
          <w:bCs/>
          <w:b/>
        </w:rPr>
        <w:t xml:space="preserve">DC</w:t>
      </w:r>
      <w:r>
        <w:t xml:space="preserve"> </w:t>
      </w:r>
      <w:r>
        <w:t xml:space="preserve">(§ 38-831.02, volle Anbieterpflichten).</w:t>
      </w:r>
    </w:p>
    <w:p>
      <w:pPr>
        <w:pStyle w:val="FirstParagraph"/>
      </w:pPr>
      <w:r>
        <w:rPr>
          <w:bCs/>
          <w:b/>
        </w:rPr>
        <w:t xml:space="preserve">Die Hochschullücke ist ein echtes und kontraintuitives Risiko.</w:t>
      </w:r>
      <w:r>
        <w:t xml:space="preserve"> </w:t>
      </w:r>
      <w:r>
        <w:t xml:space="preserve">Fast jedes einzelstaatliche Anbietergesetz ist über die Definition des „school purpose” auf K-12 beschränkt. Hochschuleinsätze fallen damit</w:t>
      </w:r>
      <w:r>
        <w:t xml:space="preserve"> </w:t>
      </w:r>
      <w:r>
        <w:rPr>
          <w:bCs/>
          <w:b/>
        </w:rPr>
        <w:t xml:space="preserve">aus</w:t>
      </w:r>
      <w:r>
        <w:t xml:space="preserve"> </w:t>
      </w:r>
      <w:r>
        <w:t xml:space="preserve">diesem schützenden, aber berechenbaren Regime heraus und</w:t>
      </w:r>
      <w:r>
        <w:t xml:space="preserve"> </w:t>
      </w:r>
      <w:r>
        <w:rPr>
          <w:bCs/>
          <w:b/>
        </w:rPr>
        <w:t xml:space="preserve">in</w:t>
      </w:r>
      <w:r>
        <w:t xml:space="preserve"> </w:t>
      </w:r>
      <w:r>
        <w:t xml:space="preserve">die allgemeinen Verbraucherdatenschutzgesetze — wo die datenbezogene FERPA-Ausnahme einen Anbieter, der nicht selbst die erfasste Einrichtung ist, möglicherweise nicht rettet und die Gemeinnützigkeitsausnahme die Hochschule schützt, nicht den Anbieter.</w:t>
      </w:r>
      <w:r>
        <w:t xml:space="preserve"> </w:t>
      </w:r>
      <w:r>
        <w:rPr>
          <w:bCs/>
          <w:b/>
        </w:rPr>
        <w:t xml:space="preserve">Das kehrt das übliche Risikobild um: Der Hochschulbereich ist unter den Datenschutz- und Profiling-Regimen die</w:t>
      </w:r>
      <w:r>
        <w:rPr>
          <w:bCs/>
          <w:b/>
        </w:rPr>
        <w:t xml:space="preserve"> </w:t>
      </w:r>
      <w:r>
        <w:rPr>
          <w:iCs/>
          <w:i/>
          <w:bCs/>
          <w:b/>
        </w:rPr>
        <w:t xml:space="preserve">stärker</w:t>
      </w:r>
      <w:r>
        <w:rPr>
          <w:bCs/>
          <w:b/>
        </w:rPr>
        <w:t xml:space="preserve"> </w:t>
      </w:r>
      <w:r>
        <w:rPr>
          <w:bCs/>
          <w:b/>
        </w:rPr>
        <w:t xml:space="preserve">exponierte Linie und erfordert vor dem Einsatz eine eigene Analyse.</w:t>
      </w:r>
    </w:p>
    <w:bookmarkEnd w:id="180"/>
    <w:bookmarkStart w:id="181" w:name="X152b59733d7ff4a8874c5e081f4e90eb296101e"/>
    <w:p>
      <w:pPr>
        <w:pStyle w:val="Heading3"/>
      </w:pPr>
      <w:r>
        <w:t xml:space="preserve">11.4 Allgemeine Datenschutzgesetze — in Kraft am 11. September 2026</w:t>
      </w:r>
    </w:p>
    <w:p>
      <w:pPr>
        <w:pStyle w:val="FirstParagraph"/>
      </w:pPr>
      <w:r>
        <w:t xml:space="preserve">Zwanzig Staaten: Kalifornien (1.1.2020), Virginia (1.1.2023), Colorado (1.7.2023), Connecticut (1.7.2023), Utah (31.12.2023), Texas (1.7.2024), Oregon (1.7.2024), Florida (1.7.2024, nur &gt;1 Mrd. USD Umsatz), Montana (1.10.2024), Delaware (1.1.2025), Iowa (1.1.2025), Nebraska (1.1.2025), New Hampshire (1.1.2025), New Jersey (15.1.2025), Tennessee (1.7.2025), Minnesota (31.7.2025), Maryland (1.10.2025), Indiana (1.1.2026), Kentucky (1.1.2026), Rhode Island (1.1.2026). Verabschiedet, aber noch nicht in Kraft: Louisiana und Oklahoma (1.1.2027), Alabama (1.5.2027), Vermont (1.1.2028).</w:t>
      </w:r>
    </w:p>
    <w:p>
      <w:pPr>
        <w:pStyle w:val="BodyText"/>
      </w:pPr>
      <w:r>
        <w:rPr>
          <w:bCs/>
          <w:b/>
        </w:rPr>
        <w:t xml:space="preserve">Siebzehn von neunzehn untersuchten Gesetzen enthalten eine datenbezogene FERPA-Ausnahme</w:t>
      </w:r>
      <w:r>
        <w:t xml:space="preserve">, sodass Daten, die in der Rolle des</w:t>
      </w:r>
      <w:r>
        <w:t xml:space="preserve"> </w:t>
      </w:r>
      <w:r>
        <w:rPr>
          <w:iCs/>
          <w:i/>
        </w:rPr>
        <w:t xml:space="preserve">school official</w:t>
      </w:r>
      <w:r>
        <w:t xml:space="preserve"> </w:t>
      </w:r>
      <w:r>
        <w:t xml:space="preserve">verarbeitet werden, herausfallen.</w:t>
      </w:r>
      <w:r>
        <w:t xml:space="preserve"> </w:t>
      </w:r>
      <w:r>
        <w:rPr>
          <w:bCs/>
          <w:b/>
        </w:rPr>
        <w:t xml:space="preserve">Die beiden Ausnahmen sind Kalifornien und New Jersey.</w:t>
      </w:r>
      <w:r>
        <w:t xml:space="preserve"> </w:t>
      </w:r>
      <w:r>
        <w:t xml:space="preserve">Drei Einschränkungen: Die Gemeinnützigkeitsausnahme schützt die Schule, nicht den Anbieter, und sieben Staaten kennen sie gar nicht; die FERPA-Ausnahme ist datenbezogen, Lehrkraftkonten, Verwaltungsansprechpartner, Interessenten und Websitebesucher sind also überall voll erfasst; und im Hochschul- und Unternehmensgeschäft greift sie nicht.</w:t>
      </w:r>
    </w:p>
    <w:p>
      <w:pPr>
        <w:pStyle w:val="BodyText"/>
      </w:pPr>
      <w:r>
        <w:t xml:space="preserve">Die Bestimmungen, die bei Wegfall der Ausnahme wirkten:</w:t>
      </w:r>
      <w:r>
        <w:t xml:space="preserve"> </w:t>
      </w:r>
      <w:r>
        <w:rPr>
          <w:bCs/>
          <w:b/>
        </w:rPr>
        <w:t xml:space="preserve">Minnesotas</w:t>
      </w:r>
      <w:r>
        <w:t xml:space="preserve"> </w:t>
      </w:r>
      <w:r>
        <w:t xml:space="preserve">Erläuterungsrecht (Ergebnis hinterfragen, Grund erfahren, Daten einsehen, Berichtigung verlangen);</w:t>
      </w:r>
      <w:r>
        <w:t xml:space="preserve"> </w:t>
      </w:r>
      <w:r>
        <w:rPr>
          <w:bCs/>
          <w:b/>
        </w:rPr>
        <w:t xml:space="preserve">Connecticuts</w:t>
      </w:r>
      <w:r>
        <w:t xml:space="preserve"> </w:t>
      </w:r>
      <w:r>
        <w:t xml:space="preserve">Widerspruch gegen „any automated decision” ab 1. Juli 2026;</w:t>
      </w:r>
      <w:r>
        <w:t xml:space="preserve"> </w:t>
      </w:r>
      <w:r>
        <w:rPr>
          <w:bCs/>
          <w:b/>
        </w:rPr>
        <w:t xml:space="preserve">Vermonts</w:t>
      </w:r>
      <w:r>
        <w:t xml:space="preserve"> </w:t>
      </w:r>
      <w:r>
        <w:t xml:space="preserve">Hinterfragungsrecht und Profiling-Folgenabschätzung ab 2028; und</w:t>
      </w:r>
      <w:r>
        <w:t xml:space="preserve"> </w:t>
      </w:r>
      <w:r>
        <w:rPr>
          <w:bCs/>
          <w:b/>
        </w:rPr>
        <w:t xml:space="preserve">Colorados</w:t>
      </w:r>
      <w:r>
        <w:t xml:space="preserve"> </w:t>
      </w:r>
      <w:r>
        <w:t xml:space="preserve">Profiling-Widerspruch.</w:t>
      </w:r>
      <w:r>
        <w:t xml:space="preserve"> </w:t>
      </w:r>
      <w:r>
        <w:rPr>
          <w:bCs/>
          <w:b/>
        </w:rPr>
        <w:t xml:space="preserve">Iowa</w:t>
      </w:r>
      <w:r>
        <w:t xml:space="preserve"> </w:t>
      </w:r>
      <w:r>
        <w:t xml:space="preserve">— kein Profiling-Widerspruch, keine Bewertungspflicht — ist der Boden.</w:t>
      </w:r>
    </w:p>
    <w:p>
      <w:pPr>
        <w:pStyle w:val="BodyText"/>
      </w:pPr>
      <w:r>
        <w:rPr>
          <w:iCs/>
          <w:i/>
        </w:rPr>
        <w:t xml:space="preserve">(Zwei Korrekturen: Illinois hat kein allgemeines Verbraucherdatenschutzgesetz, sondern nur BIPA und SOPPA; und das behauptete allgemeine Gesetz in Arkansas wird vom IAPP-Tracker nicht geführt und ist als nicht in Kraft zu behandeln. Arkansas hat allerdings ein Kinder- und Jugendonlinedatenschutzgesetz mit Änderungen zum 1. Juli 2026.)</w:t>
      </w:r>
    </w:p>
    <w:bookmarkEnd w:id="181"/>
    <w:bookmarkStart w:id="182" w:name="Xbbb7f9b83a8ddda03237f7f3c2f911cf14e7896"/>
    <w:p>
      <w:pPr>
        <w:pStyle w:val="Heading3"/>
      </w:pPr>
      <w:r>
        <w:t xml:space="preserve">11.5 Biometrie — Handschrift ist sicher, Gesichter sind es nicht</w:t>
      </w:r>
    </w:p>
    <w:p>
      <w:pPr>
        <w:pStyle w:val="FirstParagraph"/>
      </w:pPr>
      <w:r>
        <w:rPr>
          <w:bCs/>
          <w:b/>
        </w:rPr>
        <w:t xml:space="preserve">Das Illinois BIPA erfasst Handschrift nicht.</w:t>
      </w:r>
      <w:r>
        <w:t xml:space="preserve"> </w:t>
      </w:r>
      <w:r>
        <w:t xml:space="preserve">Die Definition des „biometric identifier” ist eine abschließende Liste —</w:t>
      </w:r>
      <w:r>
        <w:t xml:space="preserve"> </w:t>
      </w:r>
      <w:r>
        <w:rPr>
          <w:iCs/>
          <w:i/>
        </w:rPr>
        <w:t xml:space="preserve">„a retina or iris scan, fingerprint, voiceprint, or scan of hand or face geometry”</w:t>
      </w:r>
      <w:r>
        <w:t xml:space="preserve"> </w:t>
      </w:r>
      <w:r>
        <w:t xml:space="preserve">— und</w:t>
      </w:r>
      <w:r>
        <w:t xml:space="preserve"> </w:t>
      </w:r>
      <w:r>
        <w:rPr>
          <w:bCs/>
          <w:b/>
        </w:rPr>
        <w:t xml:space="preserve">nimmt „writing samples, written signatures, photographs” ausdrücklich aus</w:t>
      </w:r>
      <w:r>
        <w:t xml:space="preserve">. Eine eingescannte handschriftliche Arbeit ist doppelt ausgenommen. Auch die handschriftbasierte Urheberidentifikation liegt außerhalb, weil ausgenommene Eingaben keine erfassten Ausgaben erzeugen können. Washingtons Gesetz nimmt Fotografien und daraus erzeugte Daten ebenfalls aus; das texanische CUBI wird nur von der Generalstaatsanwaltschaft durchgesetzt.</w:t>
      </w:r>
    </w:p>
    <w:p>
      <w:pPr>
        <w:pStyle w:val="BodyText"/>
      </w:pPr>
      <w:r>
        <w:rPr>
          <w:bCs/>
          <w:b/>
        </w:rPr>
        <w:t xml:space="preserve">Das Risiko ist die Gesichtserfassung.</w:t>
      </w:r>
      <w:r>
        <w:t xml:space="preserve"> </w:t>
      </w:r>
      <w:r>
        <w:t xml:space="preserve">Werden Fernaufsicht, Selfie-Identitätsprüfung oder eine Verarbeitung der Gesichtsgeometrie hinzugefügt, fällt das System unmittelbar unter das BIPA —</w:t>
      </w:r>
      <w:r>
        <w:t xml:space="preserve"> </w:t>
      </w:r>
      <w:r>
        <w:rPr>
          <w:iCs/>
          <w:i/>
        </w:rPr>
        <w:t xml:space="preserve">„scan of … face geometry”</w:t>
      </w:r>
      <w:r>
        <w:t xml:space="preserve"> </w:t>
      </w:r>
      <w:r>
        <w:t xml:space="preserve">ist ausdrücklich gelistet, und</w:t>
      </w:r>
      <w:r>
        <w:t xml:space="preserve"> </w:t>
      </w:r>
      <w:r>
        <w:rPr>
          <w:bCs/>
          <w:b/>
        </w:rPr>
        <w:t xml:space="preserve">BIPA kennt ein Klagerecht Einzelner mit gesetzlichem Schadensersatz ohne Schadensnachweis, das größte Prozessrisiko im US-Datenschutzrecht. Die angemessene Antwort ist eine harte architektonische Sperre für die Verarbeitung von Gesichtsgeometrie, im Code durchgesetzt und nicht bloß als Policy erklärt.</w:t>
      </w:r>
    </w:p>
    <w:bookmarkEnd w:id="182"/>
    <w:bookmarkStart w:id="183" w:name="X4cc0feb118b3bc7f40f257964ed5827fd5a8c66"/>
    <w:p>
      <w:pPr>
        <w:pStyle w:val="Heading3"/>
      </w:pPr>
      <w:r>
        <w:t xml:space="preserve">11.6 Einzelstaatliche Gesetze zu KI in der Bildung — was tatsächlich verabschiedet wurde</w:t>
      </w:r>
    </w:p>
    <w:p>
      <w:pPr>
        <w:pStyle w:val="FirstParagraph"/>
      </w:pPr>
      <w:r>
        <w:t xml:space="preserve">In der Sitzungsperiode 2026 wurden 134 Entwürfe in 31 Staaten verfolgt; rund zehn wurden Gesetz.</w:t>
      </w:r>
    </w:p>
    <w:p>
      <w:pPr>
        <w:pStyle w:val="BodyText"/>
      </w:pPr>
      <w:r>
        <w:rPr>
          <w:bCs/>
          <w:b/>
        </w:rPr>
        <w:t xml:space="preserve">Der einzige unmittelbar bewertungsbezogene: Oklahoma SB 1734, Oklahoma Responsible Technology in Schools Act.</w:t>
      </w:r>
      <w:r>
        <w:t xml:space="preserve"> </w:t>
      </w:r>
      <w:r>
        <w:t xml:space="preserve">Unterzeichnet am 12. Mai 2026; Verhaltensanforderungen seit</w:t>
      </w:r>
      <w:r>
        <w:t xml:space="preserve"> </w:t>
      </w:r>
      <w:r>
        <w:rPr>
          <w:bCs/>
          <w:b/>
        </w:rPr>
        <w:t xml:space="preserve">1. Juli 2026</w:t>
      </w:r>
      <w:r>
        <w:t xml:space="preserve">; Bezirks-KI-Richtlinie vor dem Schuljahr 2027/28. Berichteten Angaben zufolge:</w:t>
      </w:r>
      <w:r>
        <w:t xml:space="preserve"> </w:t>
      </w:r>
      <w:r>
        <w:rPr>
          <w:bCs/>
          <w:b/>
        </w:rPr>
        <w:t xml:space="preserve">KI darf nicht die primäre Grundlage für Benotung, Disziplinarmaßnahmen, Einstufung, Versetzung, Nichtversetzung oder andere folgenreiche Bildungsentscheidungen sein</w:t>
      </w:r>
      <w:r>
        <w:t xml:space="preserve">;</w:t>
      </w:r>
      <w:r>
        <w:t xml:space="preserve"> </w:t>
      </w:r>
      <w:r>
        <w:rPr>
          <w:bCs/>
          <w:b/>
        </w:rPr>
        <w:t xml:space="preserve">KI-Ausgaben müssen von einer Lehrkraft geprüft werden, bevor sie für Unterricht, Feedback, Leistungsfeststellung oder eine schülerbezogene Entscheidung verwendet werden</w:t>
      </w:r>
      <w:r>
        <w:t xml:space="preserve">; unterrichtliche Nutzung nur lehrkraftgesteuert mit Echtzeitaufsicht; eine</w:t>
      </w:r>
      <w:r>
        <w:t xml:space="preserve"> </w:t>
      </w:r>
      <w:r>
        <w:rPr>
          <w:bCs/>
          <w:b/>
        </w:rPr>
        <w:t xml:space="preserve">jährliche Offenlegung gegenüber den Familien</w:t>
      </w:r>
      <w:r>
        <w:t xml:space="preserve"> </w:t>
      </w:r>
      <w:r>
        <w:t xml:space="preserve">mit Nennung jedes an der Schule tätigen KI-Anbieters und der jeweils erhobenen Schülerdaten; und ein</w:t>
      </w:r>
      <w:r>
        <w:t xml:space="preserve"> </w:t>
      </w:r>
      <w:r>
        <w:rPr>
          <w:bCs/>
          <w:b/>
        </w:rPr>
        <w:t xml:space="preserve">Opt-out</w:t>
      </w:r>
      <w:r>
        <w:t xml:space="preserve"> </w:t>
      </w:r>
      <w:r>
        <w:t xml:space="preserve">der Eltern von schülerseitigen KI-Werkzeugen ohne Nachteil, mit alternativem Kernunterricht. Nicht konforme Bezirke riskieren Programmfähigkeit und Akkreditierungsprüfung.</w:t>
      </w:r>
      <w:r>
        <w:t xml:space="preserve"> </w:t>
      </w:r>
      <w:r>
        <w:rPr>
          <w:iCs/>
          <w:i/>
        </w:rPr>
        <w:t xml:space="preserve">(Der verabschiedete Text war nicht abrufbar; die Bestimmungen werden von vier unabhängigen Sekundärquellen übereinstimmend berichtet, der genaue Gesetzeswortlaut ist aber unverifiziert. Das verabschiedete PDF ist zu beschaffen, bevor die Bestimmungen in einem Vertrag oder Vermerk zitiert werden.)</w:t>
      </w:r>
    </w:p>
    <w:p>
      <w:pPr>
        <w:pStyle w:val="BodyText"/>
      </w:pPr>
      <w:r>
        <w:t xml:space="preserve">Weitere Verabschiedungen 2026, keine ebenso unmittelbar bewertungsbezogen:</w:t>
      </w:r>
      <w:r>
        <w:t xml:space="preserve"> </w:t>
      </w:r>
      <w:r>
        <w:rPr>
          <w:bCs/>
          <w:b/>
        </w:rPr>
        <w:t xml:space="preserve">Idaho SB 1227</w:t>
      </w:r>
      <w:r>
        <w:t xml:space="preserve"> </w:t>
      </w:r>
      <w:r>
        <w:t xml:space="preserve">(KI darf Lehrkräfte nicht ersetzen);</w:t>
      </w:r>
      <w:r>
        <w:t xml:space="preserve"> </w:t>
      </w:r>
      <w:r>
        <w:rPr>
          <w:bCs/>
          <w:b/>
        </w:rPr>
        <w:t xml:space="preserve">Maryland SB 720</w:t>
      </w:r>
      <w:r>
        <w:t xml:space="preserve"> </w:t>
      </w:r>
      <w:r>
        <w:t xml:space="preserve">(Bezirksrichtlinie binnen 120 Tagen nach Landesleitlinie, KI-Koordinator);</w:t>
      </w:r>
      <w:r>
        <w:t xml:space="preserve"> </w:t>
      </w:r>
      <w:r>
        <w:rPr>
          <w:bCs/>
          <w:b/>
        </w:rPr>
        <w:t xml:space="preserve">Virginia HB 1186</w:t>
      </w:r>
      <w:r>
        <w:t xml:space="preserve">, seit 1. Juli 2026 (Richtlinien im Einklang mit Landesleitlinien, die FERPA, COPPA, Bias und</w:t>
      </w:r>
      <w:r>
        <w:t xml:space="preserve"> </w:t>
      </w:r>
      <w:r>
        <w:rPr>
          <w:bCs/>
          <w:b/>
        </w:rPr>
        <w:t xml:space="preserve">folgenreiche Entscheidungen</w:t>
      </w:r>
      <w:r>
        <w:t xml:space="preserve"> </w:t>
      </w:r>
      <w:r>
        <w:t xml:space="preserve">adressieren müssen);</w:t>
      </w:r>
      <w:r>
        <w:t xml:space="preserve"> </w:t>
      </w:r>
      <w:r>
        <w:rPr>
          <w:bCs/>
          <w:b/>
        </w:rPr>
        <w:t xml:space="preserve">Utah HB 273</w:t>
      </w:r>
      <w:r>
        <w:t xml:space="preserve"> </w:t>
      </w:r>
      <w:r>
        <w:t xml:space="preserve">(Modellrichtlinien für Klassenzimmertechnik und KI) und HB 218 (KI-Kompetenz);</w:t>
      </w:r>
      <w:r>
        <w:t xml:space="preserve"> </w:t>
      </w:r>
      <w:r>
        <w:rPr>
          <w:bCs/>
          <w:b/>
        </w:rPr>
        <w:t xml:space="preserve">North Carolina</w:t>
      </w:r>
      <w:r>
        <w:t xml:space="preserve"> </w:t>
      </w:r>
      <w:r>
        <w:t xml:space="preserve">(Landesmodellrichtlinie bis 31. Dezember 2026, Bezirksrichtlinien bis 30. Juni 2027);</w:t>
      </w:r>
      <w:r>
        <w:t xml:space="preserve"> </w:t>
      </w:r>
      <w:r>
        <w:rPr>
          <w:bCs/>
          <w:b/>
        </w:rPr>
        <w:t xml:space="preserve">Tennessee</w:t>
      </w:r>
      <w:r>
        <w:t xml:space="preserve"> </w:t>
      </w:r>
      <w:r>
        <w:t xml:space="preserve">(Bezirks-KI-Richtlinien und Jahresberichte).</w:t>
      </w:r>
      <w:r>
        <w:t xml:space="preserve"> </w:t>
      </w:r>
      <w:r>
        <w:rPr>
          <w:iCs/>
          <w:i/>
        </w:rPr>
        <w:t xml:space="preserve">(Alabama HB 329, Hawaii SB 2212 und West Virginia HB 5205 sind als verabschiedet gelistet, ihr Inhalt konnte nicht verifiziert werden.)</w:t>
      </w:r>
    </w:p>
    <w:p>
      <w:pPr>
        <w:pStyle w:val="BodyText"/>
      </w:pPr>
      <w:r>
        <w:rPr>
          <w:bCs/>
          <w:b/>
        </w:rPr>
        <w:t xml:space="preserve">Zwei gescheiterte Entwürfe, die wiederkommen werden.</w:t>
      </w:r>
      <w:r>
        <w:t xml:space="preserve"> </w:t>
      </w:r>
      <w:r>
        <w:rPr>
          <w:bCs/>
          <w:b/>
        </w:rPr>
        <w:t xml:space="preserve">Illinois SB 3735</w:t>
      </w:r>
      <w:r>
        <w:t xml:space="preserve"> </w:t>
      </w:r>
      <w:r>
        <w:t xml:space="preserve">scheiterte am 22. Mai 2026 im Ausschuss; er hätte ein</w:t>
      </w:r>
      <w:r>
        <w:t xml:space="preserve"> </w:t>
      </w:r>
      <w:r>
        <w:rPr>
          <w:bCs/>
          <w:b/>
        </w:rPr>
        <w:t xml:space="preserve">Recht der Schüler auf Widerspruch gegen KI-erzeugte Noten</w:t>
      </w:r>
      <w:r>
        <w:t xml:space="preserve"> </w:t>
      </w:r>
      <w:r>
        <w:t xml:space="preserve">geschaffen, den Erwerb biometrischer Systeme für Schüler untersagt und</w:t>
      </w:r>
      <w:r>
        <w:t xml:space="preserve"> </w:t>
      </w:r>
      <w:r>
        <w:rPr>
          <w:bCs/>
          <w:b/>
        </w:rPr>
        <w:t xml:space="preserve">Anbietern das Training von KI-Modellen auf Bildungsdaten beschränkt</w:t>
      </w:r>
      <w:r>
        <w:t xml:space="preserve">.</w:t>
      </w:r>
      <w:r>
        <w:t xml:space="preserve"> </w:t>
      </w:r>
      <w:r>
        <w:rPr>
          <w:bCs/>
          <w:b/>
        </w:rPr>
        <w:t xml:space="preserve">Er ist der weitreichendste Entwurf des Jahres 2026 für jeden Anbieter, der Modelle auf Bildungsdaten trainiert.</w:t>
      </w:r>
      <w:r>
        <w:t xml:space="preserve"> </w:t>
      </w:r>
      <w:r>
        <w:rPr>
          <w:bCs/>
          <w:b/>
        </w:rPr>
        <w:t xml:space="preserve">South Carolina H.5253</w:t>
      </w:r>
      <w:r>
        <w:t xml:space="preserve"> </w:t>
      </w:r>
      <w:r>
        <w:t xml:space="preserve">liegt im Ausschuss und ist</w:t>
      </w:r>
      <w:r>
        <w:t xml:space="preserve"> </w:t>
      </w:r>
      <w:r>
        <w:rPr>
          <w:bCs/>
          <w:b/>
        </w:rPr>
        <w:t xml:space="preserve">nicht verabschiedet</w:t>
      </w:r>
      <w:r>
        <w:t xml:space="preserve">, obwohl ein Tracker ihn als verabschiedet führt</w:t>
      </w:r>
      <w:r>
        <w:t xml:space="preserve"> </w:t>
      </w:r>
      <w:r>
        <w:rPr>
          <w:iCs/>
          <w:i/>
        </w:rPr>
        <w:t xml:space="preserve">(die Seite des Parlaments weist Einbringung am 24. Februar 2026 und fehlende Unterzeichnung aus — die Primärquelle gilt)</w:t>
      </w:r>
      <w:r>
        <w:t xml:space="preserve">; sein Text ist ein guter Indikator des Trends:</w:t>
      </w:r>
      <w:r>
        <w:t xml:space="preserve"> </w:t>
      </w:r>
      <w:r>
        <w:rPr>
          <w:iCs/>
          <w:i/>
        </w:rPr>
        <w:t xml:space="preserve">„Artificial intelligence shall not replace a licensed teacher in providing core academic instruction or assigning final grades.”</w:t>
      </w:r>
      <w:r>
        <w:t xml:space="preserve"> </w:t>
      </w:r>
      <w:r>
        <w:t xml:space="preserve">Ferner anhängig:</w:t>
      </w:r>
      <w:r>
        <w:t xml:space="preserve"> </w:t>
      </w:r>
      <w:r>
        <w:rPr>
          <w:bCs/>
          <w:b/>
        </w:rPr>
        <w:t xml:space="preserve">Kalifornien AB 1159</w:t>
      </w:r>
      <w:r>
        <w:t xml:space="preserve"> </w:t>
      </w:r>
      <w:r>
        <w:t xml:space="preserve">(Verbot der Nutzung von Schülerdaten für KI-Training) und</w:t>
      </w:r>
      <w:r>
        <w:t xml:space="preserve"> </w:t>
      </w:r>
      <w:r>
        <w:rPr>
          <w:bCs/>
          <w:b/>
        </w:rPr>
        <w:t xml:space="preserve">Vermont HB 650</w:t>
      </w:r>
      <w:r>
        <w:t xml:space="preserve"> </w:t>
      </w:r>
      <w:r>
        <w:t xml:space="preserve">(Registrierung und Datenschutzzertifizierung für EdTech-Anbieter — Registrierungsregime sind teuer). Und eine</w:t>
      </w:r>
      <w:r>
        <w:t xml:space="preserve"> </w:t>
      </w:r>
      <w:r>
        <w:rPr>
          <w:bCs/>
          <w:b/>
        </w:rPr>
        <w:t xml:space="preserve">Regel des Florida State Board of Education</w:t>
      </w:r>
      <w:r>
        <w:t xml:space="preserve"> </w:t>
      </w:r>
      <w:r>
        <w:t xml:space="preserve">war zur Abstimmung am</w:t>
      </w:r>
      <w:r>
        <w:t xml:space="preserve"> </w:t>
      </w:r>
      <w:r>
        <w:rPr>
          <w:bCs/>
          <w:b/>
        </w:rPr>
        <w:t xml:space="preserve">16. September 2026</w:t>
      </w:r>
      <w:r>
        <w:t xml:space="preserve"> </w:t>
      </w:r>
      <w:r>
        <w:t xml:space="preserve">angesetzt, fünf Tage nach dem 11. September 2026: für K-12 Elterninformation bei Freigabe von KI-Unterrichtswerkzeugen und ein Opt-out; für die staatlichen Colleges institutionelle KI-Richtlinien zu akademischer Integrität, Aufgaben und</w:t>
      </w:r>
      <w:r>
        <w:t xml:space="preserve"> </w:t>
      </w:r>
      <w:r>
        <w:rPr>
          <w:bCs/>
          <w:b/>
        </w:rPr>
        <w:t xml:space="preserve">Benotung</w:t>
      </w:r>
      <w:r>
        <w:t xml:space="preserve">.</w:t>
      </w:r>
      <w:r>
        <w:t xml:space="preserve"> </w:t>
      </w:r>
      <w:r>
        <w:rPr>
          <w:bCs/>
          <w:b/>
        </w:rPr>
        <w:t xml:space="preserve">Dieses Ergebnis ist zu prüfen.</w:t>
      </w:r>
    </w:p>
    <w:bookmarkEnd w:id="183"/>
    <w:bookmarkStart w:id="184" w:name="leitlinien-der-landesbildungsbehörden"/>
    <w:p>
      <w:pPr>
        <w:pStyle w:val="Heading3"/>
      </w:pPr>
      <w:r>
        <w:t xml:space="preserve">11.7 Leitlinien der Landesbildungsbehörden</w:t>
      </w:r>
    </w:p>
    <w:p>
      <w:pPr>
        <w:pStyle w:val="FirstParagraph"/>
      </w:pPr>
      <w:r>
        <w:t xml:space="preserve">Rund</w:t>
      </w:r>
      <w:r>
        <w:t xml:space="preserve"> </w:t>
      </w:r>
      <w:r>
        <w:rPr>
          <w:bCs/>
          <w:b/>
        </w:rPr>
        <w:t xml:space="preserve">35 Staaten zuzüglich DC und Puerto Rico</w:t>
      </w:r>
      <w:r>
        <w:t xml:space="preserve"> </w:t>
      </w:r>
      <w:r>
        <w:t xml:space="preserve">haben KI-Leitlinien veröffentlicht</w:t>
      </w:r>
      <w:r>
        <w:t xml:space="preserve"> </w:t>
      </w:r>
      <w:r>
        <w:rPr>
          <w:iCs/>
          <w:i/>
        </w:rPr>
        <w:t xml:space="preserve">(die Zählungen der Tracker differieren — 35, 34, 27, 26+ —, weil „Leitlinie” unterschiedlich definiert wird; „rund 35” mit Nennung des Trackers ist einer festen Zahl vorzuziehen)</w:t>
      </w:r>
      <w:r>
        <w:t xml:space="preserve">. Sie sind kein Recht. Sie sind Beschaffungsdoktrin, und sie konvergieren auf eine Regel.</w:t>
      </w:r>
    </w:p>
    <w:p>
      <w:pPr>
        <w:pStyle w:val="BodyText"/>
      </w:pPr>
      <w:r>
        <w:rPr>
          <w:bCs/>
          <w:b/>
        </w:rPr>
        <w:t xml:space="preserve">Georgia ist am ausdrücklichsten, und seine Linie verläuft genau durch diesen Anwendungsfall.</w:t>
      </w:r>
      <w:r>
        <w:t xml:space="preserve"> </w:t>
      </w:r>
      <w:r>
        <w:rPr>
          <w:iCs/>
          <w:i/>
        </w:rPr>
        <w:t xml:space="preserve">Leveraging AI in the K-12 Setting</w:t>
      </w:r>
      <w:r>
        <w:t xml:space="preserve"> </w:t>
      </w:r>
      <w:r>
        <w:t xml:space="preserve">(Januar 2025) führt als</w:t>
      </w:r>
      <w:r>
        <w:t xml:space="preserve"> </w:t>
      </w:r>
      <w:r>
        <w:rPr>
          <w:bCs/>
          <w:b/>
        </w:rPr>
        <w:t xml:space="preserve">nicht empfohlen</w:t>
      </w:r>
      <w:r>
        <w:t xml:space="preserve"> </w:t>
      </w:r>
      <w:r>
        <w:t xml:space="preserve">auf:</w:t>
      </w:r>
      <w:r>
        <w:t xml:space="preserve"> </w:t>
      </w:r>
      <w:r>
        <w:rPr>
          <w:iCs/>
          <w:i/>
        </w:rPr>
        <w:t xml:space="preserve">„Grade student assignments or projects that are</w:t>
      </w:r>
      <w:r>
        <w:rPr>
          <w:iCs/>
          <w:i/>
        </w:rPr>
        <w:t xml:space="preserve"> </w:t>
      </w:r>
      <w:r>
        <w:rPr>
          <w:bCs/>
          <w:b/>
          <w:iCs/>
          <w:i/>
        </w:rPr>
        <w:t xml:space="preserve">subjective</w:t>
      </w:r>
      <w:r>
        <w:rPr>
          <w:iCs/>
          <w:i/>
        </w:rPr>
        <w:t xml:space="preserve">”</w:t>
      </w:r>
      <w:r>
        <w:t xml:space="preserve"> </w:t>
      </w:r>
      <w:r>
        <w:t xml:space="preserve">und</w:t>
      </w:r>
      <w:r>
        <w:t xml:space="preserve"> </w:t>
      </w:r>
      <w:r>
        <w:rPr>
          <w:iCs/>
          <w:i/>
        </w:rPr>
        <w:t xml:space="preserve">„Evaluate educators”</w:t>
      </w:r>
      <w:r>
        <w:t xml:space="preserve">; und als</w:t>
      </w:r>
      <w:r>
        <w:t xml:space="preserve"> </w:t>
      </w:r>
      <w:r>
        <w:rPr>
          <w:bCs/>
          <w:b/>
        </w:rPr>
        <w:t xml:space="preserve">akzeptabel</w:t>
      </w:r>
      <w:r>
        <w:t xml:space="preserve">:</w:t>
      </w:r>
      <w:r>
        <w:t xml:space="preserve"> </w:t>
      </w:r>
      <w:r>
        <w:rPr>
          <w:iCs/>
          <w:i/>
        </w:rPr>
        <w:t xml:space="preserve">„Grade multiple choice exams”</w:t>
      </w:r>
      <w:r>
        <w:t xml:space="preserve">,</w:t>
      </w:r>
      <w:r>
        <w:t xml:space="preserve"> </w:t>
      </w:r>
      <w:r>
        <w:rPr>
          <w:iCs/>
          <w:i/>
        </w:rPr>
        <w:t xml:space="preserve">„Assist in the development of a rubric for an assignment”</w:t>
      </w:r>
      <w:r>
        <w:t xml:space="preserve">,</w:t>
      </w:r>
      <w:r>
        <w:t xml:space="preserve"> </w:t>
      </w:r>
      <w:r>
        <w:rPr>
          <w:iCs/>
          <w:i/>
        </w:rPr>
        <w:t xml:space="preserve">„Provide feedback on a non-graded assignment/project”</w:t>
      </w:r>
      <w:r>
        <w:t xml:space="preserve"> </w:t>
      </w:r>
      <w:r>
        <w:t xml:space="preserve">— mit dem Leitsatz</w:t>
      </w:r>
      <w:r>
        <w:t xml:space="preserve"> </w:t>
      </w:r>
      <w:r>
        <w:rPr>
          <w:iCs/>
          <w:i/>
        </w:rPr>
        <w:t xml:space="preserve">„Final decision-making should always involve human judgment.”</w:t>
      </w:r>
    </w:p>
    <w:p>
      <w:pPr>
        <w:pStyle w:val="BodyText"/>
      </w:pPr>
      <w:r>
        <w:t xml:space="preserve">Handschriftliche Freitextklausuren sind subjektive Bewertung.</w:t>
      </w:r>
      <w:r>
        <w:t xml:space="preserve"> </w:t>
      </w:r>
      <w:r>
        <w:rPr>
          <w:bCs/>
          <w:b/>
        </w:rPr>
        <w:t xml:space="preserve">Wörtlich gelesen empfiehlt die Leitlinie Georgias die KI-Bewertung solcher Arbeiten nicht. Das ist der schärfste Reibungspunkt zwischen den Landesleitlinien und der KI-gestützten Bewertung von Freitextarbeiten.</w:t>
      </w:r>
      <w:r>
        <w:t xml:space="preserve"> </w:t>
      </w:r>
      <w:r>
        <w:t xml:space="preserve">Ein Einsatz, in dem das System</w:t>
      </w:r>
      <w:r>
        <w:t xml:space="preserve"> </w:t>
      </w:r>
      <w:r>
        <w:rPr>
          <w:iCs/>
          <w:i/>
        </w:rPr>
        <w:t xml:space="preserve">vorschlägt</w:t>
      </w:r>
      <w:r>
        <w:t xml:space="preserve"> </w:t>
      </w:r>
      <w:r>
        <w:t xml:space="preserve">und die Lehrkraft</w:t>
      </w:r>
      <w:r>
        <w:t xml:space="preserve"> </w:t>
      </w:r>
      <w:r>
        <w:rPr>
          <w:iCs/>
          <w:i/>
        </w:rPr>
        <w:t xml:space="preserve">entscheidet</w:t>
      </w:r>
      <w:r>
        <w:t xml:space="preserve"> </w:t>
      </w:r>
      <w:r>
        <w:t xml:space="preserve">— ein Raster- und Feedbackassistent mit menschlichem Bewerter statt eines KI-Bewerters —, ist davon zu unterscheiden, und die Unterscheidung muss sich am tatsächlichen Betrieb des Systems zeigen lassen.</w:t>
      </w:r>
    </w:p>
    <w:p>
      <w:pPr>
        <w:pStyle w:val="BodyText"/>
      </w:pPr>
      <w:r>
        <w:t xml:space="preserve">Weitere repräsentative Positionen:</w:t>
      </w:r>
      <w:r>
        <w:t xml:space="preserve"> </w:t>
      </w:r>
      <w:r>
        <w:rPr>
          <w:bCs/>
          <w:b/>
        </w:rPr>
        <w:t xml:space="preserve">DC (OSSE, 2. September 2026)</w:t>
      </w:r>
      <w:r>
        <w:t xml:space="preserve"> </w:t>
      </w:r>
      <w:r>
        <w:t xml:space="preserve">ordnet KI-gestützte Bewertung der Stufe „mit Vorsicht verwenden” mit erheblicher menschlicher Aufsicht zu und</w:t>
      </w:r>
      <w:r>
        <w:t xml:space="preserve"> </w:t>
      </w:r>
      <w:r>
        <w:rPr>
          <w:bCs/>
          <w:b/>
        </w:rPr>
        <w:t xml:space="preserve">untersagt KI für Entscheidungen über Förderpläne und Disziplinarmaßnahmen vollständig</w:t>
      </w:r>
      <w:r>
        <w:t xml:space="preserve"> </w:t>
      </w:r>
      <w:r>
        <w:rPr>
          <w:iCs/>
          <w:i/>
        </w:rPr>
        <w:t xml:space="preserve">(über Presseberichterstattung wiedergegeben; das OSSE-Dokument ist vor einer Zitierung zu beschaffen)</w:t>
      </w:r>
      <w:r>
        <w:t xml:space="preserve">;</w:t>
      </w:r>
      <w:r>
        <w:t xml:space="preserve"> </w:t>
      </w:r>
      <w:r>
        <w:rPr>
          <w:bCs/>
          <w:b/>
        </w:rPr>
        <w:t xml:space="preserve">Alabama</w:t>
      </w:r>
      <w:r>
        <w:t xml:space="preserve"> </w:t>
      </w:r>
      <w:r>
        <w:t xml:space="preserve">verlangt</w:t>
      </w:r>
      <w:r>
        <w:t xml:space="preserve"> </w:t>
      </w:r>
      <w:r>
        <w:rPr>
          <w:iCs/>
          <w:i/>
        </w:rPr>
        <w:t xml:space="preserve">„human verification of AI-generated content and grading”</w:t>
      </w:r>
      <w:r>
        <w:t xml:space="preserve">;</w:t>
      </w:r>
      <w:r>
        <w:t xml:space="preserve"> </w:t>
      </w:r>
      <w:r>
        <w:rPr>
          <w:bCs/>
          <w:b/>
        </w:rPr>
        <w:t xml:space="preserve">Vermont</w:t>
      </w:r>
      <w:r>
        <w:t xml:space="preserve"> </w:t>
      </w:r>
      <w:r>
        <w:t xml:space="preserve">verlangt die Prüfung aller Ausgaben durch Lehrkräfte;</w:t>
      </w:r>
      <w:r>
        <w:t xml:space="preserve"> </w:t>
      </w:r>
      <w:r>
        <w:rPr>
          <w:bCs/>
          <w:b/>
        </w:rPr>
        <w:t xml:space="preserve">North Carolina</w:t>
      </w:r>
      <w:r>
        <w:t xml:space="preserve"> </w:t>
      </w:r>
      <w:r>
        <w:t xml:space="preserve">und</w:t>
      </w:r>
      <w:r>
        <w:t xml:space="preserve"> </w:t>
      </w:r>
      <w:r>
        <w:rPr>
          <w:bCs/>
          <w:b/>
        </w:rPr>
        <w:t xml:space="preserve">Maine</w:t>
      </w:r>
      <w:r>
        <w:t xml:space="preserve"> </w:t>
      </w:r>
      <w:r>
        <w:t xml:space="preserve">verlangen, dass KI das professionelle Urteil ergänzt und nicht ersetzt;</w:t>
      </w:r>
      <w:r>
        <w:t xml:space="preserve"> </w:t>
      </w:r>
      <w:r>
        <w:rPr>
          <w:bCs/>
          <w:b/>
        </w:rPr>
        <w:t xml:space="preserve">Massachusetts</w:t>
      </w:r>
      <w:r>
        <w:t xml:space="preserve"> </w:t>
      </w:r>
      <w:r>
        <w:t xml:space="preserve">ist transparenzorientiert und</w:t>
      </w:r>
      <w:r>
        <w:t xml:space="preserve"> </w:t>
      </w:r>
      <w:r>
        <w:rPr>
          <w:bCs/>
          <w:b/>
        </w:rPr>
        <w:t xml:space="preserve">lehnt KI-Erkennungswerkzeuge ausdrücklich ab</w:t>
      </w:r>
      <w:r>
        <w:t xml:space="preserve">, was für jedes System mit gebündelter Plagiatserkennung relevant ist;</w:t>
      </w:r>
      <w:r>
        <w:t xml:space="preserve"> </w:t>
      </w:r>
      <w:r>
        <w:rPr>
          <w:bCs/>
          <w:b/>
        </w:rPr>
        <w:t xml:space="preserve">Washington</w:t>
      </w:r>
      <w:r>
        <w:t xml:space="preserve"> </w:t>
      </w:r>
      <w:r>
        <w:t xml:space="preserve">formuliert ein „Human–AI–Human”-Modell.</w:t>
      </w:r>
    </w:p>
    <w:p>
      <w:pPr>
        <w:pStyle w:val="BodyText"/>
      </w:pPr>
      <w:r>
        <w:rPr>
          <w:bCs/>
          <w:b/>
        </w:rPr>
        <w:t xml:space="preserve">Der durchgängige Befund über alle geprüften Tracker: Kein Staat erlaubt KI als alleinige Grundlage einer Note.</w:t>
      </w:r>
      <w:r>
        <w:t xml:space="preserve"> </w:t>
      </w:r>
      <w:r>
        <w:t xml:space="preserve">In Oklahoma ist das inzwischen Gesetz und wird es nach dem erkennbaren Muster in drei oder vier weiteren Staaten binnen zweier Sitzungsperioden sein.</w:t>
      </w:r>
    </w:p>
    <w:bookmarkEnd w:id="184"/>
    <w:bookmarkStart w:id="185" w:name="die-50-staaten-matrix"/>
    <w:p>
      <w:pPr>
        <w:pStyle w:val="Heading3"/>
      </w:pPr>
      <w:r>
        <w:t xml:space="preserve">11.8 Die 50-Staaten-Matrix</w:t>
      </w:r>
    </w:p>
    <w:p>
      <w:pPr>
        <w:pStyle w:val="FirstParagraph"/>
      </w:pPr>
      <w:r>
        <w:t xml:space="preserve">Lesehinweise. Spalte 1 stützt sich überwiegend auf die Übersicht von FPF/Student Privacy Compass und einen anbieterseitig veröffentlichten Aggregator, primärrechtlich abgeglichen nur für die in §11.3 behandelten Staaten; mit</w:t>
      </w:r>
      <w:r>
        <w:t xml:space="preserve"> </w:t>
      </w:r>
      <w:r>
        <w:rPr>
          <w:bCs/>
          <w:b/>
        </w:rPr>
        <w:t xml:space="preserve">(agg.)</w:t>
      </w:r>
      <w:r>
        <w:t xml:space="preserve"> </w:t>
      </w:r>
      <w:r>
        <w:t xml:space="preserve">markierte Einträge sind</w:t>
      </w:r>
      <w:r>
        <w:t xml:space="preserve"> </w:t>
      </w:r>
      <w:r>
        <w:rPr>
          <w:bCs/>
          <w:b/>
        </w:rPr>
        <w:t xml:space="preserve">nicht eigenständig am Gesetzestext verifiziert und sollten ohne Prüfung der Norm nicht herangezogen werden</w:t>
      </w:r>
      <w:r>
        <w:t xml:space="preserve">. Spalte 2 bedeutet: in Kraft am 11. September 2026. Spalte 4 folgt dem Tracker von AI for Education; die Zählungen der Tracker differieren, weil „Leitlinie“ unterschiedlich definiert wird — als Näherung behandeln.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Staat</w:t>
            </w:r>
          </w:p>
        </w:tc>
        <w:tc>
          <w:tcPr/>
          <w:p>
            <w:pPr>
              <w:pStyle w:val="Compact"/>
              <w:jc w:val="left"/>
            </w:pPr>
            <w:r>
              <w:t xml:space="preserve">Schülerdatenschutzgesetz für Anbieter</w:t>
            </w:r>
          </w:p>
        </w:tc>
        <w:tc>
          <w:tcPr/>
          <w:p>
            <w:pPr>
              <w:pStyle w:val="Compact"/>
              <w:jc w:val="left"/>
            </w:pPr>
            <w:r>
              <w:t xml:space="preserve">Allgemeines Datenschutzgesetz in Kraft</w:t>
            </w:r>
          </w:p>
        </w:tc>
        <w:tc>
          <w:tcPr/>
          <w:p>
            <w:pPr>
              <w:pStyle w:val="Compact"/>
              <w:jc w:val="left"/>
            </w:pPr>
            <w:r>
              <w:t xml:space="preserve">Für KI-gestützte Bewertung relevantes KI-Gesetz</w:t>
            </w:r>
          </w:p>
        </w:tc>
        <w:tc>
          <w:tcPr/>
          <w:p>
            <w:pPr>
              <w:pStyle w:val="Compact"/>
              <w:jc w:val="left"/>
            </w:pPr>
            <w:r>
              <w:t xml:space="preserve">KI-Leitlinie der Landesbildungsbehörde</w:t>
            </w:r>
          </w:p>
        </w:tc>
      </w:tr>
      <w:tr>
        <w:tc>
          <w:tcPr/>
          <w:p>
            <w:pPr>
              <w:pStyle w:val="Compact"/>
              <w:jc w:val="left"/>
            </w:pPr>
            <w:r>
              <w:t xml:space="preserve">Alabama</w:t>
            </w:r>
          </w:p>
        </w:tc>
        <w:tc>
          <w:tcPr/>
          <w:p>
            <w:pPr>
              <w:pStyle w:val="Compact"/>
              <w:jc w:val="left"/>
            </w:pPr>
            <w:r>
              <w:t xml:space="preserve">keine spezifische — nur COPPA/FERPA (agg.)</w:t>
            </w:r>
          </w:p>
        </w:tc>
        <w:tc>
          <w:tcPr/>
          <w:p>
            <w:pPr>
              <w:pStyle w:val="Compact"/>
              <w:jc w:val="left"/>
            </w:pPr>
            <w:r>
              <w:t xml:space="preserve">nein (verabschiedet; ab 1.5.2027)</w:t>
            </w:r>
          </w:p>
        </w:tc>
        <w:tc>
          <w:tcPr/>
          <w:p>
            <w:pPr>
              <w:pStyle w:val="Compact"/>
              <w:jc w:val="left"/>
            </w:pPr>
            <w:r>
              <w:t xml:space="preserve">HB 329 (2026, verabschiedet; Inhalt unverifiziert)</w:t>
            </w:r>
          </w:p>
        </w:tc>
        <w:tc>
          <w:tcPr/>
          <w:p>
            <w:pPr>
              <w:pStyle w:val="Compact"/>
              <w:jc w:val="left"/>
            </w:pPr>
            <w:r>
              <w:t xml:space="preserve">J — verlangt „human verification of AI-generated content and grading“</w:t>
            </w:r>
          </w:p>
        </w:tc>
      </w:tr>
      <w:tr>
        <w:tc>
          <w:tcPr/>
          <w:p>
            <w:pPr>
              <w:pStyle w:val="Compact"/>
              <w:jc w:val="left"/>
            </w:pPr>
            <w:r>
              <w:t xml:space="preserve">Alaska</w:t>
            </w:r>
          </w:p>
        </w:tc>
        <w:tc>
          <w:tcPr/>
          <w:p>
            <w:pPr>
              <w:pStyle w:val="Compact"/>
              <w:jc w:val="left"/>
            </w:pPr>
            <w:r>
              <w:t xml:space="preserve">keine spezifische — nur Meldegesetz (agg.)</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Arizona</w:t>
            </w:r>
          </w:p>
        </w:tc>
        <w:tc>
          <w:tcPr/>
          <w:p>
            <w:pPr>
              <w:pStyle w:val="Compact"/>
              <w:jc w:val="left"/>
            </w:pPr>
            <w:r>
              <w:t xml:space="preserve">A.R.S. § 15-1046 (Anbieter: keine gezielte Werbung, kein Verkauf, kein Profiling)</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Arkansas</w:t>
            </w:r>
          </w:p>
        </w:tc>
        <w:tc>
          <w:tcPr/>
          <w:p>
            <w:pPr>
              <w:pStyle w:val="Compact"/>
              <w:jc w:val="left"/>
            </w:pPr>
            <w:r>
              <w:t xml:space="preserve">Act 1196 (2015); Student Data Vendor Security Act, Ark. Code §§ 6-18-2601–2608</w:t>
            </w:r>
          </w:p>
        </w:tc>
        <w:tc>
          <w:tcPr/>
          <w:p>
            <w:pPr>
              <w:pStyle w:val="Compact"/>
              <w:jc w:val="left"/>
            </w:pPr>
            <w:r>
              <w:rPr>
                <w:bCs/>
                <w:b/>
              </w:rPr>
              <w:t xml:space="preserve">nein — behauptetes allgemeines Gesetz unverifiziert; als nicht in Kraft behandeln</w:t>
            </w:r>
          </w:p>
        </w:tc>
        <w:tc>
          <w:tcPr/>
          <w:p>
            <w:pPr>
              <w:pStyle w:val="Compact"/>
              <w:jc w:val="left"/>
            </w:pPr>
            <w:r>
              <w:t xml:space="preserve">keine</w:t>
            </w:r>
          </w:p>
        </w:tc>
        <w:tc>
          <w:tcPr/>
          <w:p>
            <w:pPr>
              <w:pStyle w:val="Compact"/>
              <w:jc w:val="left"/>
            </w:pPr>
            <w:r>
              <w:t xml:space="preserve">N</w:t>
            </w:r>
          </w:p>
        </w:tc>
      </w:tr>
      <w:tr>
        <w:tc>
          <w:tcPr/>
          <w:p>
            <w:pPr>
              <w:pStyle w:val="Compact"/>
              <w:jc w:val="left"/>
            </w:pPr>
            <w:r>
              <w:t xml:space="preserve">California</w:t>
            </w:r>
          </w:p>
        </w:tc>
        <w:tc>
          <w:tcPr/>
          <w:p>
            <w:pPr>
              <w:pStyle w:val="Compact"/>
              <w:jc w:val="left"/>
            </w:pPr>
            <w:r>
              <w:rPr>
                <w:bCs/>
                <w:b/>
              </w:rPr>
              <w:t xml:space="preserve">SOPIPA, Bus. &amp; Prof. Code § 22584; AB 1584, Educ. Code § 49073.1</w:t>
            </w:r>
          </w:p>
        </w:tc>
        <w:tc>
          <w:tcPr/>
          <w:p>
            <w:pPr>
              <w:pStyle w:val="Compact"/>
              <w:jc w:val="left"/>
            </w:pPr>
            <w:r>
              <w:rPr>
                <w:bCs/>
                <w:b/>
              </w:rPr>
              <w:t xml:space="preserve">ja — CCPA/CPRA, 1.1.2020</w:t>
            </w:r>
          </w:p>
        </w:tc>
        <w:tc>
          <w:tcPr/>
          <w:p>
            <w:pPr>
              <w:pStyle w:val="Compact"/>
              <w:jc w:val="left"/>
            </w:pPr>
            <w:r>
              <w:rPr>
                <w:bCs/>
                <w:b/>
              </w:rPr>
              <w:t xml:space="preserve">CPPA ADMT regs (Compliance ab 1.1.2027)</w:t>
            </w:r>
            <w:r>
              <w:t xml:space="preserve">; AB 2013 (1.1.2026); SB 942/AB 853</w:t>
            </w:r>
          </w:p>
        </w:tc>
        <w:tc>
          <w:tcPr/>
          <w:p>
            <w:pPr>
              <w:pStyle w:val="Compact"/>
              <w:jc w:val="left"/>
            </w:pPr>
            <w:r>
              <w:t xml:space="preserve">J — menschliche Aufsicht; Modellrichtlinie SB 1288 ausdrücklich unverbindlich</w:t>
            </w:r>
          </w:p>
        </w:tc>
      </w:tr>
      <w:tr>
        <w:tc>
          <w:tcPr/>
          <w:p>
            <w:pPr>
              <w:pStyle w:val="Compact"/>
              <w:jc w:val="left"/>
            </w:pPr>
            <w:r>
              <w:t xml:space="preserve">Colorado</w:t>
            </w:r>
          </w:p>
        </w:tc>
        <w:tc>
          <w:tcPr/>
          <w:p>
            <w:pPr>
              <w:pStyle w:val="Compact"/>
              <w:jc w:val="left"/>
            </w:pPr>
            <w:r>
              <w:rPr>
                <w:bCs/>
                <w:b/>
              </w:rPr>
              <w:t xml:space="preserve">Student Data Transparency and Security Act, C.R.S. § 22-16-101 ff.</w:t>
            </w:r>
          </w:p>
        </w:tc>
        <w:tc>
          <w:tcPr/>
          <w:p>
            <w:pPr>
              <w:pStyle w:val="Compact"/>
              <w:jc w:val="left"/>
            </w:pPr>
            <w:r>
              <w:t xml:space="preserve">ja — CPA, 1.7.2023 (Profiling-Widerspruch)</w:t>
            </w:r>
          </w:p>
        </w:tc>
        <w:tc>
          <w:tcPr/>
          <w:p>
            <w:pPr>
              <w:pStyle w:val="Compact"/>
              <w:jc w:val="left"/>
            </w:pPr>
            <w:r>
              <w:rPr>
                <w:bCs/>
                <w:b/>
              </w:rPr>
              <w:t xml:space="preserve">SB 26-189 (ADMTA), ab 1.1.2027 — Bildung ist eine folgenreiche Entscheidung. SB 24-205 aufgehoben</w:t>
            </w:r>
          </w:p>
        </w:tc>
        <w:tc>
          <w:tcPr/>
          <w:p>
            <w:pPr>
              <w:pStyle w:val="Compact"/>
              <w:jc w:val="left"/>
            </w:pPr>
            <w:r>
              <w:t xml:space="preserve">J (allgemein)</w:t>
            </w:r>
          </w:p>
        </w:tc>
      </w:tr>
      <w:tr>
        <w:tc>
          <w:tcPr/>
          <w:p>
            <w:pPr>
              <w:pStyle w:val="Compact"/>
              <w:jc w:val="left"/>
            </w:pPr>
            <w:r>
              <w:t xml:space="preserve">Connecticut</w:t>
            </w:r>
          </w:p>
        </w:tc>
        <w:tc>
          <w:tcPr/>
          <w:p>
            <w:pPr>
              <w:pStyle w:val="Compact"/>
              <w:jc w:val="left"/>
            </w:pPr>
            <w:r>
              <w:rPr>
                <w:bCs/>
                <w:b/>
              </w:rPr>
              <w:t xml:space="preserve">Conn. Gen. Stat. §§ 10-234aa–10-234ff</w:t>
            </w:r>
            <w:r>
              <w:t xml:space="preserve"> </w:t>
            </w:r>
            <w:r>
              <w:t xml:space="preserve">— 10 Pflichtklauseln + Veröffentlichung binnen 5 Werktagen</w:t>
            </w:r>
          </w:p>
        </w:tc>
        <w:tc>
          <w:tcPr/>
          <w:p>
            <w:pPr>
              <w:pStyle w:val="Compact"/>
              <w:jc w:val="left"/>
            </w:pPr>
            <w:r>
              <w:t xml:space="preserve">ja — CTDPA, 1.7.2023;</w:t>
            </w:r>
            <w:r>
              <w:t xml:space="preserve"> </w:t>
            </w:r>
            <w:r>
              <w:rPr>
                <w:bCs/>
                <w:b/>
              </w:rPr>
              <w:t xml:space="preserve">SB 1295 amendments ab 1.7.2026</w:t>
            </w:r>
          </w:p>
        </w:tc>
        <w:tc>
          <w:tcPr/>
          <w:p>
            <w:pPr>
              <w:pStyle w:val="Compact"/>
              <w:jc w:val="left"/>
            </w:pPr>
            <w:r>
              <w:t xml:space="preserve">keine spezifische</w:t>
            </w:r>
          </w:p>
        </w:tc>
        <w:tc>
          <w:tcPr/>
          <w:p>
            <w:pPr>
              <w:pStyle w:val="Compact"/>
              <w:jc w:val="left"/>
            </w:pPr>
            <w:r>
              <w:t xml:space="preserve">J (allgemein)</w:t>
            </w:r>
          </w:p>
        </w:tc>
      </w:tr>
      <w:tr>
        <w:tc>
          <w:tcPr/>
          <w:p>
            <w:pPr>
              <w:pStyle w:val="Compact"/>
              <w:jc w:val="left"/>
            </w:pPr>
            <w:r>
              <w:t xml:space="preserve">Delaware</w:t>
            </w:r>
          </w:p>
        </w:tc>
        <w:tc>
          <w:tcPr/>
          <w:p>
            <w:pPr>
              <w:pStyle w:val="Compact"/>
              <w:jc w:val="left"/>
            </w:pPr>
            <w:r>
              <w:t xml:space="preserve">Student Data Privacy Protection Act, 14 Del. C. ch. 81A</w:t>
            </w:r>
          </w:p>
        </w:tc>
        <w:tc>
          <w:tcPr/>
          <w:p>
            <w:pPr>
              <w:pStyle w:val="Compact"/>
              <w:jc w:val="left"/>
            </w:pPr>
            <w:r>
              <w:t xml:space="preserve">ja — DPDPA, 1.1.2025</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District of Columbia</w:t>
            </w:r>
          </w:p>
        </w:tc>
        <w:tc>
          <w:tcPr/>
          <w:p>
            <w:pPr>
              <w:pStyle w:val="Compact"/>
              <w:jc w:val="left"/>
            </w:pPr>
            <w:r>
              <w:t xml:space="preserve">Protecting Students Digital Privacy Act, D.C. Code § 38-831.02</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w:t>
            </w:r>
            <w:r>
              <w:t xml:space="preserve"> </w:t>
            </w:r>
            <w:r>
              <w:rPr>
                <w:bCs/>
                <w:b/>
              </w:rPr>
              <w:t xml:space="preserve">OSSE (2.9.2026): Bewertung „mit Vorsicht“; Förderpläne und Disziplin untersagt</w:t>
            </w:r>
          </w:p>
        </w:tc>
      </w:tr>
      <w:tr>
        <w:tc>
          <w:tcPr/>
          <w:p>
            <w:pPr>
              <w:pStyle w:val="Compact"/>
              <w:jc w:val="left"/>
            </w:pPr>
            <w:r>
              <w:t xml:space="preserve">Florida</w:t>
            </w:r>
          </w:p>
        </w:tc>
        <w:tc>
          <w:tcPr/>
          <w:p>
            <w:pPr>
              <w:pStyle w:val="Compact"/>
              <w:jc w:val="left"/>
            </w:pPr>
            <w:r>
              <w:t xml:space="preserve">Student Online Personal Information Protection Act (HB 662, 2023)</w:t>
            </w:r>
          </w:p>
        </w:tc>
        <w:tc>
          <w:tcPr/>
          <w:p>
            <w:pPr>
              <w:pStyle w:val="Compact"/>
              <w:jc w:val="left"/>
            </w:pPr>
            <w:r>
              <w:t xml:space="preserve">FDBR, 1.7.2024 — nur &gt;1 Mrd. USD Umsatz; nahezu sicher nicht anwendbar</w:t>
            </w:r>
          </w:p>
        </w:tc>
        <w:tc>
          <w:tcPr/>
          <w:p>
            <w:pPr>
              <w:pStyle w:val="Compact"/>
              <w:jc w:val="left"/>
            </w:pPr>
            <w:r>
              <w:t xml:space="preserve">keine verabschiedet;</w:t>
            </w:r>
            <w:r>
              <w:t xml:space="preserve"> </w:t>
            </w:r>
            <w:r>
              <w:rPr>
                <w:bCs/>
                <w:b/>
              </w:rPr>
              <w:t xml:space="preserve">Abstimmung des State Board am 16.9.2026</w:t>
            </w:r>
          </w:p>
        </w:tc>
        <w:tc>
          <w:tcPr/>
          <w:p>
            <w:pPr>
              <w:pStyle w:val="Compact"/>
              <w:jc w:val="left"/>
            </w:pPr>
            <w:r>
              <w:t xml:space="preserve">N laut Tracker</w:t>
            </w:r>
          </w:p>
        </w:tc>
      </w:tr>
      <w:tr>
        <w:tc>
          <w:tcPr/>
          <w:p>
            <w:pPr>
              <w:pStyle w:val="Compact"/>
              <w:jc w:val="left"/>
            </w:pPr>
            <w:r>
              <w:t xml:space="preserve">Georgia</w:t>
            </w:r>
          </w:p>
        </w:tc>
        <w:tc>
          <w:tcPr/>
          <w:p>
            <w:pPr>
              <w:pStyle w:val="Compact"/>
              <w:jc w:val="left"/>
            </w:pPr>
            <w:r>
              <w:rPr>
                <w:bCs/>
                <w:b/>
              </w:rPr>
              <w:t xml:space="preserve">O.C.G.A. §§ 20-2-660–668; § 20-2-666 Anbietergrenzen; 45-Tage-Löschung</w:t>
            </w:r>
          </w:p>
        </w:tc>
        <w:tc>
          <w:tcPr/>
          <w:p>
            <w:pPr>
              <w:pStyle w:val="Compact"/>
              <w:jc w:val="left"/>
            </w:pPr>
            <w:r>
              <w:t xml:space="preserve">nein</w:t>
            </w:r>
          </w:p>
        </w:tc>
        <w:tc>
          <w:tcPr/>
          <w:p>
            <w:pPr>
              <w:pStyle w:val="Compact"/>
              <w:jc w:val="left"/>
            </w:pPr>
            <w:r>
              <w:t xml:space="preserve">SB 179 (Informatik-/KI-Abschlussanforderung)</w:t>
            </w:r>
          </w:p>
        </w:tc>
        <w:tc>
          <w:tcPr/>
          <w:p>
            <w:pPr>
              <w:pStyle w:val="Compact"/>
              <w:jc w:val="left"/>
            </w:pPr>
            <w:r>
              <w:t xml:space="preserve">J —</w:t>
            </w:r>
            <w:r>
              <w:t xml:space="preserve"> </w:t>
            </w:r>
            <w:r>
              <w:rPr>
                <w:bCs/>
                <w:b/>
              </w:rPr>
              <w:t xml:space="preserve">deutlichste Formulierung: KI nicht zur Bewertung subjektiver Arbeiten einsetzen</w:t>
            </w:r>
          </w:p>
        </w:tc>
      </w:tr>
      <w:tr>
        <w:tc>
          <w:tcPr/>
          <w:p>
            <w:pPr>
              <w:pStyle w:val="Compact"/>
              <w:jc w:val="left"/>
            </w:pPr>
            <w:r>
              <w:t xml:space="preserve">Hawaii</w:t>
            </w:r>
          </w:p>
        </w:tc>
        <w:tc>
          <w:tcPr/>
          <w:p>
            <w:pPr>
              <w:pStyle w:val="Compact"/>
              <w:jc w:val="left"/>
            </w:pPr>
            <w:r>
              <w:t xml:space="preserve">HRS § 302A-500 (agg.)</w:t>
            </w:r>
          </w:p>
        </w:tc>
        <w:tc>
          <w:tcPr/>
          <w:p>
            <w:pPr>
              <w:pStyle w:val="Compact"/>
              <w:jc w:val="left"/>
            </w:pPr>
            <w:r>
              <w:t xml:space="preserve">nein</w:t>
            </w:r>
          </w:p>
        </w:tc>
        <w:tc>
          <w:tcPr/>
          <w:p>
            <w:pPr>
              <w:pStyle w:val="Compact"/>
              <w:jc w:val="left"/>
            </w:pPr>
            <w:r>
              <w:t xml:space="preserve">SB 2212 (2026, verabschiedet; Inhalt unverifiziert)</w:t>
            </w:r>
          </w:p>
        </w:tc>
        <w:tc>
          <w:tcPr/>
          <w:p>
            <w:pPr>
              <w:pStyle w:val="Compact"/>
              <w:jc w:val="left"/>
            </w:pPr>
            <w:r>
              <w:t xml:space="preserve">J (allgemein)</w:t>
            </w:r>
          </w:p>
        </w:tc>
      </w:tr>
      <w:tr>
        <w:tc>
          <w:tcPr/>
          <w:p>
            <w:pPr>
              <w:pStyle w:val="Compact"/>
              <w:jc w:val="left"/>
            </w:pPr>
            <w:r>
              <w:t xml:space="preserve">Idaho</w:t>
            </w:r>
          </w:p>
        </w:tc>
        <w:tc>
          <w:tcPr/>
          <w:p>
            <w:pPr>
              <w:pStyle w:val="Compact"/>
              <w:jc w:val="left"/>
            </w:pPr>
            <w:r>
              <w:t xml:space="preserve">Idaho Code § 33-133; SB 1372 (2014)</w:t>
            </w:r>
          </w:p>
        </w:tc>
        <w:tc>
          <w:tcPr/>
          <w:p>
            <w:pPr>
              <w:pStyle w:val="Compact"/>
              <w:jc w:val="left"/>
            </w:pPr>
            <w:r>
              <w:t xml:space="preserve">nein</w:t>
            </w:r>
          </w:p>
        </w:tc>
        <w:tc>
          <w:tcPr/>
          <w:p>
            <w:pPr>
              <w:pStyle w:val="Compact"/>
              <w:jc w:val="left"/>
            </w:pPr>
            <w:r>
              <w:rPr>
                <w:bCs/>
                <w:b/>
              </w:rPr>
              <w:t xml:space="preserve">SB 1227 (2026)</w:t>
            </w:r>
            <w:r>
              <w:t xml:space="preserve"> </w:t>
            </w:r>
            <w:r>
              <w:t xml:space="preserve">— untersagt den Ersatz von Lehrkräften durch KI</w:t>
            </w:r>
          </w:p>
        </w:tc>
        <w:tc>
          <w:tcPr/>
          <w:p>
            <w:pPr>
              <w:pStyle w:val="Compact"/>
              <w:jc w:val="left"/>
            </w:pPr>
            <w:r>
              <w:t xml:space="preserve">N</w:t>
            </w:r>
          </w:p>
        </w:tc>
      </w:tr>
      <w:tr>
        <w:tc>
          <w:tcPr/>
          <w:p>
            <w:pPr>
              <w:pStyle w:val="Compact"/>
              <w:jc w:val="left"/>
            </w:pPr>
            <w:r>
              <w:t xml:space="preserve">Illinois</w:t>
            </w:r>
          </w:p>
        </w:tc>
        <w:tc>
          <w:tcPr/>
          <w:p>
            <w:pPr>
              <w:pStyle w:val="Compact"/>
              <w:jc w:val="left"/>
            </w:pPr>
            <w:r>
              <w:rPr>
                <w:bCs/>
                <w:b/>
              </w:rPr>
              <w:t xml:space="preserve">SOPPA, 105 ILCS 85</w:t>
            </w:r>
            <w:r>
              <w:t xml:space="preserve"> </w:t>
            </w:r>
            <w:r>
              <w:t xml:space="preserve">— schriftliche Vereinbarung, 30-Tage-Meldung, öffentliche Veröffentlichung, jährliche Drittanbieterliste; ISSRA (Klagerecht Einzelner)</w:t>
            </w:r>
          </w:p>
        </w:tc>
        <w:tc>
          <w:tcPr/>
          <w:p>
            <w:pPr>
              <w:pStyle w:val="Compact"/>
              <w:jc w:val="left"/>
            </w:pPr>
            <w:r>
              <w:rPr>
                <w:bCs/>
                <w:b/>
              </w:rPr>
              <w:t xml:space="preserve">kein allgemeines Gesetz</w:t>
            </w:r>
            <w:r>
              <w:t xml:space="preserve"> </w:t>
            </w:r>
            <w:r>
              <w:t xml:space="preserve">(nur BIPA und SOPPA)</w:t>
            </w:r>
          </w:p>
        </w:tc>
        <w:tc>
          <w:tcPr/>
          <w:p>
            <w:pPr>
              <w:pStyle w:val="Compact"/>
              <w:jc w:val="left"/>
            </w:pPr>
            <w:r>
              <w:t xml:space="preserve">HB 3773 (IHRA, nur Beschäftigung, 1.1.2026);</w:t>
            </w:r>
            <w:r>
              <w:t xml:space="preserve"> </w:t>
            </w:r>
            <w:r>
              <w:rPr>
                <w:bCs/>
                <w:b/>
              </w:rPr>
              <w:t xml:space="preserve">BIPA, 740 ILCS 14</w:t>
            </w:r>
          </w:p>
        </w:tc>
        <w:tc>
          <w:tcPr/>
          <w:p>
            <w:pPr>
              <w:pStyle w:val="Compact"/>
              <w:jc w:val="left"/>
            </w:pPr>
            <w:r>
              <w:t xml:space="preserve">J; Leitlinie des State Board bis 1.7.2026</w:t>
            </w:r>
          </w:p>
        </w:tc>
      </w:tr>
      <w:tr>
        <w:tc>
          <w:tcPr/>
          <w:p>
            <w:pPr>
              <w:pStyle w:val="Compact"/>
              <w:jc w:val="left"/>
            </w:pPr>
            <w:r>
              <w:t xml:space="preserve">Indiana</w:t>
            </w:r>
          </w:p>
        </w:tc>
        <w:tc>
          <w:tcPr/>
          <w:p>
            <w:pPr>
              <w:pStyle w:val="Compact"/>
              <w:jc w:val="left"/>
            </w:pPr>
            <w:r>
              <w:t xml:space="preserve">keine spezifische (agg.)</w:t>
            </w:r>
          </w:p>
        </w:tc>
        <w:tc>
          <w:tcPr/>
          <w:p>
            <w:pPr>
              <w:pStyle w:val="Compact"/>
              <w:jc w:val="left"/>
            </w:pPr>
            <w:r>
              <w:t xml:space="preserve">ja — SB 5, 1.1.2026</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Iowa</w:t>
            </w:r>
          </w:p>
        </w:tc>
        <w:tc>
          <w:tcPr/>
          <w:p>
            <w:pPr>
              <w:pStyle w:val="Compact"/>
              <w:jc w:val="left"/>
            </w:pPr>
            <w:r>
              <w:t xml:space="preserve">HF 2354 (2018) Anbietergesetz</w:t>
            </w:r>
          </w:p>
        </w:tc>
        <w:tc>
          <w:tcPr/>
          <w:p>
            <w:pPr>
              <w:pStyle w:val="Compact"/>
              <w:jc w:val="left"/>
            </w:pPr>
            <w:r>
              <w:t xml:space="preserve">ja — SF 262, 1.1.2025 (kein Profiling-Widerspruch, keine Vertragspflicht)</w:t>
            </w:r>
          </w:p>
        </w:tc>
        <w:tc>
          <w:tcPr/>
          <w:p>
            <w:pPr>
              <w:pStyle w:val="Compact"/>
              <w:jc w:val="left"/>
            </w:pPr>
            <w:r>
              <w:t xml:space="preserve">keine</w:t>
            </w:r>
          </w:p>
        </w:tc>
        <w:tc>
          <w:tcPr/>
          <w:p>
            <w:pPr>
              <w:pStyle w:val="Compact"/>
              <w:jc w:val="left"/>
            </w:pPr>
            <w:r>
              <w:t xml:space="preserve">N</w:t>
            </w:r>
          </w:p>
        </w:tc>
      </w:tr>
      <w:tr>
        <w:tc>
          <w:tcPr/>
          <w:p>
            <w:pPr>
              <w:pStyle w:val="Compact"/>
              <w:jc w:val="left"/>
            </w:pPr>
            <w:r>
              <w:t xml:space="preserve">Kansas</w:t>
            </w:r>
          </w:p>
        </w:tc>
        <w:tc>
          <w:tcPr/>
          <w:p>
            <w:pPr>
              <w:pStyle w:val="Compact"/>
              <w:jc w:val="left"/>
            </w:pPr>
            <w:r>
              <w:t xml:space="preserve">Student Data Privacy Act, K.S.A. §§ 72-6312–6320</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N</w:t>
            </w:r>
          </w:p>
        </w:tc>
      </w:tr>
      <w:tr>
        <w:tc>
          <w:tcPr/>
          <w:p>
            <w:pPr>
              <w:pStyle w:val="Compact"/>
              <w:jc w:val="left"/>
            </w:pPr>
            <w:r>
              <w:t xml:space="preserve">Kentucky</w:t>
            </w:r>
          </w:p>
        </w:tc>
        <w:tc>
          <w:tcPr/>
          <w:p>
            <w:pPr>
              <w:pStyle w:val="Compact"/>
              <w:jc w:val="left"/>
            </w:pPr>
            <w:r>
              <w:t xml:space="preserve">KRS 365.734 (Cloud-Beschränkung); HB 232 (2014)</w:t>
            </w:r>
          </w:p>
        </w:tc>
        <w:tc>
          <w:tcPr/>
          <w:p>
            <w:pPr>
              <w:pStyle w:val="Compact"/>
              <w:jc w:val="left"/>
            </w:pPr>
            <w:r>
              <w:t xml:space="preserve">ja — HB 15, 1.1.2026</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Louisiana</w:t>
            </w:r>
          </w:p>
        </w:tc>
        <w:tc>
          <w:tcPr/>
          <w:p>
            <w:pPr>
              <w:pStyle w:val="Compact"/>
              <w:jc w:val="left"/>
            </w:pPr>
            <w:r>
              <w:rPr>
                <w:bCs/>
                <w:b/>
              </w:rPr>
              <w:t xml:space="preserve">La. R.S. 17:3914 — carries criminal/civil penalties</w:t>
            </w:r>
            <w:r>
              <w:t xml:space="preserve">; HB 946 (2014)</w:t>
            </w:r>
          </w:p>
        </w:tc>
        <w:tc>
          <w:tcPr/>
          <w:p>
            <w:pPr>
              <w:pStyle w:val="Compact"/>
              <w:jc w:val="left"/>
            </w:pPr>
            <w:r>
              <w:t xml:space="preserve">nein (verabschiedet; ab 1.1.2027)</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Maine</w:t>
            </w:r>
          </w:p>
        </w:tc>
        <w:tc>
          <w:tcPr/>
          <w:p>
            <w:pPr>
              <w:pStyle w:val="Compact"/>
              <w:jc w:val="left"/>
            </w:pPr>
            <w:r>
              <w:t xml:space="preserve">Maine Student Information Privacy Act, 20-A M.R.S. § 6005</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 KI soll das menschliche Urteil ergänzen, nicht ersetzen</w:t>
            </w:r>
          </w:p>
        </w:tc>
      </w:tr>
      <w:tr>
        <w:tc>
          <w:tcPr/>
          <w:p>
            <w:pPr>
              <w:pStyle w:val="Compact"/>
              <w:jc w:val="left"/>
            </w:pPr>
            <w:r>
              <w:t xml:space="preserve">Maryland</w:t>
            </w:r>
          </w:p>
        </w:tc>
        <w:tc>
          <w:tcPr/>
          <w:p>
            <w:pPr>
              <w:pStyle w:val="Compact"/>
              <w:jc w:val="left"/>
            </w:pPr>
            <w:r>
              <w:t xml:space="preserve">Educ. Art. § 4-131; State Fin. &amp; Proc. § 3.5-311</w:t>
            </w:r>
          </w:p>
        </w:tc>
        <w:tc>
          <w:tcPr/>
          <w:p>
            <w:pPr>
              <w:pStyle w:val="Compact"/>
              <w:jc w:val="left"/>
            </w:pPr>
            <w:r>
              <w:t xml:space="preserve">ja — MODPA, 1.10.2025 (strenge Datenminimierung)</w:t>
            </w:r>
          </w:p>
        </w:tc>
        <w:tc>
          <w:tcPr/>
          <w:p>
            <w:pPr>
              <w:pStyle w:val="Compact"/>
              <w:jc w:val="left"/>
            </w:pPr>
            <w:r>
              <w:rPr>
                <w:bCs/>
                <w:b/>
              </w:rPr>
              <w:t xml:space="preserve">SB 720 (2026)</w:t>
            </w:r>
            <w:r>
              <w:t xml:space="preserve"> </w:t>
            </w:r>
            <w:r>
              <w:t xml:space="preserve">— Bezirks-KI-Richtlinie binnen 120 Tagen nach Landesleitlinie; KI-Koordinator</w:t>
            </w:r>
          </w:p>
        </w:tc>
        <w:tc>
          <w:tcPr/>
          <w:p>
            <w:pPr>
              <w:pStyle w:val="Compact"/>
              <w:jc w:val="left"/>
            </w:pPr>
            <w:r>
              <w:t xml:space="preserve">J (Landesleitlinie vorgeschrieben)</w:t>
            </w:r>
          </w:p>
        </w:tc>
      </w:tr>
      <w:tr>
        <w:tc>
          <w:tcPr/>
          <w:p>
            <w:pPr>
              <w:pStyle w:val="Compact"/>
              <w:jc w:val="left"/>
            </w:pPr>
            <w:r>
              <w:t xml:space="preserve">Massachusetts</w:t>
            </w:r>
          </w:p>
        </w:tc>
        <w:tc>
          <w:tcPr/>
          <w:p>
            <w:pPr>
              <w:pStyle w:val="Compact"/>
              <w:jc w:val="left"/>
            </w:pPr>
            <w:r>
              <w:rPr>
                <w:bCs/>
                <w:b/>
              </w:rPr>
              <w:t xml:space="preserve">kein Anbietergesetz</w:t>
            </w:r>
            <w:r>
              <w:t xml:space="preserve"> </w:t>
            </w:r>
            <w:r>
              <w:t xml:space="preserve">— 603 CMR 23.00, 201 CMR 17.00, M.G.L. c. 93H</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 menschliche Aufsicht; rät ausdrücklich von KI-Erkennungswerkzeugen ab</w:t>
            </w:r>
          </w:p>
        </w:tc>
      </w:tr>
      <w:tr>
        <w:tc>
          <w:tcPr/>
          <w:p>
            <w:pPr>
              <w:pStyle w:val="Compact"/>
              <w:jc w:val="left"/>
            </w:pPr>
            <w:r>
              <w:t xml:space="preserve">Michigan</w:t>
            </w:r>
          </w:p>
        </w:tc>
        <w:tc>
          <w:tcPr/>
          <w:p>
            <w:pPr>
              <w:pStyle w:val="Compact"/>
              <w:jc w:val="left"/>
            </w:pPr>
            <w:r>
              <w:t xml:space="preserve">MCL 380.1136;</w:t>
            </w:r>
            <w:r>
              <w:t xml:space="preserve"> </w:t>
            </w:r>
            <w:r>
              <w:rPr>
                <w:bCs/>
                <w:b/>
              </w:rPr>
              <w:t xml:space="preserve">MCL 388.1295</w:t>
            </w:r>
            <w:r>
              <w:t xml:space="preserve"> </w:t>
            </w:r>
            <w:r>
              <w:t xml:space="preserve">(Anbietergesetz)</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Minnesota</w:t>
            </w:r>
          </w:p>
        </w:tc>
        <w:tc>
          <w:tcPr/>
          <w:p>
            <w:pPr>
              <w:pStyle w:val="Compact"/>
              <w:jc w:val="left"/>
            </w:pPr>
            <w:r>
              <w:t xml:space="preserve">Minn. Stat. § 13.32; HF 2353 (2022) Anbieterbeschränkungen</w:t>
            </w:r>
          </w:p>
        </w:tc>
        <w:tc>
          <w:tcPr/>
          <w:p>
            <w:pPr>
              <w:pStyle w:val="Compact"/>
              <w:jc w:val="left"/>
            </w:pPr>
            <w:r>
              <w:t xml:space="preserve">ja — MCDPA, 31.7.2025 —</w:t>
            </w:r>
            <w:r>
              <w:t xml:space="preserve"> </w:t>
            </w:r>
            <w:r>
              <w:rPr>
                <w:bCs/>
                <w:b/>
              </w:rPr>
              <w:t xml:space="preserve">Erläuterungsrecht bei automatisierter Entscheidung</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Mississippi</w:t>
            </w:r>
          </w:p>
        </w:tc>
        <w:tc>
          <w:tcPr/>
          <w:p>
            <w:pPr>
              <w:pStyle w:val="Compact"/>
              <w:jc w:val="left"/>
            </w:pPr>
            <w:r>
              <w:t xml:space="preserve">keine spezifische (agg.)</w:t>
            </w:r>
          </w:p>
        </w:tc>
        <w:tc>
          <w:tcPr/>
          <w:p>
            <w:pPr>
              <w:pStyle w:val="Compact"/>
              <w:jc w:val="left"/>
            </w:pPr>
            <w:r>
              <w:t xml:space="preserve">nein</w:t>
            </w:r>
          </w:p>
        </w:tc>
        <w:tc>
          <w:tcPr/>
          <w:p>
            <w:pPr>
              <w:pStyle w:val="Compact"/>
              <w:jc w:val="left"/>
            </w:pPr>
            <w:r>
              <w:t xml:space="preserve">SB 2294 (Informatik-/KI-Leistungspunkt)</w:t>
            </w:r>
          </w:p>
        </w:tc>
        <w:tc>
          <w:tcPr/>
          <w:p>
            <w:pPr>
              <w:pStyle w:val="Compact"/>
              <w:jc w:val="left"/>
            </w:pPr>
            <w:r>
              <w:t xml:space="preserve">J (allgemein)</w:t>
            </w:r>
          </w:p>
        </w:tc>
      </w:tr>
      <w:tr>
        <w:tc>
          <w:tcPr/>
          <w:p>
            <w:pPr>
              <w:pStyle w:val="Compact"/>
              <w:jc w:val="left"/>
            </w:pPr>
            <w:r>
              <w:t xml:space="preserve">Missouri</w:t>
            </w:r>
          </w:p>
        </w:tc>
        <w:tc>
          <w:tcPr/>
          <w:p>
            <w:pPr>
              <w:pStyle w:val="Compact"/>
              <w:jc w:val="left"/>
            </w:pPr>
            <w:r>
              <w:t xml:space="preserve">RSMo § 161.096; HB 1490 (2014)</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Montana</w:t>
            </w:r>
          </w:p>
        </w:tc>
        <w:tc>
          <w:tcPr/>
          <w:p>
            <w:pPr>
              <w:pStyle w:val="Compact"/>
              <w:jc w:val="left"/>
            </w:pPr>
            <w:r>
              <w:t xml:space="preserve">Pupil Online Personal Information Protection Act, MCA §§ 20-7-1323–1326</w:t>
            </w:r>
          </w:p>
        </w:tc>
        <w:tc>
          <w:tcPr/>
          <w:p>
            <w:pPr>
              <w:pStyle w:val="Compact"/>
              <w:jc w:val="left"/>
            </w:pPr>
            <w:r>
              <w:t xml:space="preserve">ja — MCDPA, 1.10.2024</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Nebraska</w:t>
            </w:r>
          </w:p>
        </w:tc>
        <w:tc>
          <w:tcPr/>
          <w:p>
            <w:pPr>
              <w:pStyle w:val="Compact"/>
              <w:jc w:val="left"/>
            </w:pPr>
            <w:r>
              <w:t xml:space="preserve">Neb. Rev. Stat. § 79-2,104; Student Online Personal Protection Act (LB 512)</w:t>
            </w:r>
          </w:p>
        </w:tc>
        <w:tc>
          <w:tcPr/>
          <w:p>
            <w:pPr>
              <w:pStyle w:val="Compact"/>
              <w:jc w:val="left"/>
            </w:pPr>
            <w:r>
              <w:t xml:space="preserve">ja — NDPA, 1.1.2025; Age-Appropriate Design Code ab 1.1.2026</w:t>
            </w:r>
          </w:p>
        </w:tc>
        <w:tc>
          <w:tcPr/>
          <w:p>
            <w:pPr>
              <w:pStyle w:val="Compact"/>
              <w:jc w:val="left"/>
            </w:pPr>
            <w:r>
              <w:t xml:space="preserve">keine</w:t>
            </w:r>
          </w:p>
        </w:tc>
        <w:tc>
          <w:tcPr/>
          <w:p>
            <w:pPr>
              <w:pStyle w:val="Compact"/>
              <w:jc w:val="left"/>
            </w:pPr>
            <w:r>
              <w:t xml:space="preserve">N</w:t>
            </w:r>
          </w:p>
        </w:tc>
      </w:tr>
      <w:tr>
        <w:tc>
          <w:tcPr/>
          <w:p>
            <w:pPr>
              <w:pStyle w:val="Compact"/>
              <w:jc w:val="left"/>
            </w:pPr>
            <w:r>
              <w:t xml:space="preserve">Nevada</w:t>
            </w:r>
          </w:p>
        </w:tc>
        <w:tc>
          <w:tcPr/>
          <w:p>
            <w:pPr>
              <w:pStyle w:val="Compact"/>
              <w:jc w:val="left"/>
            </w:pPr>
            <w:r>
              <w:t xml:space="preserve">NRS §§ 388.281–388.295</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New Hampshire</w:t>
            </w:r>
          </w:p>
        </w:tc>
        <w:tc>
          <w:tcPr/>
          <w:p>
            <w:pPr>
              <w:pStyle w:val="Compact"/>
              <w:jc w:val="left"/>
            </w:pPr>
            <w:r>
              <w:t xml:space="preserve">RSA 189:65–189:68;</w:t>
            </w:r>
            <w:r>
              <w:t xml:space="preserve"> </w:t>
            </w:r>
            <w:r>
              <w:rPr>
                <w:bCs/>
                <w:b/>
              </w:rPr>
              <w:t xml:space="preserve">RSA 189:68-a</w:t>
            </w:r>
          </w:p>
        </w:tc>
        <w:tc>
          <w:tcPr/>
          <w:p>
            <w:pPr>
              <w:pStyle w:val="Compact"/>
              <w:jc w:val="left"/>
            </w:pPr>
            <w:r>
              <w:t xml:space="preserve">ja — NHDPA, 1.1.2025</w:t>
            </w:r>
          </w:p>
        </w:tc>
        <w:tc>
          <w:tcPr/>
          <w:p>
            <w:pPr>
              <w:pStyle w:val="Compact"/>
              <w:jc w:val="left"/>
            </w:pPr>
            <w:r>
              <w:t xml:space="preserve">keine</w:t>
            </w:r>
          </w:p>
        </w:tc>
        <w:tc>
          <w:tcPr/>
          <w:p>
            <w:pPr>
              <w:pStyle w:val="Compact"/>
              <w:jc w:val="left"/>
            </w:pPr>
            <w:r>
              <w:t xml:space="preserve">N</w:t>
            </w:r>
          </w:p>
        </w:tc>
      </w:tr>
      <w:tr>
        <w:tc>
          <w:tcPr/>
          <w:p>
            <w:pPr>
              <w:pStyle w:val="Compact"/>
              <w:jc w:val="left"/>
            </w:pPr>
            <w:r>
              <w:t xml:space="preserve">New Jersey</w:t>
            </w:r>
          </w:p>
        </w:tc>
        <w:tc>
          <w:tcPr/>
          <w:p>
            <w:pPr>
              <w:pStyle w:val="Compact"/>
              <w:jc w:val="left"/>
            </w:pPr>
            <w:r>
              <w:t xml:space="preserve">P.L. 2019, c.494 (A4978) — Verkauf von Schülerakten untersagt</w:t>
            </w:r>
          </w:p>
        </w:tc>
        <w:tc>
          <w:tcPr/>
          <w:p>
            <w:pPr>
              <w:pStyle w:val="Compact"/>
              <w:jc w:val="left"/>
            </w:pPr>
            <w:r>
              <w:t xml:space="preserve">ja — NJDPA, 15.1.2025 —</w:t>
            </w:r>
            <w:r>
              <w:t xml:space="preserve"> </w:t>
            </w:r>
            <w:r>
              <w:rPr>
                <w:bCs/>
                <w:b/>
              </w:rPr>
              <w:t xml:space="preserve">keine datenbezogene FERPA-Ausnahme; keine Gemeinnützigkeitsausnahme</w:t>
            </w:r>
          </w:p>
        </w:tc>
        <w:tc>
          <w:tcPr/>
          <w:p>
            <w:pPr>
              <w:pStyle w:val="Compact"/>
              <w:jc w:val="left"/>
            </w:pPr>
            <w:r>
              <w:t xml:space="preserve">keine</w:t>
            </w:r>
          </w:p>
        </w:tc>
        <w:tc>
          <w:tcPr/>
          <w:p>
            <w:pPr>
              <w:pStyle w:val="Compact"/>
              <w:jc w:val="left"/>
            </w:pPr>
            <w:r>
              <w:t xml:space="preserve">N laut Tracker (widersprüchliche Angaben — vermerkt)</w:t>
            </w:r>
          </w:p>
        </w:tc>
      </w:tr>
      <w:tr>
        <w:tc>
          <w:tcPr/>
          <w:p>
            <w:pPr>
              <w:pStyle w:val="Compact"/>
              <w:jc w:val="left"/>
            </w:pPr>
            <w:r>
              <w:t xml:space="preserve">New Mexico</w:t>
            </w:r>
          </w:p>
        </w:tc>
        <w:tc>
          <w:tcPr/>
          <w:p>
            <w:pPr>
              <w:pStyle w:val="Compact"/>
              <w:jc w:val="left"/>
            </w:pPr>
            <w:r>
              <w:t xml:space="preserve">keine spezifische (agg.)</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New York</w:t>
            </w:r>
          </w:p>
        </w:tc>
        <w:tc>
          <w:tcPr/>
          <w:p>
            <w:pPr>
              <w:pStyle w:val="Compact"/>
              <w:jc w:val="left"/>
            </w:pPr>
            <w:r>
              <w:rPr>
                <w:bCs/>
                <w:b/>
              </w:rPr>
              <w:t xml:space="preserve">Education Law § 2-d + 8 NYCRR Part 121 — strengstes Regime des Landes (§11.3)</w:t>
            </w:r>
          </w:p>
        </w:tc>
        <w:tc>
          <w:tcPr/>
          <w:p>
            <w:pPr>
              <w:pStyle w:val="Compact"/>
              <w:jc w:val="left"/>
            </w:pPr>
            <w:r>
              <w:t xml:space="preserve">nein</w:t>
            </w:r>
          </w:p>
        </w:tc>
        <w:tc>
          <w:tcPr/>
          <w:p>
            <w:pPr>
              <w:pStyle w:val="Compact"/>
              <w:jc w:val="left"/>
            </w:pPr>
            <w:r>
              <w:t xml:space="preserve">RAISE Act (Frontier-Modelle — nicht anwendbar)</w:t>
            </w:r>
          </w:p>
        </w:tc>
        <w:tc>
          <w:tcPr/>
          <w:p>
            <w:pPr>
              <w:pStyle w:val="Compact"/>
              <w:jc w:val="left"/>
            </w:pPr>
            <w:r>
              <w:t xml:space="preserve">N landesweit (NYC DOE hat eigene)</w:t>
            </w:r>
          </w:p>
        </w:tc>
      </w:tr>
      <w:tr>
        <w:tc>
          <w:tcPr/>
          <w:p>
            <w:pPr>
              <w:pStyle w:val="Compact"/>
              <w:jc w:val="left"/>
            </w:pPr>
            <w:r>
              <w:t xml:space="preserve">North Carolina</w:t>
            </w:r>
          </w:p>
        </w:tc>
        <w:tc>
          <w:tcPr/>
          <w:p>
            <w:pPr>
              <w:pStyle w:val="Compact"/>
              <w:jc w:val="left"/>
            </w:pPr>
            <w:r>
              <w:t xml:space="preserve">G.S. § 115C-401.2</w:t>
            </w:r>
          </w:p>
        </w:tc>
        <w:tc>
          <w:tcPr/>
          <w:p>
            <w:pPr>
              <w:pStyle w:val="Compact"/>
              <w:jc w:val="left"/>
            </w:pPr>
            <w:r>
              <w:t xml:space="preserve">nein</w:t>
            </w:r>
          </w:p>
        </w:tc>
        <w:tc>
          <w:tcPr/>
          <w:p>
            <w:pPr>
              <w:pStyle w:val="Compact"/>
              <w:jc w:val="left"/>
            </w:pPr>
            <w:r>
              <w:rPr>
                <w:bCs/>
                <w:b/>
              </w:rPr>
              <w:t xml:space="preserve">Landesmodellrichtlinie bis 31.12.2026; Bezirksrichtlinien bis 30.6.2027</w:t>
            </w:r>
          </w:p>
        </w:tc>
        <w:tc>
          <w:tcPr/>
          <w:p>
            <w:pPr>
              <w:pStyle w:val="Compact"/>
              <w:jc w:val="left"/>
            </w:pPr>
            <w:r>
              <w:t xml:space="preserve">J — Wahrung des Urteils und der Aufsicht der Lehrkraft</w:t>
            </w:r>
          </w:p>
        </w:tc>
      </w:tr>
      <w:tr>
        <w:tc>
          <w:tcPr/>
          <w:p>
            <w:pPr>
              <w:pStyle w:val="Compact"/>
              <w:jc w:val="left"/>
            </w:pPr>
            <w:r>
              <w:t xml:space="preserve">North Dakota</w:t>
            </w:r>
          </w:p>
        </w:tc>
        <w:tc>
          <w:tcPr/>
          <w:p>
            <w:pPr>
              <w:pStyle w:val="Compact"/>
              <w:jc w:val="left"/>
            </w:pPr>
            <w:r>
              <w:t xml:space="preserve">NDCC § 15.1-07-25.3 (agg.)</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Ohio</w:t>
            </w:r>
          </w:p>
        </w:tc>
        <w:tc>
          <w:tcPr/>
          <w:p>
            <w:pPr>
              <w:pStyle w:val="Compact"/>
              <w:jc w:val="left"/>
            </w:pPr>
            <w:r>
              <w:rPr>
                <w:bCs/>
                <w:b/>
              </w:rPr>
              <w:t xml:space="preserve">SB 29 (ab Okt. 2024)</w:t>
            </w:r>
            <w:r>
              <w:t xml:space="preserve"> </w:t>
            </w:r>
            <w:r>
              <w:t xml:space="preserve">— 90-Tage-Löschung;</w:t>
            </w:r>
            <w:r>
              <w:t xml:space="preserve"> </w:t>
            </w:r>
            <w:r>
              <w:rPr>
                <w:bCs/>
                <w:b/>
              </w:rPr>
              <w:t xml:space="preserve">72-Stunden-Elternbenachrichtigung</w:t>
            </w:r>
            <w:r>
              <w:t xml:space="preserve">; Überwachungsverbot</w:t>
            </w:r>
          </w:p>
        </w:tc>
        <w:tc>
          <w:tcPr/>
          <w:p>
            <w:pPr>
              <w:pStyle w:val="Compact"/>
              <w:jc w:val="left"/>
            </w:pPr>
            <w:r>
              <w:t xml:space="preserve">nein</w:t>
            </w:r>
          </w:p>
        </w:tc>
        <w:tc>
          <w:tcPr/>
          <w:p>
            <w:pPr>
              <w:pStyle w:val="Compact"/>
              <w:jc w:val="left"/>
            </w:pPr>
            <w:r>
              <w:rPr>
                <w:bCs/>
                <w:b/>
              </w:rPr>
              <w:t xml:space="preserve">ORC § 3301.24(B)</w:t>
            </w:r>
            <w:r>
              <w:t xml:space="preserve"> </w:t>
            </w:r>
            <w:r>
              <w:t xml:space="preserve">— jeder Bezirk muss eine KI-Richtlinie beschließen bis</w:t>
            </w:r>
            <w:r>
              <w:t xml:space="preserve"> </w:t>
            </w:r>
            <w:r>
              <w:rPr>
                <w:bCs/>
                <w:b/>
              </w:rPr>
              <w:t xml:space="preserve">1.7.2026</w:t>
            </w:r>
          </w:p>
        </w:tc>
        <w:tc>
          <w:tcPr/>
          <w:p>
            <w:pPr>
              <w:pStyle w:val="Compact"/>
              <w:jc w:val="left"/>
            </w:pPr>
            <w:r>
              <w:t xml:space="preserve">J — Landesmodellrichtlinie veröffentlicht</w:t>
            </w:r>
          </w:p>
        </w:tc>
      </w:tr>
      <w:tr>
        <w:tc>
          <w:tcPr/>
          <w:p>
            <w:pPr>
              <w:pStyle w:val="Compact"/>
              <w:jc w:val="left"/>
            </w:pPr>
            <w:r>
              <w:t xml:space="preserve">Oklahoma</w:t>
            </w:r>
          </w:p>
        </w:tc>
        <w:tc>
          <w:tcPr/>
          <w:p>
            <w:pPr>
              <w:pStyle w:val="Compact"/>
              <w:jc w:val="left"/>
            </w:pPr>
            <w:r>
              <w:t xml:space="preserve">70 O.S. § 3-168</w:t>
            </w:r>
          </w:p>
        </w:tc>
        <w:tc>
          <w:tcPr/>
          <w:p>
            <w:pPr>
              <w:pStyle w:val="Compact"/>
              <w:jc w:val="left"/>
            </w:pPr>
            <w:r>
              <w:t xml:space="preserve">nein (verabschiedet; ab 1.1.2027)</w:t>
            </w:r>
          </w:p>
        </w:tc>
        <w:tc>
          <w:tcPr/>
          <w:p>
            <w:pPr>
              <w:pStyle w:val="Compact"/>
              <w:jc w:val="left"/>
            </w:pPr>
            <w:r>
              <w:rPr>
                <w:bCs/>
                <w:b/>
              </w:rPr>
              <w:t xml:space="preserve">SB 1734, Responsible Technology in Schools Act — ab 1.7.2026 (§11.6)</w:t>
            </w:r>
          </w:p>
        </w:tc>
        <w:tc>
          <w:tcPr/>
          <w:p>
            <w:pPr>
              <w:pStyle w:val="Compact"/>
              <w:jc w:val="left"/>
            </w:pPr>
            <w:r>
              <w:t xml:space="preserve">J (allgemein)</w:t>
            </w:r>
          </w:p>
        </w:tc>
      </w:tr>
      <w:tr>
        <w:tc>
          <w:tcPr/>
          <w:p>
            <w:pPr>
              <w:pStyle w:val="Compact"/>
              <w:jc w:val="left"/>
            </w:pPr>
            <w:r>
              <w:t xml:space="preserve">Oregon</w:t>
            </w:r>
          </w:p>
        </w:tc>
        <w:tc>
          <w:tcPr/>
          <w:p>
            <w:pPr>
              <w:pStyle w:val="Compact"/>
              <w:jc w:val="left"/>
            </w:pPr>
            <w:r>
              <w:t xml:space="preserve">Oregon Student Information Protection Act (SB 187, 2015)</w:t>
            </w:r>
          </w:p>
        </w:tc>
        <w:tc>
          <w:tcPr/>
          <w:p>
            <w:pPr>
              <w:pStyle w:val="Compact"/>
              <w:jc w:val="left"/>
            </w:pPr>
            <w:r>
              <w:t xml:space="preserve">ja — OCPA, 1.7.2024; HB 2008 (Verkaufsverbot unter 16) 1.1.2026</w:t>
            </w:r>
          </w:p>
        </w:tc>
        <w:tc>
          <w:tcPr/>
          <w:p>
            <w:pPr>
              <w:pStyle w:val="Compact"/>
              <w:jc w:val="left"/>
            </w:pPr>
            <w:r>
              <w:t xml:space="preserve">SB 1546 (Begleit-Chatbots — nicht anwendbar)</w:t>
            </w:r>
          </w:p>
        </w:tc>
        <w:tc>
          <w:tcPr/>
          <w:p>
            <w:pPr>
              <w:pStyle w:val="Compact"/>
              <w:jc w:val="left"/>
            </w:pPr>
            <w:r>
              <w:t xml:space="preserve">J (allgemein)</w:t>
            </w:r>
          </w:p>
        </w:tc>
      </w:tr>
      <w:tr>
        <w:tc>
          <w:tcPr/>
          <w:p>
            <w:pPr>
              <w:pStyle w:val="Compact"/>
              <w:jc w:val="left"/>
            </w:pPr>
            <w:r>
              <w:t xml:space="preserve">Pennsylvania</w:t>
            </w:r>
          </w:p>
        </w:tc>
        <w:tc>
          <w:tcPr/>
          <w:p>
            <w:pPr>
              <w:pStyle w:val="Compact"/>
              <w:jc w:val="left"/>
            </w:pPr>
            <w:r>
              <w:t xml:space="preserve">keine spezifische — nur Meldegesetz (agg.)</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N</w:t>
            </w:r>
          </w:p>
        </w:tc>
      </w:tr>
      <w:tr>
        <w:tc>
          <w:tcPr/>
          <w:p>
            <w:pPr>
              <w:pStyle w:val="Compact"/>
              <w:jc w:val="left"/>
            </w:pPr>
            <w:r>
              <w:t xml:space="preserve">Rhode Island</w:t>
            </w:r>
          </w:p>
        </w:tc>
        <w:tc>
          <w:tcPr/>
          <w:p>
            <w:pPr>
              <w:pStyle w:val="Compact"/>
              <w:jc w:val="left"/>
            </w:pPr>
            <w:r>
              <w:t xml:space="preserve">R.I. Gen. Laws tit. 16, ch. 104</w:t>
            </w:r>
          </w:p>
        </w:tc>
        <w:tc>
          <w:tcPr/>
          <w:p>
            <w:pPr>
              <w:pStyle w:val="Compact"/>
              <w:jc w:val="left"/>
            </w:pPr>
            <w:r>
              <w:t xml:space="preserve">ja — RIDTPPA, 1.1.2026</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South Carolina</w:t>
            </w:r>
          </w:p>
        </w:tc>
        <w:tc>
          <w:tcPr/>
          <w:p>
            <w:pPr>
              <w:pStyle w:val="Compact"/>
              <w:jc w:val="left"/>
            </w:pPr>
            <w:r>
              <w:t xml:space="preserve">S.C. Code § 59-1-490 (agg.)</w:t>
            </w:r>
          </w:p>
        </w:tc>
        <w:tc>
          <w:tcPr/>
          <w:p>
            <w:pPr>
              <w:pStyle w:val="Compact"/>
              <w:jc w:val="left"/>
            </w:pPr>
            <w:r>
              <w:t xml:space="preserve">nein</w:t>
            </w:r>
          </w:p>
        </w:tc>
        <w:tc>
          <w:tcPr/>
          <w:p>
            <w:pPr>
              <w:pStyle w:val="Compact"/>
              <w:jc w:val="left"/>
            </w:pPr>
            <w:r>
              <w:rPr>
                <w:bCs/>
                <w:b/>
              </w:rPr>
              <w:t xml:space="preserve">H.5253 NUR EINGEBRACHT — nicht verabschiedet</w:t>
            </w:r>
          </w:p>
        </w:tc>
        <w:tc>
          <w:tcPr/>
          <w:p>
            <w:pPr>
              <w:pStyle w:val="Compact"/>
              <w:jc w:val="left"/>
            </w:pPr>
            <w:r>
              <w:t xml:space="preserve">N</w:t>
            </w:r>
          </w:p>
        </w:tc>
      </w:tr>
      <w:tr>
        <w:tc>
          <w:tcPr/>
          <w:p>
            <w:pPr>
              <w:pStyle w:val="Compact"/>
              <w:jc w:val="left"/>
            </w:pPr>
            <w:r>
              <w:t xml:space="preserve">South Dakota</w:t>
            </w:r>
          </w:p>
        </w:tc>
        <w:tc>
          <w:tcPr/>
          <w:p>
            <w:pPr>
              <w:pStyle w:val="Compact"/>
              <w:jc w:val="left"/>
            </w:pPr>
            <w:r>
              <w:t xml:space="preserve">SDCL §§ 13-3-51, 13-3-51.1 (agg.)</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N</w:t>
            </w:r>
          </w:p>
        </w:tc>
      </w:tr>
      <w:tr>
        <w:tc>
          <w:tcPr/>
          <w:p>
            <w:pPr>
              <w:pStyle w:val="Compact"/>
              <w:jc w:val="left"/>
            </w:pPr>
            <w:r>
              <w:t xml:space="preserve">Tennessee</w:t>
            </w:r>
          </w:p>
        </w:tc>
        <w:tc>
          <w:tcPr/>
          <w:p>
            <w:pPr>
              <w:pStyle w:val="Compact"/>
              <w:jc w:val="left"/>
            </w:pPr>
            <w:r>
              <w:rPr>
                <w:bCs/>
                <w:b/>
              </w:rPr>
              <w:t xml:space="preserve">T.C.A. §§ 49-1-701–708</w:t>
            </w:r>
            <w:r>
              <w:t xml:space="preserve">, incl. § 49-1-708</w:t>
            </w:r>
          </w:p>
        </w:tc>
        <w:tc>
          <w:tcPr/>
          <w:p>
            <w:pPr>
              <w:pStyle w:val="Compact"/>
              <w:jc w:val="left"/>
            </w:pPr>
            <w:r>
              <w:t xml:space="preserve">ja — TIPA, 1.7.2025</w:t>
            </w:r>
          </w:p>
        </w:tc>
        <w:tc>
          <w:tcPr/>
          <w:p>
            <w:pPr>
              <w:pStyle w:val="Compact"/>
              <w:jc w:val="left"/>
            </w:pPr>
            <w:r>
              <w:t xml:space="preserve">Bezirks-KI-Richtlinien und Jahresberichte (Paragraph für Schulbezirke unverifiziert)</w:t>
            </w:r>
          </w:p>
        </w:tc>
        <w:tc>
          <w:tcPr/>
          <w:p>
            <w:pPr>
              <w:pStyle w:val="Compact"/>
              <w:jc w:val="left"/>
            </w:pPr>
            <w:r>
              <w:t xml:space="preserve">N laut Tracker — widerspricht dem gesetzlichen Auftrag; vermerkt</w:t>
            </w:r>
          </w:p>
        </w:tc>
      </w:tr>
      <w:tr>
        <w:tc>
          <w:tcPr/>
          <w:p>
            <w:pPr>
              <w:pStyle w:val="Compact"/>
              <w:jc w:val="left"/>
            </w:pPr>
            <w:r>
              <w:t xml:space="preserve">Texas</w:t>
            </w:r>
          </w:p>
        </w:tc>
        <w:tc>
          <w:tcPr/>
          <w:p>
            <w:pPr>
              <w:pStyle w:val="Compact"/>
              <w:jc w:val="left"/>
            </w:pPr>
            <w:r>
              <w:rPr>
                <w:bCs/>
                <w:b/>
              </w:rPr>
              <w:t xml:space="preserve">Educ. Code ch. 32, Subchapter D, §§ 32.151–32.156</w:t>
            </w:r>
            <w:r>
              <w:t xml:space="preserve"> </w:t>
            </w:r>
            <w:r>
              <w:t xml:space="preserve">(nicht Subch. C); HB 18 (2023)</w:t>
            </w:r>
          </w:p>
        </w:tc>
        <w:tc>
          <w:tcPr/>
          <w:p>
            <w:pPr>
              <w:pStyle w:val="Compact"/>
              <w:jc w:val="left"/>
            </w:pPr>
            <w:r>
              <w:t xml:space="preserve">ja — TDPSA, 1.7.2024</w:t>
            </w:r>
          </w:p>
        </w:tc>
        <w:tc>
          <w:tcPr/>
          <w:p>
            <w:pPr>
              <w:pStyle w:val="Compact"/>
              <w:jc w:val="left"/>
            </w:pPr>
            <w:r>
              <w:rPr>
                <w:bCs/>
                <w:b/>
              </w:rPr>
              <w:t xml:space="preserve">TRAIGA / HB 149, ab 1.1.2026</w:t>
            </w:r>
            <w:r>
              <w:t xml:space="preserve"> </w:t>
            </w:r>
            <w:r>
              <w:t xml:space="preserve">(vorsatzbasierter Diskriminierungsmaßstab); CUBI</w:t>
            </w:r>
          </w:p>
        </w:tc>
        <w:tc>
          <w:tcPr/>
          <w:p>
            <w:pPr>
              <w:pStyle w:val="Compact"/>
              <w:jc w:val="left"/>
            </w:pPr>
            <w:r>
              <w:t xml:space="preserve">N</w:t>
            </w:r>
          </w:p>
        </w:tc>
      </w:tr>
      <w:tr>
        <w:tc>
          <w:tcPr/>
          <w:p>
            <w:pPr>
              <w:pStyle w:val="Compact"/>
              <w:jc w:val="left"/>
            </w:pPr>
            <w:r>
              <w:t xml:space="preserve">Utah</w:t>
            </w:r>
          </w:p>
        </w:tc>
        <w:tc>
          <w:tcPr/>
          <w:p>
            <w:pPr>
              <w:pStyle w:val="Compact"/>
              <w:jc w:val="left"/>
            </w:pPr>
            <w:r>
              <w:rPr>
                <w:bCs/>
                <w:b/>
              </w:rPr>
              <w:t xml:space="preserve">Student Data Protection Act, Utah Code §§ 53E-9-301 ff., esp. § 53E-9-309; HB 55 (2026), ab 1.7.2026</w:t>
            </w:r>
          </w:p>
        </w:tc>
        <w:tc>
          <w:tcPr/>
          <w:p>
            <w:pPr>
              <w:pStyle w:val="Compact"/>
              <w:jc w:val="left"/>
            </w:pPr>
            <w:r>
              <w:t xml:space="preserve">ja — UCPA, 31.12.2023; Berichtigungsrecht ergänzt zum 1.7.2026</w:t>
            </w:r>
          </w:p>
        </w:tc>
        <w:tc>
          <w:tcPr/>
          <w:p>
            <w:pPr>
              <w:pStyle w:val="Compact"/>
              <w:jc w:val="left"/>
            </w:pPr>
            <w:r>
              <w:t xml:space="preserve">AI Policy Act (SB 149, i.d.F. der Änderungen);</w:t>
            </w:r>
            <w:r>
              <w:t xml:space="preserve"> </w:t>
            </w:r>
            <w:r>
              <w:rPr>
                <w:bCs/>
                <w:b/>
              </w:rPr>
              <w:t xml:space="preserve">HB 273 (2026)</w:t>
            </w:r>
            <w:r>
              <w:t xml:space="preserve">; HB 218</w:t>
            </w:r>
          </w:p>
        </w:tc>
        <w:tc>
          <w:tcPr/>
          <w:p>
            <w:pPr>
              <w:pStyle w:val="Compact"/>
              <w:jc w:val="left"/>
            </w:pPr>
            <w:r>
              <w:t xml:space="preserve">J (allgemein)</w:t>
            </w:r>
          </w:p>
        </w:tc>
      </w:tr>
      <w:tr>
        <w:tc>
          <w:tcPr/>
          <w:p>
            <w:pPr>
              <w:pStyle w:val="Compact"/>
              <w:jc w:val="left"/>
            </w:pPr>
            <w:r>
              <w:t xml:space="preserve">Vermont</w:t>
            </w:r>
          </w:p>
        </w:tc>
        <w:tc>
          <w:tcPr/>
          <w:p>
            <w:pPr>
              <w:pStyle w:val="Compact"/>
              <w:jc w:val="left"/>
            </w:pPr>
            <w:r>
              <w:t xml:space="preserve">16 V.S.A. § 2773a (agg.)</w:t>
            </w:r>
          </w:p>
        </w:tc>
        <w:tc>
          <w:tcPr/>
          <w:p>
            <w:pPr>
              <w:pStyle w:val="Compact"/>
              <w:jc w:val="left"/>
            </w:pPr>
            <w:r>
              <w:t xml:space="preserve">nein —</w:t>
            </w:r>
            <w:r>
              <w:t xml:space="preserve"> </w:t>
            </w:r>
            <w:r>
              <w:rPr>
                <w:bCs/>
                <w:b/>
              </w:rPr>
              <w:t xml:space="preserve">VDPOSA (S.71) ab 1.1.2028</w:t>
            </w:r>
          </w:p>
        </w:tc>
        <w:tc>
          <w:tcPr/>
          <w:p>
            <w:pPr>
              <w:pStyle w:val="Compact"/>
              <w:jc w:val="left"/>
            </w:pPr>
            <w:r>
              <w:t xml:space="preserve">keine</w:t>
            </w:r>
          </w:p>
        </w:tc>
        <w:tc>
          <w:tcPr/>
          <w:p>
            <w:pPr>
              <w:pStyle w:val="Compact"/>
              <w:jc w:val="left"/>
            </w:pPr>
            <w:r>
              <w:t xml:space="preserve">J — Lehrkräfte müssen alle Ausgaben prüfen</w:t>
            </w:r>
          </w:p>
        </w:tc>
      </w:tr>
      <w:tr>
        <w:tc>
          <w:tcPr/>
          <w:p>
            <w:pPr>
              <w:pStyle w:val="Compact"/>
              <w:jc w:val="left"/>
            </w:pPr>
            <w:r>
              <w:t xml:space="preserve">Virginia</w:t>
            </w:r>
          </w:p>
        </w:tc>
        <w:tc>
          <w:tcPr/>
          <w:p>
            <w:pPr>
              <w:pStyle w:val="Compact"/>
              <w:jc w:val="left"/>
            </w:pPr>
            <w:r>
              <w:rPr>
                <w:bCs/>
                <w:b/>
              </w:rPr>
              <w:t xml:space="preserve">Va. Code § 22.1-289.01</w:t>
            </w:r>
            <w:r>
              <w:t xml:space="preserve">; § 22.1-287.02</w:t>
            </w:r>
          </w:p>
        </w:tc>
        <w:tc>
          <w:tcPr/>
          <w:p>
            <w:pPr>
              <w:pStyle w:val="Compact"/>
              <w:jc w:val="left"/>
            </w:pPr>
            <w:r>
              <w:t xml:space="preserve">ja — VCDPA, 1.1.2023</w:t>
            </w:r>
          </w:p>
        </w:tc>
        <w:tc>
          <w:tcPr/>
          <w:p>
            <w:pPr>
              <w:pStyle w:val="Compact"/>
              <w:jc w:val="left"/>
            </w:pPr>
            <w:r>
              <w:rPr>
                <w:bCs/>
                <w:b/>
              </w:rPr>
              <w:t xml:space="preserve">HB 1186 (2026), ab 1.7.2026</w:t>
            </w:r>
            <w:r>
              <w:t xml:space="preserve"> </w:t>
            </w:r>
            <w:r>
              <w:t xml:space="preserve">— Leitlinie muss FERPA, COPPA, Bias und</w:t>
            </w:r>
            <w:r>
              <w:t xml:space="preserve"> </w:t>
            </w:r>
            <w:r>
              <w:rPr>
                <w:bCs/>
                <w:b/>
              </w:rPr>
              <w:t xml:space="preserve">folgenreiche Entscheidungen</w:t>
            </w:r>
            <w:r>
              <w:t xml:space="preserve"> </w:t>
            </w:r>
            <w:r>
              <w:t xml:space="preserve">adressieren</w:t>
            </w:r>
          </w:p>
        </w:tc>
        <w:tc>
          <w:tcPr/>
          <w:p>
            <w:pPr>
              <w:pStyle w:val="Compact"/>
              <w:jc w:val="left"/>
            </w:pPr>
            <w:r>
              <w:t xml:space="preserve">J (allgemein)</w:t>
            </w:r>
          </w:p>
        </w:tc>
      </w:tr>
      <w:tr>
        <w:tc>
          <w:tcPr/>
          <w:p>
            <w:pPr>
              <w:pStyle w:val="Compact"/>
              <w:jc w:val="left"/>
            </w:pPr>
            <w:r>
              <w:t xml:space="preserve">Washington</w:t>
            </w:r>
          </w:p>
        </w:tc>
        <w:tc>
          <w:tcPr/>
          <w:p>
            <w:pPr>
              <w:pStyle w:val="Compact"/>
              <w:jc w:val="left"/>
            </w:pPr>
            <w:r>
              <w:rPr>
                <w:bCs/>
                <w:b/>
              </w:rPr>
              <w:t xml:space="preserve">Student User Privacy in Education Rights Act, RCW ch. 28A.604</w:t>
            </w:r>
          </w:p>
        </w:tc>
        <w:tc>
          <w:tcPr/>
          <w:p>
            <w:pPr>
              <w:pStyle w:val="Compact"/>
              <w:jc w:val="left"/>
            </w:pPr>
            <w:r>
              <w:t xml:space="preserve">nein</w:t>
            </w:r>
          </w:p>
        </w:tc>
        <w:tc>
          <w:tcPr/>
          <w:p>
            <w:pPr>
              <w:pStyle w:val="Compact"/>
              <w:jc w:val="left"/>
            </w:pPr>
            <w:r>
              <w:t xml:space="preserve">HB 2225 (Begleit-Chatbots — nicht anwendbar)</w:t>
            </w:r>
          </w:p>
        </w:tc>
        <w:tc>
          <w:tcPr/>
          <w:p>
            <w:pPr>
              <w:pStyle w:val="Compact"/>
              <w:jc w:val="left"/>
            </w:pPr>
            <w:r>
              <w:t xml:space="preserve">J — „Human–AI–Human“-Modell</w:t>
            </w:r>
          </w:p>
        </w:tc>
      </w:tr>
      <w:tr>
        <w:tc>
          <w:tcPr/>
          <w:p>
            <w:pPr>
              <w:pStyle w:val="Compact"/>
              <w:jc w:val="left"/>
            </w:pPr>
            <w:r>
              <w:t xml:space="preserve">West Virginia</w:t>
            </w:r>
          </w:p>
        </w:tc>
        <w:tc>
          <w:tcPr/>
          <w:p>
            <w:pPr>
              <w:pStyle w:val="Compact"/>
              <w:jc w:val="left"/>
            </w:pPr>
            <w:r>
              <w:t xml:space="preserve">W. Va. Code § 18-2-5h</w:t>
            </w:r>
          </w:p>
        </w:tc>
        <w:tc>
          <w:tcPr/>
          <w:p>
            <w:pPr>
              <w:pStyle w:val="Compact"/>
              <w:jc w:val="left"/>
            </w:pPr>
            <w:r>
              <w:t xml:space="preserve">nein</w:t>
            </w:r>
          </w:p>
        </w:tc>
        <w:tc>
          <w:tcPr/>
          <w:p>
            <w:pPr>
              <w:pStyle w:val="Compact"/>
              <w:jc w:val="left"/>
            </w:pPr>
            <w:r>
              <w:t xml:space="preserve">HB 5205 (2026) — berichtet: untersagt KI, „independently making high-stakes student decisions“;</w:t>
            </w:r>
            <w:r>
              <w:t xml:space="preserve"> </w:t>
            </w:r>
            <w:r>
              <w:rPr>
                <w:bCs/>
                <w:b/>
              </w:rPr>
              <w:t xml:space="preserve">Status unverifiziert</w:t>
            </w:r>
          </w:p>
        </w:tc>
        <w:tc>
          <w:tcPr/>
          <w:p>
            <w:pPr>
              <w:pStyle w:val="Compact"/>
              <w:jc w:val="left"/>
            </w:pPr>
            <w:r>
              <w:t xml:space="preserve">J (allgemein)</w:t>
            </w:r>
          </w:p>
        </w:tc>
      </w:tr>
      <w:tr>
        <w:tc>
          <w:tcPr/>
          <w:p>
            <w:pPr>
              <w:pStyle w:val="Compact"/>
              <w:jc w:val="left"/>
            </w:pPr>
            <w:r>
              <w:t xml:space="preserve">Wisconsin</w:t>
            </w:r>
          </w:p>
        </w:tc>
        <w:tc>
          <w:tcPr/>
          <w:p>
            <w:pPr>
              <w:pStyle w:val="Compact"/>
              <w:jc w:val="left"/>
            </w:pPr>
            <w:r>
              <w:t xml:space="preserve">Wis. Stat. § 118.125 (Schülerakten)</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(allgemein)</w:t>
            </w:r>
          </w:p>
        </w:tc>
      </w:tr>
      <w:tr>
        <w:tc>
          <w:tcPr/>
          <w:p>
            <w:pPr>
              <w:pStyle w:val="Compact"/>
              <w:jc w:val="left"/>
            </w:pPr>
            <w:r>
              <w:t xml:space="preserve">Wyoming</w:t>
            </w:r>
          </w:p>
        </w:tc>
        <w:tc>
          <w:tcPr/>
          <w:p>
            <w:pPr>
              <w:pStyle w:val="Compact"/>
              <w:jc w:val="left"/>
            </w:pPr>
            <w:r>
              <w:t xml:space="preserve">keine spezifische (agg.)</w:t>
            </w:r>
          </w:p>
        </w:tc>
        <w:tc>
          <w:tcPr/>
          <w:p>
            <w:pPr>
              <w:pStyle w:val="Compact"/>
              <w:jc w:val="left"/>
            </w:pPr>
            <w:r>
              <w:t xml:space="preserve">nein</w:t>
            </w:r>
          </w:p>
        </w:tc>
        <w:tc>
          <w:tcPr/>
          <w:p>
            <w:pPr>
              <w:pStyle w:val="Compact"/>
              <w:jc w:val="left"/>
            </w:pPr>
            <w:r>
              <w:t xml:space="preserve">keine</w:t>
            </w:r>
          </w:p>
        </w:tc>
        <w:tc>
          <w:tcPr/>
          <w:p>
            <w:pPr>
              <w:pStyle w:val="Compact"/>
              <w:jc w:val="left"/>
            </w:pPr>
            <w:r>
              <w:t xml:space="preserve">J (allgemein)</w:t>
            </w:r>
          </w:p>
        </w:tc>
      </w:tr>
    </w:tbl>
    <w:p>
      <w:pPr>
        <w:pStyle w:val="BodyText"/>
      </w:pPr>
      <w:r>
        <w:rPr>
          <w:bCs/>
          <w:b/>
        </w:rPr>
        <w:t xml:space="preserve">Drei Korrekturen an verbreiteten Trackern.</w:t>
      </w:r>
      <w:r>
        <w:t xml:space="preserve"> </w:t>
      </w:r>
      <w:r>
        <w:t xml:space="preserve">Illinois hat</w:t>
      </w:r>
      <w:r>
        <w:t xml:space="preserve"> </w:t>
      </w:r>
      <w:r>
        <w:rPr>
          <w:bCs/>
          <w:b/>
        </w:rPr>
        <w:t xml:space="preserve">kein</w:t>
      </w:r>
      <w:r>
        <w:t xml:space="preserve"> </w:t>
      </w:r>
      <w:r>
        <w:t xml:space="preserve">allgemeines Verbraucherdatenschutzgesetz (ein häufig kursierender gegenteiliger Eintrag gehört zu Indianas SB 5). Das für Arkansas behauptete allgemeine Gesetz wird vom IAPP-Tracker nicht geführt und ist als nicht in Kraft zu behandeln; nachweisbar hat Arkansas ein Kinder- und Jugendonlinedatenschutzgesetz mit Änderungen zum 1. Juli 2026. Und South Carolina H.5253 wird von mindestens einem Tracker als verabschiedet geführt, die Seite des Parlaments weist jedoch Einbringung am 24. Februar 2026 und Verbleib im Ausschuss aus — die Primärquelle gilt, und darauf sollte keine Planung gestützt werden.</w:t>
      </w:r>
    </w:p>
    <w:bookmarkEnd w:id="185"/>
    <w:bookmarkEnd w:id="186"/>
    <w:bookmarkStart w:id="190" w:name="konsolidierte-compliance-anforderungen"/>
    <w:p>
      <w:pPr>
        <w:pStyle w:val="Heading2"/>
      </w:pPr>
      <w:r>
        <w:t xml:space="preserve">12. Konsolidierte Compliance-Anforderungen</w:t>
      </w:r>
    </w:p>
    <w:p>
      <w:pPr>
        <w:pStyle w:val="FirstParagraph"/>
      </w:pPr>
      <w:r>
        <w:t xml:space="preserve">Die nachstehenden Anforderungen sind dem Recht aller drei Rechtsräume entnommen und als Pflichten eines KI-gestützten Prüfungsbewertungssystems und der es einsetzenden Institution formuliert. Viele von ihnen treten in allen drei Rechtsräumen auf, erreicht über verschiedene rechtliche Wege.</w:t>
      </w:r>
    </w:p>
    <w:bookmarkStart w:id="187" w:name="zwingende-anforderungen"/>
    <w:p>
      <w:pPr>
        <w:pStyle w:val="Heading3"/>
      </w:pPr>
      <w:r>
        <w:t xml:space="preserve">12.1 Zwingende Anforderungen</w:t>
      </w:r>
    </w:p>
    <w:p>
      <w:pPr>
        <w:numPr>
          <w:ilvl w:val="0"/>
          <w:numId w:val="1051"/>
        </w:numPr>
        <w:pStyle w:val="Compact"/>
      </w:pPr>
      <w:r>
        <w:rPr>
          <w:bCs/>
          <w:b/>
        </w:rPr>
        <w:t xml:space="preserve">Keine automatische, Massen- oder Timeout-Übernahme — in keinem Rechtsraum.</w:t>
      </w:r>
      <w:r>
        <w:t xml:space="preserve"> </w:t>
      </w:r>
      <w:r>
        <w:t xml:space="preserve">Einzelprüfung mit</w:t>
      </w:r>
      <w:r>
        <w:t xml:space="preserve"> </w:t>
      </w:r>
      <w:r>
        <w:rPr>
          <w:bCs/>
          <w:b/>
        </w:rPr>
        <w:t xml:space="preserve">Arbeit und Vorschlag nebeneinander</w:t>
      </w:r>
      <w:r>
        <w:t xml:space="preserve">, und keine Note eintragbar ohne sichtbare Arbeit. Erfüllt: Art. 22 DSGVO/WP251; den DSK-Maßstab des tatsächlichen Entscheidungsspielraums; das BVerwG-Gebot der persönlichen, unmittelbaren und vollständigen Kenntnisnahme; Art. 22A UK und die entscheidungsbezogene Anforderung des ICO-Entwurfs; die JCQ-Vorgabe</w:t>
      </w:r>
      <w:r>
        <w:t xml:space="preserve"> </w:t>
      </w:r>
      <w:r>
        <w:rPr>
          <w:iCs/>
          <w:i/>
        </w:rPr>
        <w:t xml:space="preserve">„review all the work in its entirety”</w:t>
      </w:r>
      <w:r>
        <w:t xml:space="preserve">; den kalifornischen ADMT-Safe-Harbour; Colorados aussagekräftige menschliche Prüfung; und Oklahoma SB 1734.</w:t>
      </w:r>
    </w:p>
    <w:p>
      <w:pPr>
        <w:numPr>
          <w:ilvl w:val="0"/>
          <w:numId w:val="1051"/>
        </w:numPr>
        <w:pStyle w:val="Compact"/>
      </w:pPr>
      <w:r>
        <w:rPr>
          <w:bCs/>
          <w:b/>
        </w:rPr>
        <w:t xml:space="preserve">Von der Lehrkraft erstellte Bewertungsraster.</w:t>
      </w:r>
      <w:r>
        <w:t xml:space="preserve"> </w:t>
      </w:r>
      <w:r>
        <w:t xml:space="preserve">Das Modell wendet das Raster des Prüfers an; es liefert keines. Gefordert durch die deutsche Doktrin des autonomen Bezugssystems und mit den Anforderungen der beiden anderen Rechtsräume vereinbar.</w:t>
      </w:r>
    </w:p>
    <w:p>
      <w:pPr>
        <w:numPr>
          <w:ilvl w:val="0"/>
          <w:numId w:val="1051"/>
        </w:numPr>
        <w:pStyle w:val="Compact"/>
      </w:pPr>
      <w:r>
        <w:rPr>
          <w:bCs/>
          <w:b/>
        </w:rPr>
        <w:t xml:space="preserve">Deterministische, reproduzierbare Bewertung über einen Stapel.</w:t>
      </w:r>
      <w:r>
        <w:t xml:space="preserve"> </w:t>
      </w:r>
      <w:r>
        <w:t xml:space="preserve">Ein Modell, das dieselbe Arbeit in zwei Durchläufen unterschiedlich bewertet, erzeugt einen Chancengleichheitsmangel nach Art. 3 Abs. 1 GG und einen Richtigkeitsmangel nach Art. 5 Abs. 1 Buchst. d DSGVO und Art. 15 KI-VO. Eine Engineering-Vorgabe verfassungsrechtlichen Ursprungs.</w:t>
      </w:r>
    </w:p>
    <w:p>
      <w:pPr>
        <w:numPr>
          <w:ilvl w:val="0"/>
          <w:numId w:val="1051"/>
        </w:numPr>
        <w:pStyle w:val="Compact"/>
      </w:pPr>
      <w:r>
        <w:rPr>
          <w:bCs/>
          <w:b/>
        </w:rPr>
        <w:t xml:space="preserve">Modelltraining auf Kundeninhalten standardmäßig AUS</w:t>
      </w:r>
      <w:r>
        <w:t xml:space="preserve">, mandantenweise schaltbar, vertraglich und technisch durchgesetzt. Gefordert oder nahegelegt durch: Zweckbindung und EDSA-Stellungnahme 28/2024; FERPA § 99.33(a)(2); COPPA § 312.10; kalifornisches SOPIPA; den IP-Standard des DfE und dessen veröffentlichtes Beispiel einer Schule, die genau deswegen einen Anbieter ablehnt; und die ICO-EdTech-Befunde. Der alternative Weg ist ein begrenztes, freiwilliges</w:t>
      </w:r>
      <w:r>
        <w:t xml:space="preserve"> </w:t>
      </w:r>
      <w:r>
        <w:rPr>
          <w:bCs/>
          <w:b/>
        </w:rPr>
        <w:t xml:space="preserve">Validierungs-/Kalibrierungsinstrument</w:t>
      </w:r>
      <w:r>
        <w:t xml:space="preserve"> </w:t>
      </w:r>
      <w:r>
        <w:t xml:space="preserve">(FERPA § 99.31(a)(6) ist das sauberste Vehikel).</w:t>
      </w:r>
    </w:p>
    <w:p>
      <w:pPr>
        <w:numPr>
          <w:ilvl w:val="0"/>
          <w:numId w:val="1051"/>
        </w:numPr>
        <w:pStyle w:val="Compact"/>
      </w:pPr>
      <w:r>
        <w:rPr>
          <w:bCs/>
          <w:b/>
        </w:rPr>
        <w:t xml:space="preserve">EU-/UK-Datenresidenz als Option und Zero-Retention-Modellendpunkte</w:t>
      </w:r>
      <w:r>
        <w:t xml:space="preserve">, so dass kein Angemessenheitsbeschluss tragend ist.</w:t>
      </w:r>
    </w:p>
    <w:p>
      <w:pPr>
        <w:numPr>
          <w:ilvl w:val="0"/>
          <w:numId w:val="1051"/>
        </w:numPr>
        <w:pStyle w:val="Compact"/>
      </w:pPr>
      <w:r>
        <w:rPr>
          <w:bCs/>
          <w:b/>
        </w:rPr>
        <w:t xml:space="preserve">Prüfpfad je Arbeit, dauerhaft, exportierbar und archivierbar:</w:t>
      </w:r>
      <w:r>
        <w:t xml:space="preserve"> </w:t>
      </w:r>
      <w:r>
        <w:t xml:space="preserve">Originalscan, Rasterversion</w:t>
      </w:r>
      <w:r>
        <w:t xml:space="preserve"> </w:t>
      </w:r>
      <w:r>
        <w:rPr>
          <w:bCs/>
          <w:b/>
        </w:rPr>
        <w:t xml:space="preserve">und Kriteriengewichtungen</w:t>
      </w:r>
      <w:r>
        <w:t xml:space="preserve">, Modellversion, Vorschlag und Begründung,</w:t>
      </w:r>
      <w:r>
        <w:t xml:space="preserve"> </w:t>
      </w:r>
      <w:r>
        <w:rPr>
          <w:bCs/>
          <w:b/>
        </w:rPr>
        <w:t xml:space="preserve">welche Vorschläge die Lehrkraft übernommen und welche sie geändert hat</w:t>
      </w:r>
      <w:r>
        <w:t xml:space="preserve">, die eigenen Gründe der Lehrkraft, Endnote, Prüferidentität und Zeitstempel. Die Aufbewahrung muss einen Widerspruch und eine etwaige gerichtliche Überprüfung überdauern — die vlbs-Stellungnahme zur NRW-Anhörung verlangt genau diese Liste einschließlich Archivierung, womit es sich um eine veröffentlichte Sektoranforderung und nicht um eine Schlussfolgerung handelt. Dieses eine Artefakt beantwortet Art. 12 KI-VO, das Überdenkensverfahren, die Frage der aussagekräftigen Prüfung nach Art. 22, die US-Akkreditierung und „regular and substantive interaction” sowie jede Datenschutzprüfung eines Schulbezirks.</w:t>
      </w:r>
    </w:p>
    <w:p>
      <w:pPr>
        <w:numPr>
          <w:ilvl w:val="0"/>
          <w:numId w:val="1051"/>
        </w:numPr>
        <w:pStyle w:val="Compact"/>
      </w:pPr>
      <w:r>
        <w:rPr>
          <w:bCs/>
          <w:b/>
        </w:rPr>
        <w:t xml:space="preserve">Gemessene Änderungs- und Abweichungsquoten — ausschließlich aggregiert.</w:t>
      </w:r>
      <w:r>
        <w:t xml:space="preserve"> </w:t>
      </w:r>
      <w:r>
        <w:t xml:space="preserve">Sie gehören zu den aussagekräftigsten verfügbaren Compliance-Artefakten und sind entsprechend sensibel bei Offenlegung je Lehrkraft (Mitbestimmung). Aggregiert, k-anonymisiert, bei der Einführung abschaltbar.</w:t>
      </w:r>
    </w:p>
    <w:p>
      <w:pPr>
        <w:numPr>
          <w:ilvl w:val="0"/>
          <w:numId w:val="1051"/>
        </w:numPr>
        <w:pStyle w:val="Compact"/>
      </w:pPr>
      <w:r>
        <w:rPr>
          <w:bCs/>
          <w:b/>
        </w:rPr>
        <w:t xml:space="preserve">Kalibrierte Konfidenz, nie unbegründete Sicherheit.</w:t>
      </w:r>
      <w:r>
        <w:t xml:space="preserve"> </w:t>
      </w:r>
      <w:r>
        <w:t xml:space="preserve">Gefordert durch den DfE-Manipulationsstandard für lehrkraftseitige Produkte. Positionen niedriger Konfidenz zwingend markieren; eine Note ist nie als feststehend darzustellen.</w:t>
      </w:r>
    </w:p>
    <w:p>
      <w:pPr>
        <w:numPr>
          <w:ilvl w:val="0"/>
          <w:numId w:val="1051"/>
        </w:numPr>
        <w:pStyle w:val="Compact"/>
      </w:pPr>
      <w:r>
        <w:rPr>
          <w:bCs/>
          <w:b/>
        </w:rPr>
        <w:t xml:space="preserve">Umgang mit besonderen Kategorien.</w:t>
      </w:r>
      <w:r>
        <w:t xml:space="preserve"> </w:t>
      </w:r>
      <w:r>
        <w:t xml:space="preserve">Es ist davon auszugehen, dass Arbeiten Art.-9-Daten enthalten. Es darf kein Pfad bestehen, auf dem eine ausschließlich automatisierte erhebliche Entscheidung über solche Daten erfolgen kann (Art. 22B UK). Felder besonderer Kategorien optional und standardmäßig deaktiviert.</w:t>
      </w:r>
    </w:p>
    <w:p>
      <w:pPr>
        <w:numPr>
          <w:ilvl w:val="0"/>
          <w:numId w:val="1051"/>
        </w:numPr>
        <w:pStyle w:val="Compact"/>
      </w:pPr>
      <w:r>
        <w:rPr>
          <w:bCs/>
          <w:b/>
        </w:rPr>
        <w:t xml:space="preserve">Schülerbezogene Rasteranpassung</w:t>
      </w:r>
      <w:r>
        <w:t xml:space="preserve">, belegbar. Ohne sie kann das System weder einen 504-Plan noch einen SEND-Nachteilsausgleich noch einen deutschen Nachteilsausgleich umsetzen.</w:t>
      </w:r>
    </w:p>
    <w:p>
      <w:pPr>
        <w:numPr>
          <w:ilvl w:val="0"/>
          <w:numId w:val="1051"/>
        </w:numPr>
        <w:pStyle w:val="Compact"/>
      </w:pPr>
      <w:r>
        <w:rPr>
          <w:bCs/>
          <w:b/>
        </w:rPr>
        <w:t xml:space="preserve">Getippte Arbeiten identisch bewerten wie handschriftliche</w:t>
      </w:r>
      <w:r>
        <w:t xml:space="preserve"> </w:t>
      </w:r>
      <w:r>
        <w:t xml:space="preserve">— Schreibkraft oder Textverarbeitung sind ein Nachteilsausgleich, keine andere Prüfung.</w:t>
      </w:r>
    </w:p>
    <w:p>
      <w:pPr>
        <w:numPr>
          <w:ilvl w:val="0"/>
          <w:numId w:val="1051"/>
        </w:numPr>
        <w:pStyle w:val="Compact"/>
      </w:pPr>
      <w:r>
        <w:rPr>
          <w:bCs/>
          <w:b/>
        </w:rPr>
        <w:t xml:space="preserve">Konfidenzuntergrenze bei der Transkription.</w:t>
      </w:r>
      <w:r>
        <w:t xml:space="preserve"> </w:t>
      </w:r>
      <w:r>
        <w:t xml:space="preserve">Arbeiten unterhalb der Schwelle werden nie bewertet, sondern mit Originalbild an die Lehrkraft geleitet.</w:t>
      </w:r>
    </w:p>
    <w:p>
      <w:pPr>
        <w:numPr>
          <w:ilvl w:val="0"/>
          <w:numId w:val="1051"/>
        </w:numPr>
        <w:pStyle w:val="Compact"/>
      </w:pPr>
      <w:r>
        <w:rPr>
          <w:bCs/>
          <w:b/>
        </w:rPr>
        <w:t xml:space="preserve">Harte architektonische Sperren</w:t>
      </w:r>
      <w:r>
        <w:t xml:space="preserve">, technisch durchgesetzt und nicht als Policy:</w:t>
      </w:r>
      <w:r>
        <w:t xml:space="preserve"> </w:t>
      </w:r>
      <w:r>
        <w:rPr>
          <w:bCs/>
          <w:b/>
        </w:rPr>
        <w:t xml:space="preserve">keine Emotions- oder Affektableitung</w:t>
      </w:r>
      <w:r>
        <w:t xml:space="preserve"> </w:t>
      </w:r>
      <w:r>
        <w:t xml:space="preserve">(Art. 5 Abs. 1 Buchst. f KI-VO, verboten, Stufe 35 Mio. €/7 %; PPRA Kategorie 2);</w:t>
      </w:r>
      <w:r>
        <w:t xml:space="preserve"> </w:t>
      </w:r>
      <w:r>
        <w:rPr>
          <w:bCs/>
          <w:b/>
        </w:rPr>
        <w:t xml:space="preserve">keine Verarbeitung von Gesichtsgeometrie</w:t>
      </w:r>
      <w:r>
        <w:t xml:space="preserve"> </w:t>
      </w:r>
      <w:r>
        <w:t xml:space="preserve">(BIPA);</w:t>
      </w:r>
      <w:r>
        <w:t xml:space="preserve"> </w:t>
      </w:r>
      <w:r>
        <w:rPr>
          <w:bCs/>
          <w:b/>
        </w:rPr>
        <w:t xml:space="preserve">keine Schreiberverifikation oder handschriftbasierte Identifikation</w:t>
      </w:r>
      <w:r>
        <w:t xml:space="preserve"> </w:t>
      </w:r>
      <w:r>
        <w:t xml:space="preserve">ohne vollständige Neubewertung nach Art. 9 DSGVO und KI-VO-Biometrie;</w:t>
      </w:r>
      <w:r>
        <w:t xml:space="preserve"> </w:t>
      </w:r>
      <w:r>
        <w:rPr>
          <w:bCs/>
          <w:b/>
        </w:rPr>
        <w:t xml:space="preserve">kein schülerseitiger Inhaltsaustausch und keine Live-Websuche</w:t>
      </w:r>
      <w:r>
        <w:t xml:space="preserve"> </w:t>
      </w:r>
      <w:r>
        <w:t xml:space="preserve">(UK Online Safety Act);</w:t>
      </w:r>
      <w:r>
        <w:t xml:space="preserve"> </w:t>
      </w:r>
      <w:r>
        <w:rPr>
          <w:bCs/>
          <w:b/>
        </w:rPr>
        <w:t xml:space="preserve">kein Leistungsreporting je Lehrkraft</w:t>
      </w:r>
      <w:r>
        <w:t xml:space="preserve"> </w:t>
      </w:r>
      <w:r>
        <w:t xml:space="preserve">als Standard.</w:t>
      </w:r>
    </w:p>
    <w:p>
      <w:pPr>
        <w:numPr>
          <w:ilvl w:val="0"/>
          <w:numId w:val="1051"/>
        </w:numPr>
        <w:pStyle w:val="Compact"/>
      </w:pPr>
      <w:r>
        <w:rPr>
          <w:bCs/>
          <w:b/>
        </w:rPr>
        <w:t xml:space="preserve">Keine fremden Unterrichtsmaterialien ins Modell ohne geklärte Lizenzlage.</w:t>
      </w:r>
      <w:r>
        <w:t xml:space="preserve"> </w:t>
      </w:r>
      <w:r>
        <w:t xml:space="preserve">Die GEW-Stellungnahme zur NRW-Anhörung wirft urheberrechtliche Fragen auf, wenn</w:t>
      </w:r>
      <w:r>
        <w:t xml:space="preserve"> </w:t>
      </w:r>
      <w:r>
        <w:rPr>
          <w:bCs/>
          <w:b/>
        </w:rPr>
        <w:t xml:space="preserve">Schulbuchinhalte</w:t>
      </w:r>
      <w:r>
        <w:t xml:space="preserve"> </w:t>
      </w:r>
      <w:r>
        <w:t xml:space="preserve">in Modelle eingegeben werden — Erwartungshorizonte, Quellenauszüge und Prüfungstexte sind häufig Verlagsmaterial. Das steht neben der im UK identifizierten Schüler-Urheberrechtsschranke (§9.5) und ist deren deutsche Entsprechung. Die Frage ist zu klären, bevor ein Erwartungshorizont hochgeladen wird, nicht danach.</w:t>
      </w:r>
    </w:p>
    <w:p>
      <w:pPr>
        <w:numPr>
          <w:ilvl w:val="0"/>
          <w:numId w:val="1051"/>
        </w:numPr>
        <w:pStyle w:val="Compact"/>
      </w:pPr>
      <w:r>
        <w:rPr>
          <w:bCs/>
          <w:b/>
        </w:rPr>
        <w:t xml:space="preserve">Stichproben ersetzen die Einzelprüfung nicht.</w:t>
      </w:r>
      <w:r>
        <w:t xml:space="preserve"> </w:t>
      </w:r>
      <w:r>
        <w:t xml:space="preserve">Sie sind die naheliegende Effizienzabkürzung und bereits umstritten: Die GEW-Stellungnahme bezweifelt, ob Stichproben die menschliche Verantwortung überhaupt wahren. Ein Stichprobenmodus sollte nicht als Standard angeboten oder eingesetzt werden.</w:t>
      </w:r>
    </w:p>
    <w:p>
      <w:pPr>
        <w:numPr>
          <w:ilvl w:val="0"/>
          <w:numId w:val="1051"/>
        </w:numPr>
        <w:pStyle w:val="Compact"/>
      </w:pPr>
      <w:r>
        <w:rPr>
          <w:bCs/>
          <w:b/>
        </w:rPr>
        <w:t xml:space="preserve">Barrierefreiheit nach EN 301 549 / WCAG 2.1 AA</w:t>
      </w:r>
      <w:r>
        <w:t xml:space="preserve">, mit aktuellem VPAT. Alternativen für eingescannte Bilder als Nicht-Text-Inhalte; keine Information allein über Farbe.</w:t>
      </w:r>
    </w:p>
    <w:bookmarkEnd w:id="187"/>
    <w:bookmarkStart w:id="188" w:name="X8a291ab247dbad5004c4f0c29f4007bddcefdb3"/>
    <w:p>
      <w:pPr>
        <w:pStyle w:val="Heading3"/>
      </w:pPr>
      <w:r>
        <w:t xml:space="preserve">12.2 Nachweis-, Dokumentations- und Assurance-Anforderungen</w:t>
      </w:r>
    </w:p>
    <w:p>
      <w:pPr>
        <w:numPr>
          <w:ilvl w:val="0"/>
          <w:numId w:val="1052"/>
        </w:numPr>
        <w:pStyle w:val="Compact"/>
      </w:pPr>
      <w:r>
        <w:rPr>
          <w:bCs/>
          <w:b/>
        </w:rPr>
        <w:t xml:space="preserve">Stratifizierte Fairness-Nachweise</w:t>
      </w:r>
      <w:r>
        <w:t xml:space="preserve"> </w:t>
      </w:r>
      <w:r>
        <w:t xml:space="preserve">nach Lesbarkeitsklasse, EAL-/Erstsprachstatus, SEND-/Nachteilsausgleichsstatus und, soweit rechtlich zulässig, ethnischer Herkunft — plus ein mandantenbezogenes Disparitäts-Dashboard. So erfüllt eine britische Schule die Public Sector Equality Duty, so beantwortet ein US-Bezirk Title-VI- und 504-Fragen, und so beantwortet ein Landesministerium die von der KMK benannte</w:t>
      </w:r>
      <w:r>
        <w:t xml:space="preserve"> </w:t>
      </w:r>
      <w:r>
        <w:rPr>
          <w:iCs/>
          <w:i/>
        </w:rPr>
        <w:t xml:space="preserve">Gefahr von Diskriminierung durch Bias</w:t>
      </w:r>
      <w:r>
        <w:t xml:space="preserve">.</w:t>
      </w:r>
      <w:r>
        <w:t xml:space="preserve"> </w:t>
      </w:r>
      <w:r>
        <w:rPr>
          <w:bCs/>
          <w:b/>
        </w:rPr>
        <w:t xml:space="preserve">Art. 4a KI-VO liefert die unionsrechtliche Grundlage für die dafür nötige Verarbeitung geschützter Merkmale.</w:t>
      </w:r>
    </w:p>
    <w:p>
      <w:pPr>
        <w:numPr>
          <w:ilvl w:val="0"/>
          <w:numId w:val="1052"/>
        </w:numPr>
        <w:pStyle w:val="Compact"/>
      </w:pPr>
      <w:r>
        <w:rPr>
          <w:bCs/>
          <w:b/>
        </w:rPr>
        <w:t xml:space="preserve">Kombiniertes DSFA/GRFA-Paket</w:t>
      </w:r>
      <w:r>
        <w:t xml:space="preserve">, als Risiko</w:t>
      </w:r>
      <w:r>
        <w:t xml:space="preserve"> </w:t>
      </w:r>
      <w:r>
        <w:rPr>
          <w:bCs/>
          <w:b/>
        </w:rPr>
        <w:t xml:space="preserve">für Kinder</w:t>
      </w:r>
      <w:r>
        <w:t xml:space="preserve"> </w:t>
      </w:r>
      <w:r>
        <w:t xml:space="preserve">statt als Organisationsrisiko formuliert, ausdrücklich vorgesehen durch den geänderten Art. 27 Abs. 4 KI-VO. § 14 KI-MIG macht das Unterlassen der GRFA für die einsetzende Institution bußgeldbewehrt.</w:t>
      </w:r>
    </w:p>
    <w:p>
      <w:pPr>
        <w:numPr>
          <w:ilvl w:val="0"/>
          <w:numId w:val="1052"/>
        </w:numPr>
        <w:pStyle w:val="Compact"/>
      </w:pPr>
      <w:r>
        <w:rPr>
          <w:bCs/>
          <w:b/>
        </w:rPr>
        <w:t xml:space="preserve">Personalratsunterlagen: ein Informationspaket und der Entwurf einer Dienstvereinbarung.</w:t>
      </w:r>
      <w:r>
        <w:t xml:space="preserve"> </w:t>
      </w:r>
      <w:r>
        <w:t xml:space="preserve">Die Einführung eines solchen Systems in deutschen öffentlichen Schulen ist mitbestimmungspflichtig und häufig der längste Schritt einer Einführung; Personalräte befassen sich anhand eines Entwurfs.</w:t>
      </w:r>
    </w:p>
    <w:p>
      <w:pPr>
        <w:numPr>
          <w:ilvl w:val="0"/>
          <w:numId w:val="1052"/>
        </w:numPr>
        <w:pStyle w:val="Compact"/>
      </w:pPr>
      <w:r>
        <w:rPr>
          <w:bCs/>
          <w:b/>
        </w:rPr>
        <w:t xml:space="preserve">KI-Kompetenz-Schulungsmodul</w:t>
      </w:r>
      <w:r>
        <w:t xml:space="preserve">, mit dem System mitgeliefert, zu Fähigkeiten, Grenzen und</w:t>
      </w:r>
      <w:r>
        <w:t xml:space="preserve"> </w:t>
      </w:r>
      <w:r>
        <w:rPr>
          <w:bCs/>
          <w:b/>
        </w:rPr>
        <w:t xml:space="preserve">Automation Bias</w:t>
      </w:r>
      <w:r>
        <w:t xml:space="preserve">. Ein Artefakt erfüllt Art. 4 KI-VO, belegt Art. 14 Abs. 4 Buchst. a–b, stützt die Kompetenz nach Art. 26 Abs. 2 und erfüllt das Kompetenzmerkmal aus WP251.</w:t>
      </w:r>
    </w:p>
    <w:p>
      <w:pPr>
        <w:numPr>
          <w:ilvl w:val="0"/>
          <w:numId w:val="1052"/>
        </w:numPr>
        <w:pStyle w:val="Compact"/>
      </w:pPr>
      <w:r>
        <w:rPr>
          <w:bCs/>
          <w:b/>
        </w:rPr>
        <w:t xml:space="preserve">Veröffentlichte klauselweise Selbstauskunft zu den DfE Generative AI product safety standards.</w:t>
      </w:r>
      <w:r>
        <w:t xml:space="preserve"> </w:t>
      </w:r>
      <w:r>
        <w:t xml:space="preserve">Es gibt kein Zertifizierungsschema, weshalb die Einhaltung dieser Standards nur durch Selbstauskunft belegt werden kann.</w:t>
      </w:r>
    </w:p>
    <w:p>
      <w:pPr>
        <w:numPr>
          <w:ilvl w:val="0"/>
          <w:numId w:val="1052"/>
        </w:numPr>
        <w:pStyle w:val="Compact"/>
      </w:pPr>
      <w:r>
        <w:rPr>
          <w:bCs/>
          <w:b/>
        </w:rPr>
        <w:t xml:space="preserve">Empirische Nachweise zum Bias der Handschrifttranskription.</w:t>
      </w:r>
      <w:r>
        <w:t xml:space="preserve"> </w:t>
      </w:r>
      <w:r>
        <w:t xml:space="preserve">In dieser Untersuchung wurde dazu keine veröffentlichte Evidenzbasis gefunden; die von Art. 10 und Art. 15 KI-VO geforderte Genauigkeits- und Bias-Validierung kann sich daher nicht auf externe Literatur stützen und muss für die jeweilige Pipeline selbst erzeugt werden.</w:t>
      </w:r>
    </w:p>
    <w:p>
      <w:pPr>
        <w:numPr>
          <w:ilvl w:val="0"/>
          <w:numId w:val="1052"/>
        </w:numPr>
        <w:pStyle w:val="Compact"/>
      </w:pPr>
      <w:r>
        <w:rPr>
          <w:bCs/>
          <w:b/>
        </w:rPr>
        <w:t xml:space="preserve">Freiwilliger ATRS-Transparenzdatensatz</w:t>
      </w:r>
      <w:r>
        <w:t xml:space="preserve"> </w:t>
      </w:r>
      <w:r>
        <w:t xml:space="preserve">für britische öffentliche Käufer.</w:t>
      </w:r>
    </w:p>
    <w:p>
      <w:pPr>
        <w:numPr>
          <w:ilvl w:val="0"/>
          <w:numId w:val="1052"/>
        </w:numPr>
        <w:pStyle w:val="Compact"/>
      </w:pPr>
      <w:r>
        <w:rPr>
          <w:bCs/>
          <w:b/>
        </w:rPr>
        <w:t xml:space="preserve">Qualitätsmanagementsystem nach ISO/IEC 42001.</w:t>
      </w:r>
      <w:r>
        <w:t xml:space="preserve"> </w:t>
      </w:r>
      <w:r>
        <w:t xml:space="preserve">Für keine harmonisierte Norm zur KI-VO ist die Fundstelle veröffentlicht (§14, Punkt 10); ISO/IEC 42001 begründet daher keine Konformitätsvermutung und kann nur als Nachweis eines Qualitätsmanagementsystems, nicht als Konformität herangezogen werden.</w:t>
      </w:r>
    </w:p>
    <w:bookmarkEnd w:id="188"/>
    <w:bookmarkStart w:id="189" w:name="X214b03e58d4c7bea61f1fe82699c5937e45602e"/>
    <w:p>
      <w:pPr>
        <w:pStyle w:val="Heading3"/>
      </w:pPr>
      <w:r>
        <w:t xml:space="preserve">12.3 Vertragliche und organisatorische Anforderungen</w:t>
      </w:r>
    </w:p>
    <w:p>
      <w:pPr>
        <w:numPr>
          <w:ilvl w:val="0"/>
          <w:numId w:val="1053"/>
        </w:numPr>
        <w:pStyle w:val="Compact"/>
      </w:pPr>
      <w:r>
        <w:rPr>
          <w:bCs/>
          <w:b/>
        </w:rPr>
        <w:t xml:space="preserve">Nicht für die Bewertung regulierter Abschlüsse</w:t>
      </w:r>
      <w:r>
        <w:t xml:space="preserve"> </w:t>
      </w:r>
      <w:r>
        <w:t xml:space="preserve">(UK), mit harter Produktsperre.</w:t>
      </w:r>
    </w:p>
    <w:p>
      <w:pPr>
        <w:numPr>
          <w:ilvl w:val="0"/>
          <w:numId w:val="1053"/>
        </w:numPr>
        <w:pStyle w:val="Compact"/>
      </w:pPr>
      <w:r>
        <w:rPr>
          <w:bCs/>
          <w:b/>
        </w:rPr>
        <w:t xml:space="preserve">Modellagnostische Architektur.</w:t>
      </w:r>
      <w:r>
        <w:t xml:space="preserve"> </w:t>
      </w:r>
      <w:r>
        <w:t xml:space="preserve">Die KMK hat erklärt, dass die Länder die Modellebene selbst stellen wollen; ein in deutschen Schulen eingesetztes System muss daher möglicherweise gegen ein vom Land bestimmtes Modell laufen.</w:t>
      </w:r>
    </w:p>
    <w:p>
      <w:pPr>
        <w:numPr>
          <w:ilvl w:val="0"/>
          <w:numId w:val="1053"/>
        </w:numPr>
        <w:pStyle w:val="Compact"/>
      </w:pPr>
      <w:r>
        <w:rPr>
          <w:bCs/>
          <w:b/>
        </w:rPr>
        <w:t xml:space="preserve">Vorab festgelegter Rahmen für Modellaktualisierungen in der Anhang-IV-Dokumentation</w:t>
      </w:r>
      <w:r>
        <w:t xml:space="preserve">, damit ein Modellwechsel nicht automatisch eine wesentliche Änderung mit Neubewertung auslöst.</w:t>
      </w:r>
    </w:p>
    <w:p>
      <w:pPr>
        <w:numPr>
          <w:ilvl w:val="0"/>
          <w:numId w:val="1053"/>
        </w:numPr>
        <w:pStyle w:val="Compact"/>
      </w:pPr>
      <w:r>
        <w:rPr>
          <w:bCs/>
          <w:b/>
        </w:rPr>
        <w:t xml:space="preserve">Vertragsschluss über das SDPC NDPA v2.2 mit sorgfältig umrissenem Exhibit E</w:t>
      </w:r>
      <w:r>
        <w:t xml:space="preserve">, mit staatsspezifischen Anlagen für NY, CT, IL, CO, CA, TX, OH und UT. Utah-Verträge brauchen ein sanktionsfreies gesetzliches Kündigungsrecht; Verträge in Connecticut werden binnen fünf Werktagen öffentlich, kommerziell sensible Bedingungen gehören daher in ein gesondertes Instrument.</w:t>
      </w:r>
    </w:p>
    <w:p>
      <w:pPr>
        <w:numPr>
          <w:ilvl w:val="0"/>
          <w:numId w:val="1053"/>
        </w:numPr>
        <w:pStyle w:val="Compact"/>
      </w:pPr>
      <w:r>
        <w:rPr>
          <w:bCs/>
          <w:b/>
        </w:rPr>
        <w:t xml:space="preserve">Incident-Response-SLA nach der kürzesten einschlägigen Frist:</w:t>
      </w:r>
      <w:r>
        <w:t xml:space="preserve"> </w:t>
      </w:r>
      <w:r>
        <w:t xml:space="preserve">Ohios 72-Stunden-Elternbenachrichtigung und New Yorks 7-Tage-Meldung, mit der 15-Tage-Frist des Art. 73 KI-VO im selben Runbook.</w:t>
      </w:r>
    </w:p>
    <w:p>
      <w:pPr>
        <w:numPr>
          <w:ilvl w:val="0"/>
          <w:numId w:val="1053"/>
        </w:numPr>
        <w:pStyle w:val="Compact"/>
      </w:pPr>
      <w:r>
        <w:rPr>
          <w:bCs/>
          <w:b/>
        </w:rPr>
        <w:t xml:space="preserve">Technologie-E&amp;O-Versicherung mit ausdrücklicher KI-Erweiterung.</w:t>
      </w:r>
      <w:r>
        <w:t xml:space="preserve"> </w:t>
      </w:r>
      <w:r>
        <w:t xml:space="preserve">Institutionelle Beschaffung verlangt regelmäßig eine Berufshaftpflichtdeckung; ob eine Police Ansprüche aus der Modellausgabe deckt, bedarf ausdrücklicher Bestätigung und darf nicht unterstellt werden.</w:t>
      </w:r>
    </w:p>
    <w:bookmarkEnd w:id="189"/>
    <w:bookmarkEnd w:id="190"/>
    <w:bookmarkStart w:id="199" w:name="Xf9cc8d77c137f0b44ca80c78ee7d14f1ea3e434"/>
    <w:p>
      <w:pPr>
        <w:pStyle w:val="Heading2"/>
      </w:pPr>
      <w:r>
        <w:t xml:space="preserve">13. Konvergenz- und Divergenzpunkte zwischen den drei Rechtsordnungen</w:t>
      </w:r>
    </w:p>
    <w:p>
      <w:pPr>
        <w:pStyle w:val="FirstParagraph"/>
      </w:pPr>
      <w:r>
        <w:t xml:space="preserve">Die drei Rechtsordnungen erreichen einen weitgehend übereinstimmenden Kern von Anforderungen auf verschiedenen rechtlichen Wegen. Sie unterscheiden sich weniger darin, was von der menschlichen Entscheidung verlangt wird, als in der Regulierungsarchitektur, über die die Anforderung auferlegt und durchgesetzt wird.</w:t>
      </w:r>
    </w:p>
    <w:bookmarkStart w:id="191" w:name="X44165479d40cb7e2a888d2a35bffb3c4e4db411"/>
    <w:p>
      <w:pPr>
        <w:pStyle w:val="Heading3"/>
      </w:pPr>
      <w:r>
        <w:t xml:space="preserve">13.1 Konvergenz: die menschliche Entscheidungsinstanz</w:t>
      </w:r>
    </w:p>
    <w:p>
      <w:pPr>
        <w:pStyle w:val="FirstParagraph"/>
      </w:pPr>
      <w:r>
        <w:t xml:space="preserve">Alle drei verlangen, dass die Bewertungsentscheidung von einer Person mit echtem Spielraum und anhand der gesamten Arbeit getroffen wird.</w:t>
      </w:r>
    </w:p>
    <w:p>
      <w:pPr>
        <w:numPr>
          <w:ilvl w:val="0"/>
          <w:numId w:val="1054"/>
        </w:numPr>
        <w:pStyle w:val="Compact"/>
      </w:pPr>
      <w:r>
        <w:rPr>
          <w:bCs/>
          <w:b/>
        </w:rPr>
        <w:t xml:space="preserve">Deutschland / EU.</w:t>
      </w:r>
      <w:r>
        <w:t xml:space="preserve"> </w:t>
      </w:r>
      <w:r>
        <w:t xml:space="preserve">Art. 22 DSGVO und WP251; der DSK-Maßstab des tatsächlichen Entscheidungsspielraums; das BVerwG-Gebot, dass der Prüfer die Arbeit persönlich, unmittelbar und vollständig zur Kenntnis nimmt; § 35a VwVfG, der einen vollautomatisierten Verwaltungsakt ausschließt; und der Beschluss der Bildungsministerkonferenz vom 10. Oktober 2024, der</w:t>
      </w:r>
      <w:r>
        <w:t xml:space="preserve"> </w:t>
      </w:r>
      <w:r>
        <w:rPr>
          <w:iCs/>
          <w:i/>
        </w:rPr>
        <w:t xml:space="preserve">Vorkorrektur</w:t>
      </w:r>
      <w:r>
        <w:t xml:space="preserve">,</w:t>
      </w:r>
      <w:r>
        <w:t xml:space="preserve"> </w:t>
      </w:r>
      <w:r>
        <w:rPr>
          <w:iCs/>
          <w:i/>
        </w:rPr>
        <w:t xml:space="preserve">Korrekturassistenz</w:t>
      </w:r>
      <w:r>
        <w:t xml:space="preserve"> </w:t>
      </w:r>
      <w:r>
        <w:t xml:space="preserve">und ein</w:t>
      </w:r>
      <w:r>
        <w:t xml:space="preserve"> </w:t>
      </w:r>
      <w:r>
        <w:rPr>
          <w:iCs/>
          <w:i/>
        </w:rPr>
        <w:t xml:space="preserve">Entscheidungsunterstützungssystem</w:t>
      </w:r>
      <w:r>
        <w:t xml:space="preserve"> </w:t>
      </w:r>
      <w:r>
        <w:t xml:space="preserve">mit der abschließenden Bewertung beim Prüfenden befürwortet.</w:t>
      </w:r>
    </w:p>
    <w:p>
      <w:pPr>
        <w:numPr>
          <w:ilvl w:val="0"/>
          <w:numId w:val="1054"/>
        </w:numPr>
        <w:pStyle w:val="Compact"/>
      </w:pPr>
      <w:r>
        <w:rPr>
          <w:bCs/>
          <w:b/>
        </w:rPr>
        <w:t xml:space="preserve">Vereinigtes Königreich.</w:t>
      </w:r>
      <w:r>
        <w:t xml:space="preserve"> </w:t>
      </w:r>
      <w:r>
        <w:t xml:space="preserve">Art. 22A und die entscheidungsbezogene Anforderung des ICO-Entwurfs an eine aussagekräftige menschliche Beteiligung; Art. 22B für Daten besonderer Kategorien; und die JCQ-Vorgabe, dass der Prüfer</w:t>
      </w:r>
      <w:r>
        <w:t xml:space="preserve"> </w:t>
      </w:r>
      <w:r>
        <w:rPr>
          <w:iCs/>
          <w:i/>
        </w:rPr>
        <w:t xml:space="preserve">„review all the work in its entirety”</w:t>
      </w:r>
      <w:r>
        <w:t xml:space="preserve">.</w:t>
      </w:r>
    </w:p>
    <w:p>
      <w:pPr>
        <w:numPr>
          <w:ilvl w:val="0"/>
          <w:numId w:val="1054"/>
        </w:numPr>
        <w:pStyle w:val="Compact"/>
      </w:pPr>
      <w:r>
        <w:rPr>
          <w:bCs/>
          <w:b/>
        </w:rPr>
        <w:t xml:space="preserve">Vereinigte Staaten.</w:t>
      </w:r>
      <w:r>
        <w:t xml:space="preserve"> </w:t>
      </w:r>
      <w:r>
        <w:t xml:space="preserve">Der kalifornische ADMT-Safe-Harbour, Colorados Pflicht zur aussagekräftigen menschlichen Prüfung und Oklahoma SB 1734 (verabschiedeter Text unverifiziert — §14, Punkt 27).</w:t>
      </w:r>
    </w:p>
    <w:p>
      <w:pPr>
        <w:pStyle w:val="FirstParagraph"/>
      </w:pPr>
      <w:r>
        <w:t xml:space="preserve">Die praktische Folge ist in allen drei Rechtsordnungen dieselbe: Einzelprüfung, keine automatische, Massen- oder Timeout-Übernahme und die Arbeit im Blick bei der Noteneingabe (§12.1, Punkt 1).</w:t>
      </w:r>
    </w:p>
    <w:bookmarkEnd w:id="191"/>
    <w:bookmarkStart w:id="192" w:name="Xc85c68a660d917cfa515a8a89f5b4e5d53aa992"/>
    <w:p>
      <w:pPr>
        <w:pStyle w:val="Heading3"/>
      </w:pPr>
      <w:r>
        <w:t xml:space="preserve">13.2 Konvergenz: Transparenz gegenüber der bewerteten Person</w:t>
      </w:r>
    </w:p>
    <w:p>
      <w:pPr>
        <w:pStyle w:val="FirstParagraph"/>
      </w:pPr>
      <w:r>
        <w:t xml:space="preserve">Jede Rechtsordnung verlangt, dass die Bewertung der Schülerin oder dem Schüler erklärbar ist, wobei die Rechtsgrundlage unterschiedlich ist.</w:t>
      </w:r>
    </w:p>
    <w:p>
      <w:pPr>
        <w:numPr>
          <w:ilvl w:val="0"/>
          <w:numId w:val="1055"/>
        </w:numPr>
        <w:pStyle w:val="Compact"/>
      </w:pPr>
      <w:r>
        <w:rPr>
          <w:bCs/>
          <w:b/>
        </w:rPr>
        <w:t xml:space="preserve">Deutschland.</w:t>
      </w:r>
      <w:r>
        <w:t xml:space="preserve"> </w:t>
      </w:r>
      <w:r>
        <w:t xml:space="preserve">Das Überdenkensverfahren verlangt, dass die eigenen Gründe des Prüfers nachträglich rekonstruierbar sind — genau das bewahrt der Prüfpfad je Arbeit (§12.1, Punkt 6).</w:t>
      </w:r>
    </w:p>
    <w:p>
      <w:pPr>
        <w:numPr>
          <w:ilvl w:val="0"/>
          <w:numId w:val="1055"/>
        </w:numPr>
        <w:pStyle w:val="Compact"/>
      </w:pPr>
      <w:r>
        <w:rPr>
          <w:bCs/>
          <w:b/>
        </w:rPr>
        <w:t xml:space="preserve">EU / Vereinigtes Königreich.</w:t>
      </w:r>
      <w:r>
        <w:t xml:space="preserve"> </w:t>
      </w:r>
      <w:r>
        <w:t xml:space="preserve">Die Frage der aussagekräftigen Prüfung nach Art. 22 und, im Vereinigten Königreich, der ICO-Entwurf zur automatisierten Entscheidung, der die Erklärung als je Entscheidung geschuldet fasst. Der gesetzliche ICO-Kodex nach SI 2026/425 wird das Kinder-Kapitel enthalten (§14, Punkt 23).</w:t>
      </w:r>
    </w:p>
    <w:p>
      <w:pPr>
        <w:numPr>
          <w:ilvl w:val="0"/>
          <w:numId w:val="1055"/>
        </w:numPr>
        <w:pStyle w:val="Compact"/>
      </w:pPr>
      <w:r>
        <w:rPr>
          <w:bCs/>
          <w:b/>
        </w:rPr>
        <w:t xml:space="preserve">Vereinigte Staaten.</w:t>
      </w:r>
      <w:r>
        <w:t xml:space="preserve"> </w:t>
      </w:r>
      <w:r>
        <w:t xml:space="preserve">Es gibt keine allgemeine Transparenzvorschrift; die entsprechende Funktion übernehmen das FERPA-Regime der Bildungsunterlagen einschließlich der Weitergabeschranke in § 99.33(a)(2) und einzelstaatliche Mitteilungspflichten.</w:t>
      </w:r>
    </w:p>
    <w:bookmarkEnd w:id="192"/>
    <w:bookmarkStart w:id="193" w:name="X4eefb39cdda3855c86b3928385db920e07c0311"/>
    <w:p>
      <w:pPr>
        <w:pStyle w:val="Heading3"/>
      </w:pPr>
      <w:r>
        <w:t xml:space="preserve">13.3 Konvergenz: vertragliche Weitergabe an die Institution</w:t>
      </w:r>
    </w:p>
    <w:p>
      <w:pPr>
        <w:pStyle w:val="FirstParagraph"/>
      </w:pPr>
      <w:r>
        <w:t xml:space="preserve">In allen drei Rechtsordnungen trifft ein wesentlicher Teil der Pflichten die Schule, den Trust oder den Schulbezirk und nicht den Anbieter — und erreicht den Anbieter über den Vertrag der Institution.</w:t>
      </w:r>
    </w:p>
    <w:p>
      <w:pPr>
        <w:numPr>
          <w:ilvl w:val="0"/>
          <w:numId w:val="1056"/>
        </w:numPr>
        <w:pStyle w:val="Compact"/>
      </w:pPr>
      <w:r>
        <w:rPr>
          <w:bCs/>
          <w:b/>
        </w:rPr>
        <w:t xml:space="preserve">Deutschland / EU.</w:t>
      </w:r>
      <w:r>
        <w:t xml:space="preserve"> </w:t>
      </w:r>
      <w:r>
        <w:t xml:space="preserve">Die Schule ist Verantwortliche. Die Betreiberpflichten nach Art. 26 KI-VO und die Grundrechte-Folgenabschätzung nach Art. 27 treffen die einsetzende Institution, und § 14 KI-MIG macht das Unterlassen der GRFA für sie bußgeldbewehrt. Die Untersagungen in NRW und Hessen, personenbezogene Schülerdaten an KI-Anwendungen zu übermitteln, binden die Schule.</w:t>
      </w:r>
    </w:p>
    <w:p>
      <w:pPr>
        <w:numPr>
          <w:ilvl w:val="0"/>
          <w:numId w:val="1056"/>
        </w:numPr>
        <w:pStyle w:val="Compact"/>
      </w:pPr>
      <w:r>
        <w:rPr>
          <w:bCs/>
          <w:b/>
        </w:rPr>
        <w:t xml:space="preserve">Vereinigtes Königreich.</w:t>
      </w:r>
      <w:r>
        <w:t xml:space="preserve"> </w:t>
      </w:r>
      <w:r>
        <w:t xml:space="preserve">Die DfE Generative AI product safety standards richten sich an Anbieter, wirken aber über die Beschaffung; das veröffentlichte Beispiel des DfE ist eine Schule, die einen Anbieter wegen Training auf Kundeninhalten ablehnt.</w:t>
      </w:r>
    </w:p>
    <w:p>
      <w:pPr>
        <w:numPr>
          <w:ilvl w:val="0"/>
          <w:numId w:val="1056"/>
        </w:numPr>
        <w:pStyle w:val="Compact"/>
      </w:pPr>
      <w:r>
        <w:rPr>
          <w:bCs/>
          <w:b/>
        </w:rPr>
        <w:t xml:space="preserve">Vereinigte Staaten.</w:t>
      </w:r>
      <w:r>
        <w:t xml:space="preserve"> </w:t>
      </w:r>
      <w:r>
        <w:t xml:space="preserve">Die FERPA-Ausnahme für Schulbeauftragte verlangt, dass die Institution die direkte Kontrolle behält; operatives Instrument ist das SDPC NDPA v2.2 mit Exhibit E und staatsspezifischen Anlagen, daneben SOPIPA und COPPA § 312.10.</w:t>
      </w:r>
    </w:p>
    <w:p>
      <w:pPr>
        <w:pStyle w:val="FirstParagraph"/>
      </w:pPr>
      <w:r>
        <w:t xml:space="preserve">Die Divergenz innerhalb dieser Konvergenz liegt im Vehikel: In der EU ist die Pflicht gesetzlich und trifft den Betreiber unabhängig vom Vertrag, in den USA ist der Vertrag selbst das primäre Compliance-Instrument.</w:t>
      </w:r>
    </w:p>
    <w:bookmarkEnd w:id="193"/>
    <w:bookmarkStart w:id="194" w:name="X77cb9c353a46fc35e4758a01dd2302b496ed383"/>
    <w:p>
      <w:pPr>
        <w:pStyle w:val="Heading3"/>
      </w:pPr>
      <w:r>
        <w:t xml:space="preserve">13.4 Konvergenz: Aufzeichnung und Protokollierung</w:t>
      </w:r>
    </w:p>
    <w:p>
      <w:pPr>
        <w:numPr>
          <w:ilvl w:val="0"/>
          <w:numId w:val="1057"/>
        </w:numPr>
        <w:pStyle w:val="Compact"/>
      </w:pPr>
      <w:r>
        <w:rPr>
          <w:bCs/>
          <w:b/>
        </w:rPr>
        <w:t xml:space="preserve">EU.</w:t>
      </w:r>
      <w:r>
        <w:t xml:space="preserve"> </w:t>
      </w:r>
      <w:r>
        <w:t xml:space="preserve">Art. 12 KI-VO (Protokollierung) und die technische Dokumentation nach Anhang IV.</w:t>
      </w:r>
    </w:p>
    <w:p>
      <w:pPr>
        <w:numPr>
          <w:ilvl w:val="0"/>
          <w:numId w:val="1057"/>
        </w:numPr>
        <w:pStyle w:val="Compact"/>
      </w:pPr>
      <w:r>
        <w:rPr>
          <w:bCs/>
          <w:b/>
        </w:rPr>
        <w:t xml:space="preserve">Deutschland.</w:t>
      </w:r>
      <w:r>
        <w:t xml:space="preserve"> </w:t>
      </w:r>
      <w:r>
        <w:t xml:space="preserve">Eine Aufbewahrung, die einen Widerspruch und eine etwaige gerichtliche Überprüfung überdauert, einschließlich Archivierung — die Liste der vlbs-Stellungnahme zur NRW-Anhörung.</w:t>
      </w:r>
    </w:p>
    <w:p>
      <w:pPr>
        <w:numPr>
          <w:ilvl w:val="0"/>
          <w:numId w:val="1057"/>
        </w:numPr>
        <w:pStyle w:val="Compact"/>
      </w:pPr>
      <w:r>
        <w:rPr>
          <w:bCs/>
          <w:b/>
        </w:rPr>
        <w:t xml:space="preserve">Vereinigtes Königreich.</w:t>
      </w:r>
      <w:r>
        <w:t xml:space="preserve"> </w:t>
      </w:r>
      <w:r>
        <w:t xml:space="preserve">Die Prüfung der gesamten Arbeit durch den Prüfer nach den JCQ-Vorgaben und, für öffentliche Einsätze, der ATRS-Datensatz.</w:t>
      </w:r>
    </w:p>
    <w:p>
      <w:pPr>
        <w:numPr>
          <w:ilvl w:val="0"/>
          <w:numId w:val="1057"/>
        </w:numPr>
        <w:pStyle w:val="Compact"/>
      </w:pPr>
      <w:r>
        <w:rPr>
          <w:bCs/>
          <w:b/>
        </w:rPr>
        <w:t xml:space="preserve">Vereinigte Staaten.</w:t>
      </w:r>
      <w:r>
        <w:t xml:space="preserve"> </w:t>
      </w:r>
      <w:r>
        <w:t xml:space="preserve">Datenschutzprüfung des Schulbezirks, Akkreditierungsanforderungen und „regular and substantive interaction”.</w:t>
      </w:r>
    </w:p>
    <w:p>
      <w:pPr>
        <w:pStyle w:val="FirstParagraph"/>
      </w:pPr>
      <w:r>
        <w:t xml:space="preserve">Ein einziger Prüfpfad je Arbeit wie in §12.1, Punkt 6 beschrieben beantwortet alle vier.</w:t>
      </w:r>
    </w:p>
    <w:bookmarkEnd w:id="194"/>
    <w:bookmarkStart w:id="195" w:name="Xf80a8db57aa7ffaaf4fe5425f4154716587b62e"/>
    <w:p>
      <w:pPr>
        <w:pStyle w:val="Heading3"/>
      </w:pPr>
      <w:r>
        <w:t xml:space="preserve">13.5 Konvergenz und Divergenz: Folgenabschätzung</w:t>
      </w:r>
    </w:p>
    <w:p>
      <w:pPr>
        <w:numPr>
          <w:ilvl w:val="0"/>
          <w:numId w:val="1058"/>
        </w:numPr>
        <w:pStyle w:val="Compact"/>
      </w:pPr>
      <w:r>
        <w:rPr>
          <w:bCs/>
          <w:b/>
        </w:rPr>
        <w:t xml:space="preserve">EU / Deutschland.</w:t>
      </w:r>
      <w:r>
        <w:t xml:space="preserve"> </w:t>
      </w:r>
      <w:r>
        <w:t xml:space="preserve">Eine DSFA nach der DSGVO und eine Grundrechte-Folgenabschätzung nach Art. 27 KI-VO, die der geänderte Art. 27 Abs. 4 ausdrücklich zusammenführen lässt. Die Vorlage nach Art. 27 Abs. 5 war zum Zeitpunkt dieser Untersuchung nicht veröffentlicht (§14, Punkt 13). § 14 KI-MIG bewehrt das Unterlassen der GRFA mit einem Bußgeld.</w:t>
      </w:r>
    </w:p>
    <w:p>
      <w:pPr>
        <w:numPr>
          <w:ilvl w:val="0"/>
          <w:numId w:val="1058"/>
        </w:numPr>
        <w:pStyle w:val="Compact"/>
      </w:pPr>
      <w:r>
        <w:rPr>
          <w:bCs/>
          <w:b/>
        </w:rPr>
        <w:t xml:space="preserve">Vereinigtes Königreich.</w:t>
      </w:r>
      <w:r>
        <w:t xml:space="preserve"> </w:t>
      </w:r>
      <w:r>
        <w:t xml:space="preserve">Eine DSFA, wobei die Kinderdaten-Dimension durch den kommenden gesetzlichen ICO-Kodex nach SI 2026/425 geregelt werden wird.</w:t>
      </w:r>
    </w:p>
    <w:p>
      <w:pPr>
        <w:numPr>
          <w:ilvl w:val="0"/>
          <w:numId w:val="1058"/>
        </w:numPr>
        <w:pStyle w:val="Compact"/>
      </w:pPr>
      <w:r>
        <w:rPr>
          <w:bCs/>
          <w:b/>
        </w:rPr>
        <w:t xml:space="preserve">Vereinigte Staaten.</w:t>
      </w:r>
      <w:r>
        <w:t xml:space="preserve"> </w:t>
      </w:r>
      <w:r>
        <w:t xml:space="preserve">Eine allgemeine Pflicht zur Folgenabschätzung besteht nicht. Die nächstliegenden Entsprechungen sind das kalifornische ADMT-Regime und Colorados Prüfpflicht, daneben die Gleichbehandlungsprüfung nach Title VI und Section 504.</w:t>
      </w:r>
    </w:p>
    <w:p>
      <w:pPr>
        <w:pStyle w:val="FirstParagraph"/>
      </w:pPr>
      <w:r>
        <w:t xml:space="preserve">An diesem Punkt beginnen die drei Regime auseinanderzugehen: Die EU verlangt eine dokumentierte Ex-ante-Bewertung als Voraussetzung des zulässigen Einsatzes, das Vereinigte Königreich verlangt sie als datenschutzrechtliche Maßnahme, und die USA verlangen sie nur, soweit ein Einzelstaat sie gesetzlich vorsieht.</w:t>
      </w:r>
    </w:p>
    <w:bookmarkEnd w:id="195"/>
    <w:bookmarkStart w:id="196" w:name="X5a8ec070d57602aeee0da74ce4e54f0949fd29c"/>
    <w:p>
      <w:pPr>
        <w:pStyle w:val="Heading3"/>
      </w:pPr>
      <w:r>
        <w:t xml:space="preserve">13.6 Divergenz: drei unterschiedliche Regulierungsarchitekturen</w:t>
      </w:r>
    </w:p>
    <w:p>
      <w:pPr>
        <w:numPr>
          <w:ilvl w:val="0"/>
          <w:numId w:val="1059"/>
        </w:numPr>
        <w:pStyle w:val="Compact"/>
      </w:pPr>
      <w:r>
        <w:rPr>
          <w:bCs/>
          <w:b/>
        </w:rPr>
        <w:t xml:space="preserve">EU: Ex-ante-Konformität.</w:t>
      </w:r>
      <w:r>
        <w:t xml:space="preserve"> </w:t>
      </w:r>
      <w:r>
        <w:t xml:space="preserve">Einstufung als Hochrisiko nach Anhang III Nr. 3 Buchst. b, technische Dokumentation nach Anhang IV und Konformitätsbewertung im Wege der Selbstbewertung nach Anhang VI ohne benannte Stelle, wobei die Anbieterpflichten ab dem 2. Dezember 2027 gelten. Für keine harmonisierte Norm ist die Fundstelle im Amtsblatt veröffentlicht (§14, Punkt 10), weshalb der technische Weg zur Konformitätsvermutung noch nicht verfügbar ist.</w:t>
      </w:r>
    </w:p>
    <w:p>
      <w:pPr>
        <w:numPr>
          <w:ilvl w:val="0"/>
          <w:numId w:val="1059"/>
        </w:numPr>
        <w:pStyle w:val="Compact"/>
      </w:pPr>
      <w:r>
        <w:rPr>
          <w:bCs/>
          <w:b/>
        </w:rPr>
        <w:t xml:space="preserve">Vereinigtes Königreich: Schutzvorkehrungen nach dem DUAA.</w:t>
      </w:r>
      <w:r>
        <w:t xml:space="preserve"> </w:t>
      </w:r>
      <w:r>
        <w:t xml:space="preserve">Es gibt kein Ex-ante-Konformitätsregime. Die Steuerung erfolgt über die Schutzvorkehrungen der Art. 22A und 22B, den gesetzlichen ICO-Kodex nach SI 2026/425 und Sektorregeln — JCQ für regulierte Abschlüsse, die DfE-Produktsicherheitsstandards für Schulen und den Online Safety Act für schülerseitige Funktionen.</w:t>
      </w:r>
    </w:p>
    <w:p>
      <w:pPr>
        <w:numPr>
          <w:ilvl w:val="0"/>
          <w:numId w:val="1059"/>
        </w:numPr>
        <w:pStyle w:val="Compact"/>
      </w:pPr>
      <w:r>
        <w:rPr>
          <w:bCs/>
          <w:b/>
        </w:rPr>
        <w:t xml:space="preserve">Vereinigte Staaten: Vertrag und Mitteilung.</w:t>
      </w:r>
      <w:r>
        <w:t xml:space="preserve"> </w:t>
      </w:r>
      <w:r>
        <w:t xml:space="preserve">Ein bundesrechtlicher Boden aus FERPA, COPPA und PPRA, der über den Vertrag der Institution mit dem Anbieter wirkt, ergänzt durch einzelstaatliche Vertragsanforderungen und Meldefristen. Materielle Pflichten zur automatisierten Entscheidungsfindung bestehen nur in den Staaten, die sie gesetzlich geregelt haben.</w:t>
      </w:r>
    </w:p>
    <w:bookmarkEnd w:id="196"/>
    <w:bookmarkStart w:id="197" w:name="Xe0df775d18267a53a9b603d436758a3a3410360"/>
    <w:p>
      <w:pPr>
        <w:pStyle w:val="Heading3"/>
      </w:pPr>
      <w:r>
        <w:t xml:space="preserve">13.7 Divergenz: die landesrechtliche Prüfungsrechtsebene in Deutschland</w:t>
      </w:r>
    </w:p>
    <w:p>
      <w:pPr>
        <w:pStyle w:val="FirstParagraph"/>
      </w:pPr>
      <w:r>
        <w:t xml:space="preserve">Deutschland hat eine Ebene ohne Gegenstück in den beiden anderen Rechtsordnungen. Das Prüfungsrecht ist Landesrecht und wirkt zusätzlich zu, nicht anstelle der unions- und bundesrechtlichen Ebene:</w:t>
      </w:r>
    </w:p>
    <w:p>
      <w:pPr>
        <w:numPr>
          <w:ilvl w:val="0"/>
          <w:numId w:val="1060"/>
        </w:numPr>
        <w:pStyle w:val="Compact"/>
      </w:pPr>
      <w:r>
        <w:t xml:space="preserve">§ 35a VwVfG und seine Landesentsprechungen (die Landesentsprechungen wurden nicht verifiziert — §14, Punkt 18);</w:t>
      </w:r>
    </w:p>
    <w:p>
      <w:pPr>
        <w:numPr>
          <w:ilvl w:val="0"/>
          <w:numId w:val="1060"/>
        </w:numPr>
        <w:pStyle w:val="Compact"/>
      </w:pPr>
      <w:r>
        <w:t xml:space="preserve">Schuldatenschutzverordnungen der Länder, darunter die VO-DV I in NRW, die hessische SchulDSVO sowie § 115b SchG und die DUVO in Baden-Württemberg, von denen mehrere nicht verifiziert werden konnten (§14, Punkte 16 und 17), wobei elf Länder überhaupt nicht ermittelt sind;</w:t>
      </w:r>
    </w:p>
    <w:p>
      <w:pPr>
        <w:numPr>
          <w:ilvl w:val="0"/>
          <w:numId w:val="1060"/>
        </w:numPr>
        <w:pStyle w:val="Compact"/>
      </w:pPr>
      <w:r>
        <w:t xml:space="preserve">die Untersagungen in NRW und Hessen, personenbezogene Schülerdaten an KI-Anwendungen zu übermitteln;</w:t>
      </w:r>
    </w:p>
    <w:p>
      <w:pPr>
        <w:numPr>
          <w:ilvl w:val="0"/>
          <w:numId w:val="1060"/>
        </w:numPr>
        <w:pStyle w:val="Compact"/>
      </w:pPr>
      <w:r>
        <w:t xml:space="preserve">die Chancengleichheit nach Art. 3 Abs. 1 GG, die Doktrin des autonomen Bezugssystems und das Überdenkensverfahren;</w:t>
      </w:r>
    </w:p>
    <w:p>
      <w:pPr>
        <w:numPr>
          <w:ilvl w:val="0"/>
          <w:numId w:val="1060"/>
        </w:numPr>
        <w:pStyle w:val="Compact"/>
      </w:pPr>
      <w:r>
        <w:t xml:space="preserve">die Mitbestimmung des Personalrats bei der Einführung des Systems.</w:t>
      </w:r>
    </w:p>
    <w:p>
      <w:pPr>
        <w:pStyle w:val="FirstParagraph"/>
      </w:pPr>
      <w:r>
        <w:t xml:space="preserve">KMK und Bildungsministerkonferenz koordinieren, binden aber nicht. Im Vereinigten Königreich kommen Prüfungsanforderungen von Awarding Bodies und JCQ sowie von der Regulierungsbehörde und nicht aus einem subnationalen öffentlichen Prüfungsrecht; in den USA gelten einzelstaatliche Bildungsgesetze, ein vergleichbarer Bestand an Prüfungsentscheidungsdogmatik wurde in dieser Untersuchung jedoch nicht festgestellt.</w:t>
      </w:r>
    </w:p>
    <w:bookmarkEnd w:id="197"/>
    <w:bookmarkStart w:id="198" w:name="X3c1e72c3af2314bb8680fc296b622ce2e8432fd"/>
    <w:p>
      <w:pPr>
        <w:pStyle w:val="Heading3"/>
      </w:pPr>
      <w:r>
        <w:t xml:space="preserve">13.8 Divergenz: die Fragmentierung über fünfzig US-Staaten</w:t>
      </w:r>
    </w:p>
    <w:p>
      <w:pPr>
        <w:pStyle w:val="FirstParagraph"/>
      </w:pPr>
      <w:r>
        <w:t xml:space="preserve">Oberhalb des Bodens aus FERPA, COPPA und PPRA sind die maßgeblichen Anforderungen einzelstaatlich, und sie unterscheiden sich nicht nur im Detail, sondern in der Art:</w:t>
      </w:r>
    </w:p>
    <w:p>
      <w:pPr>
        <w:numPr>
          <w:ilvl w:val="0"/>
          <w:numId w:val="1061"/>
        </w:numPr>
        <w:pStyle w:val="Compact"/>
      </w:pPr>
      <w:r>
        <w:t xml:space="preserve">staatsspezifische Vertragsanlagen sind für NY, CT, IL, CO, CA, TX, OH und UT erforderlich;</w:t>
      </w:r>
    </w:p>
    <w:p>
      <w:pPr>
        <w:numPr>
          <w:ilvl w:val="0"/>
          <w:numId w:val="1061"/>
        </w:numPr>
        <w:pStyle w:val="Compact"/>
      </w:pPr>
      <w:r>
        <w:t xml:space="preserve">Utah verlangt ein sanktionsfreies gesetzliches Kündigungsrecht, und Verträge in Connecticut werden binnen fünf Werktagen öffentlich;</w:t>
      </w:r>
    </w:p>
    <w:p>
      <w:pPr>
        <w:numPr>
          <w:ilvl w:val="0"/>
          <w:numId w:val="1061"/>
        </w:numPr>
        <w:pStyle w:val="Compact"/>
      </w:pPr>
      <w:r>
        <w:t xml:space="preserve">die Meldefristen unterscheiden sich — Ohios 72-Stunden-Elternbenachrichtigung und New Yorks 7-Tage-Meldung sind die kürzesten festgestellten;</w:t>
      </w:r>
    </w:p>
    <w:p>
      <w:pPr>
        <w:numPr>
          <w:ilvl w:val="0"/>
          <w:numId w:val="1061"/>
        </w:numPr>
        <w:pStyle w:val="Compact"/>
      </w:pPr>
      <w:r>
        <w:t xml:space="preserve">Illinois BIPA gewährt ein privates Klagerecht bei der Verarbeitung von Gesichtsgeometrie;</w:t>
      </w:r>
    </w:p>
    <w:p>
      <w:pPr>
        <w:numPr>
          <w:ilvl w:val="0"/>
          <w:numId w:val="1061"/>
        </w:numPr>
        <w:pStyle w:val="Compact"/>
      </w:pPr>
      <w:r>
        <w:t xml:space="preserve">materielle Pflichten zur automatisierten Entscheidungsfindung bestehen in Kalifornien (ADMT), Colorado und Oklahoma und sonst nicht.</w:t>
      </w:r>
    </w:p>
    <w:p>
      <w:pPr>
        <w:pStyle w:val="FirstParagraph"/>
      </w:pPr>
      <w:r>
        <w:t xml:space="preserve">Die Folge ist, dass es keinen nationalen US-Standard gibt, an dem sich die Konformität ausrichten kann: Maßgeblich ist jeweils die strengste der einschlägigen einzelstaatlichen Anforderungen — deshalb bestimmt sich die Incident-Frist in §12.3, Punkt 29 nach Ohio und New York und nicht nach einer bundesrechtlichen Vorschrift.</w:t>
      </w:r>
    </w:p>
    <w:bookmarkEnd w:id="198"/>
    <w:bookmarkEnd w:id="199"/>
    <w:bookmarkStart w:id="200" w:name="grenzen-dieser-untersuchung"/>
    <w:p>
      <w:pPr>
        <w:pStyle w:val="Heading2"/>
      </w:pPr>
      <w:r>
        <w:t xml:space="preserve">14. Grenzen dieser Untersuchung</w:t>
      </w:r>
    </w:p>
    <w:p>
      <w:pPr>
        <w:pStyle w:val="FirstParagraph"/>
      </w:pPr>
      <w:r>
        <w:t xml:space="preserve">Dies sind Lücken, keine Befunde. Vier davon sollten anwaltlich geklärt werden, bevor auf das hier Dargestellte gestützt wird.</w:t>
      </w:r>
    </w:p>
    <w:p>
      <w:pPr>
        <w:pStyle w:val="BodyText"/>
      </w:pPr>
      <w:r>
        <w:rPr>
          <w:bCs/>
          <w:b/>
        </w:rPr>
        <w:t xml:space="preserve">Stichtag und Umfang.</w:t>
      </w:r>
      <w:r>
        <w:t xml:space="preserve"> </w:t>
      </w:r>
      <w:r>
        <w:t xml:space="preserve">Die Recherche für diese Untersuchung wurde im September 2026 abgeschlossen. Jede Aussage zum aktuellen Rechtsstand — Entwurf oder endgültige Fassung, angenommen oder nicht angenommen, anhängig oder entschieden — gilt zu diesem Zeitpunkt, und mehrere der nachstehenden Punkte werden sich voraussichtlich bewegen. Die Untersuchung behandelt die rechtlichen Anforderungen in Deutschland und der EU, im Vereinigten Königreich und in den Vereinigten Staaten; sie ist keine Beratung zu einem bestimmten Einsatz, und eine Bewertung eines konkreten Systems oder Anbieters wurde nicht vorgenommen. Der in Punkt 35 genannte Versicherungsmarkt wurde nicht recherchiert.</w:t>
      </w:r>
    </w:p>
    <w:p>
      <w:pPr>
        <w:pStyle w:val="BodyText"/>
      </w:pPr>
      <w:r>
        <w:rPr>
          <w:bCs/>
          <w:b/>
        </w:rPr>
        <w:t xml:space="preserve">Höchste Priorität</w:t>
      </w:r>
    </w:p>
    <w:p>
      <w:pPr>
        <w:numPr>
          <w:ilvl w:val="0"/>
          <w:numId w:val="1062"/>
        </w:numPr>
        <w:pStyle w:val="Compact"/>
      </w:pPr>
      <w:r>
        <w:rPr>
          <w:bCs/>
          <w:b/>
        </w:rPr>
        <w:t xml:space="preserve">Das DKJS-Memorandum im Wortlaut.</w:t>
      </w:r>
      <w:r>
        <w:t xml:space="preserve"> </w:t>
      </w:r>
      <w:r>
        <w:t xml:space="preserve">Alle Angaben in §5.6 stammen aus einer Drittzusammenfassung; der Server blockierte den Abruf. Es ist das ungünstigste Dokument der deutschen Landschaft und muss im Original gelesen werden.</w:t>
      </w:r>
    </w:p>
    <w:p>
      <w:pPr>
        <w:numPr>
          <w:ilvl w:val="0"/>
          <w:numId w:val="1062"/>
        </w:numPr>
        <w:pStyle w:val="Compact"/>
      </w:pPr>
      <w:r>
        <w:rPr>
          <w:bCs/>
          <w:b/>
        </w:rPr>
        <w:t xml:space="preserve">Die Prämisse des NRW-</w:t>
      </w:r>
      <w:r>
        <w:rPr>
          <w:iCs/>
          <w:i/>
          <w:bCs/>
          <w:b/>
        </w:rPr>
        <w:t xml:space="preserve">Softwarekatalogs</w:t>
      </w:r>
      <w:r>
        <w:rPr>
          <w:bCs/>
          <w:b/>
        </w:rPr>
        <w:t xml:space="preserve">.</w:t>
      </w:r>
      <w:r>
        <w:t xml:space="preserve"> </w:t>
      </w:r>
      <w:r>
        <w:t xml:space="preserve">Die geltende VO-DV I enthält keine Programmzulassung, und das Ministerium beschreibt Einzelfallermessen der Schule; ein Text vor 2022 und eine Landtagsantwort von 2025 waren nicht abrufbar. Per schriftlicher Anfrage klären, nicht durch weitere Recherche.</w:t>
      </w:r>
    </w:p>
    <w:p>
      <w:pPr>
        <w:numPr>
          <w:ilvl w:val="0"/>
          <w:numId w:val="1062"/>
        </w:numPr>
        <w:pStyle w:val="Compact"/>
      </w:pPr>
      <w:r>
        <w:rPr>
          <w:bCs/>
          <w:b/>
        </w:rPr>
        <w:t xml:space="preserve">Der bayerische</w:t>
      </w:r>
      <w:r>
        <w:rPr>
          <w:bCs/>
          <w:b/>
        </w:rPr>
        <w:t xml:space="preserve"> </w:t>
      </w:r>
      <w:r>
        <w:rPr>
          <w:iCs/>
          <w:i/>
          <w:bCs/>
          <w:b/>
        </w:rPr>
        <w:t xml:space="preserve">Handlungsleitfaden „Künstliche Intelligenz in der pädagogischen Praxis”</w:t>
      </w:r>
      <w:r>
        <w:rPr>
          <w:bCs/>
          <w:b/>
        </w:rPr>
        <w:t xml:space="preserve">, Fassung 19.05.2026</w:t>
      </w:r>
      <w:r>
        <w:t xml:space="preserve"> </w:t>
      </w:r>
      <w:r>
        <w:t xml:space="preserve">— Titel und Datum bestätigt, Inhalt ungelesen. Das wichtigste offene deutsche Dokument.</w:t>
      </w:r>
    </w:p>
    <w:p>
      <w:pPr>
        <w:numPr>
          <w:ilvl w:val="0"/>
          <w:numId w:val="1062"/>
        </w:numPr>
        <w:pStyle w:val="Compact"/>
      </w:pPr>
      <w:r>
        <w:rPr>
          <w:bCs/>
          <w:b/>
        </w:rPr>
        <w:t xml:space="preserve">Der berichtete Übergang der FERPA-/PPRA-Beschwerdeermittlung auf das Justizministerium (Juni 2026).</w:t>
      </w:r>
      <w:r>
        <w:t xml:space="preserve"> </w:t>
      </w:r>
      <w:r>
        <w:t xml:space="preserve">Einzelne Sekundärquelle, kein Wirksamkeitsdatum, offene Details. Ändert den Charakter der US-Durchsetzung, falls zutreffend.</w:t>
      </w:r>
    </w:p>
    <w:p>
      <w:pPr>
        <w:numPr>
          <w:ilvl w:val="0"/>
          <w:numId w:val="1062"/>
        </w:numPr>
        <w:pStyle w:val="Compact"/>
      </w:pPr>
      <w:r>
        <w:rPr>
          <w:bCs/>
          <w:b/>
        </w:rPr>
        <w:t xml:space="preserve">Die neun NRW-Stellungnahmen im Original, vor allem das Gutachten Kloppenburg (18/3853).</w:t>
      </w:r>
      <w:r>
        <w:t xml:space="preserve"> </w:t>
      </w:r>
      <w:r>
        <w:t xml:space="preserve">Sie wurden für dieses Papier in Zusammenfassung ausgewertet. Seine Paragraphenangaben — § 57 Abs. 1 SchulG NRW, §§ 5 Abs. 1 und 10 Abs. 1 ADO, §§ 92–94 SchulG — stammen aus dieser Zusammenfassung und wurden nicht am Gesetzestext geprüft.</w:t>
      </w:r>
    </w:p>
    <w:p>
      <w:pPr>
        <w:numPr>
          <w:ilvl w:val="0"/>
          <w:numId w:val="1062"/>
        </w:numPr>
        <w:pStyle w:val="Compact"/>
      </w:pPr>
      <w:r>
        <w:rPr>
          <w:bCs/>
          <w:b/>
        </w:rPr>
        <w:t xml:space="preserve">Der Ausgang des NRW-Antrags 18/18104</w:t>
      </w:r>
      <w:r>
        <w:t xml:space="preserve"> </w:t>
      </w:r>
      <w:r>
        <w:t xml:space="preserve">und eine etwaige nachfolgende Ministeriumsregelung. Das ist das auslösende Ereignis für die deutsche Lage und gehört mit benanntem Verantwortlichen auf eine Beobachtungsliste.</w:t>
      </w:r>
    </w:p>
    <w:p>
      <w:pPr>
        <w:numPr>
          <w:ilvl w:val="0"/>
          <w:numId w:val="1062"/>
        </w:numPr>
        <w:pStyle w:val="Compact"/>
      </w:pPr>
      <w:r>
        <w:rPr>
          <w:bCs/>
          <w:b/>
        </w:rPr>
        <w:t xml:space="preserve">Das in der öffentlichen Diskussion erwähnte ISB-Rechtsgutachten zur KI-Bewertung in Bayern.</w:t>
      </w:r>
      <w:r>
        <w:t xml:space="preserve"> </w:t>
      </w:r>
      <w:r>
        <w:t xml:space="preserve">Eine Teilnehmerin gibt an, eine Handreichung sei in Vorbereitung und ein Rechtsgutachten liege bereits vor, nennt aber weder Titel noch Fundstelle. Es gehört mit dem offenen bayerischen Handlungsleitfaden zusammen; gemeinsam ergeben sie die bayerische Lage, und für diese Untersuchung stand keines von beiden zur Verfügung.</w:t>
      </w:r>
    </w:p>
    <w:p>
      <w:pPr>
        <w:numPr>
          <w:ilvl w:val="0"/>
          <w:numId w:val="1062"/>
        </w:numPr>
        <w:pStyle w:val="Compact"/>
      </w:pPr>
      <w:r>
        <w:rPr>
          <w:bCs/>
          <w:b/>
        </w:rPr>
        <w:t xml:space="preserve">Die aktuelle NRW-Ministeriumsantwort zur Korrektur und die begleitende KI-/Datenschutz-FAQ</w:t>
      </w:r>
      <w:r>
        <w:t xml:space="preserve">, im Original. Ihr Inhalt ist in §5.7 und §3.10 aus einer Sekundärauswertung wiedergegeben; die Ministeriumsseiten verweigerten in dieser Arbeit den Abruf und sollten beschafft und abgelegt werden.</w:t>
      </w:r>
    </w:p>
    <w:p>
      <w:pPr>
        <w:pStyle w:val="FirstParagraph"/>
      </w:pPr>
      <w:r>
        <w:rPr>
          <w:bCs/>
          <w:b/>
        </w:rPr>
        <w:t xml:space="preserve">EU-Ebene</w:t>
      </w:r>
    </w:p>
    <w:p>
      <w:pPr>
        <w:numPr>
          <w:ilvl w:val="0"/>
          <w:numId w:val="1063"/>
        </w:numPr>
        <w:pStyle w:val="Compact"/>
      </w:pPr>
      <w:r>
        <w:t xml:space="preserve">Ob eine</w:t>
      </w:r>
      <w:r>
        <w:t xml:space="preserve"> </w:t>
      </w:r>
      <w:r>
        <w:rPr>
          <w:bCs/>
          <w:b/>
        </w:rPr>
        <w:t xml:space="preserve">endgültige</w:t>
      </w:r>
      <w:r>
        <w:t xml:space="preserve"> </w:t>
      </w:r>
      <w:r>
        <w:t xml:space="preserve">Fassung der Kommissionsleitlinien zur Hochrisikoeinstufung angenommen wurde (letzter gesicherter Stand: Entwurf, 19. Mai 2026; ohnehin unverbindlich).</w:t>
      </w:r>
    </w:p>
    <w:p>
      <w:pPr>
        <w:numPr>
          <w:ilvl w:val="0"/>
          <w:numId w:val="1063"/>
        </w:numPr>
        <w:pStyle w:val="Compact"/>
      </w:pPr>
      <w:r>
        <w:t xml:space="preserve">Ob</w:t>
      </w:r>
      <w:r>
        <w:t xml:space="preserve"> </w:t>
      </w:r>
      <w:r>
        <w:rPr>
          <w:bCs/>
          <w:b/>
        </w:rPr>
        <w:t xml:space="preserve">überhaupt eine harmonisierte Norm</w:t>
      </w:r>
      <w:r>
        <w:t xml:space="preserve"> </w:t>
      </w:r>
      <w:r>
        <w:t xml:space="preserve">zur KI-VO im Amtsblatt fundstellenveröffentlicht wurde. Belege dafür fanden sich nicht. Unmittelbar vor Fertigstellung erneut prüfen — der schnellste bewegliche Punkt der Akte.</w:t>
      </w:r>
    </w:p>
    <w:p>
      <w:pPr>
        <w:numPr>
          <w:ilvl w:val="0"/>
          <w:numId w:val="1063"/>
        </w:numPr>
        <w:pStyle w:val="Compact"/>
      </w:pPr>
      <w:r>
        <w:t xml:space="preserve">Der Stand des</w:t>
      </w:r>
      <w:r>
        <w:t xml:space="preserve"> </w:t>
      </w:r>
      <w:r>
        <w:rPr>
          <w:bCs/>
          <w:b/>
        </w:rPr>
        <w:t xml:space="preserve">DSGVO-Teils des Digital-Omnibus</w:t>
      </w:r>
      <w:r>
        <w:t xml:space="preserve">, der Änderungen an Art. 22 vorschlug. Soweit feststellbar nicht angenommen. Es ist nicht davon auszugehen, dass Art. 22 gelockert wird.</w:t>
      </w:r>
    </w:p>
    <w:p>
      <w:pPr>
        <w:numPr>
          <w:ilvl w:val="0"/>
          <w:numId w:val="1063"/>
        </w:numPr>
        <w:pStyle w:val="Compact"/>
      </w:pPr>
      <w:r>
        <w:t xml:space="preserve">Ob gegen</w:t>
      </w:r>
      <w:r>
        <w:t xml:space="preserve"> </w:t>
      </w:r>
      <w:r>
        <w:rPr>
          <w:bCs/>
          <w:b/>
        </w:rPr>
        <w:t xml:space="preserve">T-553/23</w:t>
      </w:r>
      <w:r>
        <w:rPr>
          <w:bCs/>
          <w:b/>
        </w:rPr>
        <w:t xml:space="preserve"> </w:t>
      </w:r>
      <w:r>
        <w:rPr>
          <w:iCs/>
          <w:i/>
          <w:bCs/>
          <w:b/>
        </w:rPr>
        <w:t xml:space="preserve">Latombe</w:t>
      </w:r>
      <w:r>
        <w:t xml:space="preserve"> </w:t>
      </w:r>
      <w:r>
        <w:t xml:space="preserve">ein Rechtsmittel eingelegt wurde und wie der EU-US-Datenschutzrahmen politisch steht. Vor einer Festlegung zu US-Modellendpunkten erneut prüfen.</w:t>
      </w:r>
    </w:p>
    <w:p>
      <w:pPr>
        <w:numPr>
          <w:ilvl w:val="0"/>
          <w:numId w:val="1063"/>
        </w:numPr>
        <w:pStyle w:val="Compact"/>
      </w:pPr>
      <w:r>
        <w:t xml:space="preserve">Ob das</w:t>
      </w:r>
      <w:r>
        <w:t xml:space="preserve"> </w:t>
      </w:r>
      <w:r>
        <w:rPr>
          <w:bCs/>
          <w:b/>
        </w:rPr>
        <w:t xml:space="preserve">KI-Büro die Vorlage nach Art. 27 Abs. 5</w:t>
      </w:r>
      <w:r>
        <w:t xml:space="preserve"> </w:t>
      </w:r>
      <w:r>
        <w:t xml:space="preserve">veröffentlicht hat.</w:t>
      </w:r>
    </w:p>
    <w:p>
      <w:pPr>
        <w:numPr>
          <w:ilvl w:val="0"/>
          <w:numId w:val="1063"/>
        </w:numPr>
        <w:pStyle w:val="Compact"/>
      </w:pPr>
      <w:r>
        <w:t xml:space="preserve">Ob</w:t>
      </w:r>
      <w:r>
        <w:t xml:space="preserve"> </w:t>
      </w:r>
      <w:r>
        <w:rPr>
          <w:bCs/>
          <w:b/>
        </w:rPr>
        <w:t xml:space="preserve">eine Behörde die Anwendungslücke bei Art. 49 / Kapitel III Abschnitt 5</w:t>
      </w:r>
      <w:r>
        <w:t xml:space="preserve"> </w:t>
      </w:r>
      <w:r>
        <w:t xml:space="preserve">(§4.5) adressiert hat. Nichts gefunden.</w:t>
      </w:r>
    </w:p>
    <w:p>
      <w:pPr>
        <w:numPr>
          <w:ilvl w:val="0"/>
          <w:numId w:val="1063"/>
        </w:numPr>
        <w:pStyle w:val="Compact"/>
      </w:pPr>
      <w:r>
        <w:t xml:space="preserve">Ob die</w:t>
      </w:r>
      <w:r>
        <w:t xml:space="preserve"> </w:t>
      </w:r>
      <w:r>
        <w:rPr>
          <w:bCs/>
          <w:b/>
        </w:rPr>
        <w:t xml:space="preserve">EDSA-Leitlinien 01/2025 zur Pseudonymisierung</w:t>
      </w:r>
      <w:r>
        <w:t xml:space="preserve"> </w:t>
      </w:r>
      <w:r>
        <w:t xml:space="preserve">nach der Konsultation finalisiert wurden.</w:t>
      </w:r>
    </w:p>
    <w:p>
      <w:pPr>
        <w:pStyle w:val="FirstParagraph"/>
      </w:pPr>
      <w:r>
        <w:rPr>
          <w:bCs/>
          <w:b/>
        </w:rPr>
        <w:t xml:space="preserve">Deutschland</w:t>
      </w:r>
    </w:p>
    <w:p>
      <w:pPr>
        <w:numPr>
          <w:ilvl w:val="0"/>
          <w:numId w:val="1064"/>
        </w:numPr>
        <w:pStyle w:val="Compact"/>
      </w:pPr>
      <w:r>
        <w:t xml:space="preserve">Schuldatenschutzbestimmungen und Verordnungsbezeichnungen für</w:t>
      </w:r>
      <w:r>
        <w:t xml:space="preserve"> </w:t>
      </w:r>
      <w:r>
        <w:rPr>
          <w:bCs/>
          <w:b/>
        </w:rPr>
        <w:t xml:space="preserve">Berlin, Rheinland-Pfalz, Sachsen, Saarland, Schleswig-Holstein, Hamburg, Bremen, Brandenburg, Mecklenburg-Vorpommern, Sachsen-Anhalt und Thüringen</w:t>
      </w:r>
      <w:r>
        <w:t xml:space="preserve">. Für diese Länder sollten keine Paragraphen aus diesem Papier zitiert werden.</w:t>
      </w:r>
    </w:p>
    <w:p>
      <w:pPr>
        <w:numPr>
          <w:ilvl w:val="0"/>
          <w:numId w:val="1064"/>
        </w:numPr>
        <w:pStyle w:val="Compact"/>
      </w:pPr>
      <w:r>
        <w:rPr>
          <w:bCs/>
          <w:b/>
        </w:rPr>
        <w:t xml:space="preserve">§ 115b SchG BW und der DUVO-Text</w:t>
      </w:r>
      <w:r>
        <w:t xml:space="preserve"> </w:t>
      </w:r>
      <w:r>
        <w:t xml:space="preserve">(Ministeriumszitat, Texte ungelesen); der konsolidierte Text der</w:t>
      </w:r>
      <w:r>
        <w:t xml:space="preserve"> </w:t>
      </w:r>
      <w:r>
        <w:rPr>
          <w:bCs/>
          <w:b/>
        </w:rPr>
        <w:t xml:space="preserve">hessischen SchulDSVO</w:t>
      </w:r>
      <w:r>
        <w:t xml:space="preserve">.</w:t>
      </w:r>
    </w:p>
    <w:p>
      <w:pPr>
        <w:numPr>
          <w:ilvl w:val="0"/>
          <w:numId w:val="1064"/>
        </w:numPr>
        <w:pStyle w:val="Compact"/>
      </w:pPr>
      <w:r>
        <w:rPr>
          <w:bCs/>
          <w:b/>
        </w:rPr>
        <w:t xml:space="preserve">Mitbestimmungsnormen der Länder</w:t>
      </w:r>
      <w:r>
        <w:t xml:space="preserve"> </w:t>
      </w:r>
      <w:r>
        <w:t xml:space="preserve">(nur das BPersVG wurde verifiziert) und die</w:t>
      </w:r>
      <w:r>
        <w:t xml:space="preserve"> </w:t>
      </w:r>
      <w:r>
        <w:rPr>
          <w:bCs/>
          <w:b/>
        </w:rPr>
        <w:t xml:space="preserve">Landesentsprechungen zu § 35a VwVfG</w:t>
      </w:r>
      <w:r>
        <w:t xml:space="preserve">.</w:t>
      </w:r>
    </w:p>
    <w:p>
      <w:pPr>
        <w:numPr>
          <w:ilvl w:val="0"/>
          <w:numId w:val="1064"/>
        </w:numPr>
        <w:pStyle w:val="Compact"/>
      </w:pPr>
      <w:r>
        <w:rPr>
          <w:bCs/>
          <w:b/>
        </w:rPr>
        <w:t xml:space="preserve">Positionen der HRK</w:t>
      </w:r>
      <w:r>
        <w:t xml:space="preserve"> </w:t>
      </w:r>
      <w:r>
        <w:t xml:space="preserve">zu KI in Hochschulprüfungen — KI-LOTSE und das Papier von November 2024 waren nicht zu öffnen.</w:t>
      </w:r>
    </w:p>
    <w:p>
      <w:pPr>
        <w:numPr>
          <w:ilvl w:val="0"/>
          <w:numId w:val="1064"/>
        </w:numPr>
        <w:pStyle w:val="Compact"/>
      </w:pPr>
      <w:r>
        <w:rPr>
          <w:bCs/>
          <w:b/>
        </w:rPr>
        <w:t xml:space="preserve">Zulassungszeiträume für LOGINEO NRW, mebis, itslearning und Microsoft 365.</w:t>
      </w:r>
      <w:r>
        <w:t xml:space="preserve"> </w:t>
      </w:r>
      <w:r>
        <w:t xml:space="preserve">Die Zeitschätzungen in §8.1 sind strukturelle Schlüsse, keine Präzedenzfälle, und sollten vor einer Verwendung verifiziert werden.</w:t>
      </w:r>
    </w:p>
    <w:p>
      <w:pPr>
        <w:numPr>
          <w:ilvl w:val="0"/>
          <w:numId w:val="1064"/>
        </w:numPr>
        <w:pStyle w:val="Compact"/>
      </w:pPr>
      <w:r>
        <w:t xml:space="preserve">Zu</w:t>
      </w:r>
      <w:r>
        <w:t xml:space="preserve"> </w:t>
      </w:r>
      <w:r>
        <w:rPr>
          <w:bCs/>
          <w:b/>
        </w:rPr>
        <w:t xml:space="preserve">BayLDA, LDI NRW, BlnBDI und HBDI</w:t>
      </w:r>
      <w:r>
        <w:t xml:space="preserve"> </w:t>
      </w:r>
      <w:r>
        <w:t xml:space="preserve">wurde keine veröffentlichte Position zur KI-gestützten Bewertung gefunden — ein Negativbefund aus abgebrochener Recherche, keine bestätigte Abwesenheit.</w:t>
      </w:r>
    </w:p>
    <w:p>
      <w:pPr>
        <w:pStyle w:val="FirstParagraph"/>
      </w:pPr>
      <w:r>
        <w:rPr>
          <w:bCs/>
          <w:b/>
        </w:rPr>
        <w:t xml:space="preserve">Vereinigtes Königreich</w:t>
      </w:r>
    </w:p>
    <w:p>
      <w:pPr>
        <w:numPr>
          <w:ilvl w:val="0"/>
          <w:numId w:val="1065"/>
        </w:numPr>
        <w:pStyle w:val="Compact"/>
      </w:pPr>
      <w:r>
        <w:rPr>
          <w:bCs/>
          <w:b/>
        </w:rPr>
        <w:t xml:space="preserve">Endgültige ICO-Leitlinie zur automatisierten Entscheidung</w:t>
      </w:r>
      <w:r>
        <w:t xml:space="preserve"> </w:t>
      </w:r>
      <w:r>
        <w:t xml:space="preserve">(Konsultation am 29. Mai 2026 geschlossen; nicht veröffentlicht). Alle Angaben zur aussagekräftigen menschlichen Beteiligung stammen aus dem Entwurf.</w:t>
      </w:r>
    </w:p>
    <w:p>
      <w:pPr>
        <w:numPr>
          <w:ilvl w:val="0"/>
          <w:numId w:val="1065"/>
        </w:numPr>
        <w:pStyle w:val="Compact"/>
      </w:pPr>
      <w:r>
        <w:rPr>
          <w:bCs/>
          <w:b/>
        </w:rPr>
        <w:t xml:space="preserve">Der gesetzliche ICO-Kodex nach SI 2026/425</w:t>
      </w:r>
      <w:r>
        <w:t xml:space="preserve"> </w:t>
      </w:r>
      <w:r>
        <w:t xml:space="preserve">— die Pflicht gilt, aber weder Entwurf noch Konsultation noch Zeitplan waren auffindbar. Sein Kinder-Kapitel wird das maßgebliche britische Konformitätsdokument.</w:t>
      </w:r>
    </w:p>
    <w:p>
      <w:pPr>
        <w:numPr>
          <w:ilvl w:val="0"/>
          <w:numId w:val="1065"/>
        </w:numPr>
        <w:pStyle w:val="Compact"/>
      </w:pPr>
      <w:r>
        <w:rPr>
          <w:bCs/>
          <w:b/>
        </w:rPr>
        <w:t xml:space="preserve">JCQ-Abschnittsnummern</w:t>
      </w:r>
      <w:r>
        <w:t xml:space="preserve"> </w:t>
      </w:r>
      <w:r>
        <w:t xml:space="preserve">— die Zitate stammen aus der Webdarstellung; die PDF-Dateien lieferten Fehler.</w:t>
      </w:r>
    </w:p>
    <w:p>
      <w:pPr>
        <w:numPr>
          <w:ilvl w:val="0"/>
          <w:numId w:val="1065"/>
        </w:numPr>
        <w:pStyle w:val="Compact"/>
      </w:pPr>
      <w:r>
        <w:rPr>
          <w:bCs/>
          <w:b/>
        </w:rPr>
        <w:t xml:space="preserve">Eine KI-spezifische OfS-Bedingung oder -Leitlinie</w:t>
      </w:r>
      <w:r>
        <w:t xml:space="preserve"> </w:t>
      </w:r>
      <w:r>
        <w:t xml:space="preserve">sowie QAA-Veröffentlichungen 2025/26 zur KI-Bewertung. Nichts gefunden.</w:t>
      </w:r>
    </w:p>
    <w:p>
      <w:pPr>
        <w:numPr>
          <w:ilvl w:val="0"/>
          <w:numId w:val="1065"/>
        </w:numPr>
        <w:pStyle w:val="Compact"/>
      </w:pPr>
      <w:r>
        <w:rPr>
          <w:bCs/>
          <w:b/>
        </w:rPr>
        <w:t xml:space="preserve">Das förmliche Verfahren zur Aufnahme eines Drittdienstes in Glow</w:t>
      </w:r>
      <w:r>
        <w:t xml:space="preserve"> </w:t>
      </w:r>
      <w:r>
        <w:t xml:space="preserve">(Schottland) und ein veröffentlichtes Anbieter-Prüfverfahren für</w:t>
      </w:r>
      <w:r>
        <w:t xml:space="preserve"> </w:t>
      </w:r>
      <w:r>
        <w:rPr>
          <w:bCs/>
          <w:b/>
        </w:rPr>
        <w:t xml:space="preserve">Hwb</w:t>
      </w:r>
      <w:r>
        <w:t xml:space="preserve"> </w:t>
      </w:r>
      <w:r>
        <w:t xml:space="preserve">(Wales). Beide Wege in §8.2 sind Schlüsse mittlerer Verlässlichkeit.</w:t>
      </w:r>
    </w:p>
    <w:p>
      <w:pPr>
        <w:pStyle w:val="FirstParagraph"/>
      </w:pPr>
      <w:r>
        <w:rPr>
          <w:bCs/>
          <w:b/>
        </w:rPr>
        <w:t xml:space="preserve">Vereinigte Staaten</w:t>
      </w:r>
    </w:p>
    <w:p>
      <w:pPr>
        <w:numPr>
          <w:ilvl w:val="0"/>
          <w:numId w:val="1066"/>
        </w:numPr>
        <w:pStyle w:val="Compact"/>
      </w:pPr>
      <w:r>
        <w:rPr>
          <w:bCs/>
          <w:b/>
        </w:rPr>
        <w:t xml:space="preserve">Der verabschiedete Text von Oklahoma SB 1734.</w:t>
      </w:r>
      <w:r>
        <w:t xml:space="preserve"> </w:t>
      </w:r>
      <w:r>
        <w:t xml:space="preserve">Bestimmungen von vier Sekundärquellen übereinstimmend berichtet; genauer Wortlaut unverifiziert.</w:t>
      </w:r>
    </w:p>
    <w:p>
      <w:pPr>
        <w:numPr>
          <w:ilvl w:val="0"/>
          <w:numId w:val="1066"/>
        </w:numPr>
        <w:pStyle w:val="Compact"/>
      </w:pPr>
      <w:r>
        <w:rPr>
          <w:bCs/>
          <w:b/>
        </w:rPr>
        <w:t xml:space="preserve">Der Wortlaut des Exhibit E im NDPA v2.2</w:t>
      </w:r>
      <w:r>
        <w:t xml:space="preserve">, der für diese Untersuchung nicht verfügbar war.</w:t>
      </w:r>
    </w:p>
    <w:p>
      <w:pPr>
        <w:numPr>
          <w:ilvl w:val="0"/>
          <w:numId w:val="1066"/>
        </w:numPr>
        <w:pStyle w:val="Compact"/>
      </w:pPr>
      <w:r>
        <w:t xml:space="preserve">Datum und Instrument der</w:t>
      </w:r>
      <w:r>
        <w:t xml:space="preserve"> </w:t>
      </w:r>
      <w:r>
        <w:rPr>
          <w:bCs/>
          <w:b/>
        </w:rPr>
        <w:t xml:space="preserve">Rücknahme der OCR-KI-Leitlinie</w:t>
      </w:r>
      <w:r>
        <w:t xml:space="preserve">; ob</w:t>
      </w:r>
      <w:r>
        <w:t xml:space="preserve"> </w:t>
      </w:r>
      <w:r>
        <w:rPr>
          <w:bCs/>
          <w:b/>
        </w:rPr>
        <w:t xml:space="preserve">Klagen gegen die Aufhebung der Title-VI-Disparate-Impact-Vorschriften</w:t>
      </w:r>
      <w:r>
        <w:t xml:space="preserve"> </w:t>
      </w:r>
      <w:r>
        <w:t xml:space="preserve">anhängig sind.</w:t>
      </w:r>
    </w:p>
    <w:p>
      <w:pPr>
        <w:numPr>
          <w:ilvl w:val="0"/>
          <w:numId w:val="1066"/>
        </w:numPr>
        <w:pStyle w:val="Compact"/>
      </w:pPr>
      <w:r>
        <w:rPr>
          <w:bCs/>
          <w:b/>
        </w:rPr>
        <w:t xml:space="preserve">Der Text der Edmodo-Verfügung</w:t>
      </w:r>
      <w:r>
        <w:t xml:space="preserve">, einschließlich der Bestimmung zur algorithmischen Löschung.</w:t>
      </w:r>
    </w:p>
    <w:p>
      <w:pPr>
        <w:numPr>
          <w:ilvl w:val="0"/>
          <w:numId w:val="1066"/>
        </w:numPr>
        <w:pStyle w:val="Compact"/>
      </w:pPr>
      <w:r>
        <w:rPr>
          <w:bCs/>
          <w:b/>
        </w:rPr>
        <w:t xml:space="preserve">MSCHE- (Juli 2025) und C-RAC-Erklärungen (Oktober 2025)</w:t>
      </w:r>
      <w:r>
        <w:t xml:space="preserve"> </w:t>
      </w:r>
      <w:r>
        <w:t xml:space="preserve">— beide nicht abrufbar; sie sind vor einer Festlegung zum US-Hochschulsegment erforderlich.</w:t>
      </w:r>
    </w:p>
    <w:p>
      <w:pPr>
        <w:numPr>
          <w:ilvl w:val="0"/>
          <w:numId w:val="1066"/>
        </w:numPr>
        <w:pStyle w:val="Compact"/>
      </w:pPr>
      <w:r>
        <w:rPr>
          <w:bCs/>
          <w:b/>
        </w:rPr>
        <w:t xml:space="preserve">Ob eine FERPA-Rechtsetzung eingeleitet wurde</w:t>
      </w:r>
      <w:r>
        <w:t xml:space="preserve">, auf die die FTC verwiesen hat. Die gesamte COPPA-Blockade ruht darauf.</w:t>
      </w:r>
    </w:p>
    <w:p>
      <w:pPr>
        <w:numPr>
          <w:ilvl w:val="0"/>
          <w:numId w:val="1066"/>
        </w:numPr>
        <w:pStyle w:val="Compact"/>
      </w:pPr>
      <w:r>
        <w:rPr>
          <w:bCs/>
          <w:b/>
        </w:rPr>
        <w:t xml:space="preserve">Das Ergebnis der Abstimmung des Florida State Board of Education am 16. September 2026.</w:t>
      </w:r>
    </w:p>
    <w:p>
      <w:pPr>
        <w:numPr>
          <w:ilvl w:val="0"/>
          <w:numId w:val="1066"/>
        </w:numPr>
        <w:pStyle w:val="Compact"/>
      </w:pPr>
      <w:r>
        <w:t xml:space="preserve">Status von</w:t>
      </w:r>
      <w:r>
        <w:t xml:space="preserve"> </w:t>
      </w:r>
      <w:r>
        <w:rPr>
          <w:bCs/>
          <w:b/>
        </w:rPr>
        <w:t xml:space="preserve">Kalifornien AB 1064</w:t>
      </w:r>
      <w:r>
        <w:t xml:space="preserve">; Inhalt von</w:t>
      </w:r>
      <w:r>
        <w:t xml:space="preserve"> </w:t>
      </w:r>
      <w:r>
        <w:rPr>
          <w:bCs/>
          <w:b/>
        </w:rPr>
        <w:t xml:space="preserve">Alabama HB 329</w:t>
      </w:r>
      <w:r>
        <w:t xml:space="preserve">,</w:t>
      </w:r>
      <w:r>
        <w:t xml:space="preserve"> </w:t>
      </w:r>
      <w:r>
        <w:rPr>
          <w:bCs/>
          <w:b/>
        </w:rPr>
        <w:t xml:space="preserve">Hawaii SB 2212</w:t>
      </w:r>
      <w:r>
        <w:t xml:space="preserve"> </w:t>
      </w:r>
      <w:r>
        <w:t xml:space="preserve">und</w:t>
      </w:r>
      <w:r>
        <w:t xml:space="preserve"> </w:t>
      </w:r>
      <w:r>
        <w:rPr>
          <w:bCs/>
          <w:b/>
        </w:rPr>
        <w:t xml:space="preserve">West Virginia HB 5205</w:t>
      </w:r>
      <w:r>
        <w:t xml:space="preserve">; die Paragraphennummer der Tennessee-Regelung für Schulbezirke; ob ein</w:t>
      </w:r>
      <w:r>
        <w:t xml:space="preserve"> </w:t>
      </w:r>
      <w:r>
        <w:rPr>
          <w:bCs/>
          <w:b/>
        </w:rPr>
        <w:t xml:space="preserve">überarbeitetes NIST AI RMF</w:t>
      </w:r>
      <w:r>
        <w:t xml:space="preserve"> </w:t>
      </w:r>
      <w:r>
        <w:t xml:space="preserve">veröffentlicht wurde.</w:t>
      </w:r>
    </w:p>
    <w:p>
      <w:pPr>
        <w:numPr>
          <w:ilvl w:val="0"/>
          <w:numId w:val="1066"/>
        </w:numPr>
        <w:pStyle w:val="Compact"/>
      </w:pPr>
      <w:r>
        <w:rPr>
          <w:bCs/>
          <w:b/>
        </w:rPr>
        <w:t xml:space="preserve">Sämtliche in Sekundäranalysen genannten Produkthaftungsverfahren zu KI</w:t>
      </w:r>
      <w:r>
        <w:t xml:space="preserve"> </w:t>
      </w:r>
      <w:r>
        <w:t xml:space="preserve">sowie der</w:t>
      </w:r>
      <w:r>
        <w:t xml:space="preserve"> </w:t>
      </w:r>
      <w:r>
        <w:rPr>
          <w:bCs/>
          <w:b/>
        </w:rPr>
        <w:t xml:space="preserve">KI-E&amp;O-Versicherungsmarkt</w:t>
      </w:r>
      <w:r>
        <w:t xml:space="preserve">, der außerhalb des Umfangs dieser Untersuchung lag.</w:t>
      </w:r>
    </w:p>
    <w:p>
      <w:pPr>
        <w:pStyle w:val="FirstParagraph"/>
      </w:pPr>
      <w:r>
        <w:rPr>
          <w:bCs/>
          <w:b/>
        </w:rPr>
        <w:t xml:space="preserve">Eine Anmerkung zum Quellenabruf.</w:t>
      </w:r>
      <w:r>
        <w:t xml:space="preserve"> </w:t>
      </w:r>
      <w:r>
        <w:t xml:space="preserve">Drei Abrufkonnektoren (Brightdata, Anthropic Partner Network, Apollo) mussten während der Recherche neu autorisiert werden und standen nicht zur Verfügung. Das Schließen der Länderlücken in Punkt 16 ginge mit einem funktionierenden Zugriff auf die Hosts von DKJS, hessenrecht, landesrecht-bw und Medienberatung NRW erheblich schneller.</w:t>
      </w:r>
    </w:p>
    <w:bookmarkEnd w:id="200"/>
    <w:bookmarkStart w:id="201" w:name="quellen"/>
    <w:p>
      <w:pPr>
        <w:pStyle w:val="Heading2"/>
      </w:pPr>
      <w:r>
        <w:t xml:space="preserve">15. Quellen</w:t>
      </w:r>
    </w:p>
    <w:p>
      <w:pPr>
        <w:pStyle w:val="FirstParagraph"/>
      </w:pPr>
      <w:r>
        <w:t xml:space="preserve">Das vollständige Quellenverzeichnis findet sich in</w:t>
      </w:r>
      <w:r>
        <w:t xml:space="preserve"> </w:t>
      </w:r>
      <w:r>
        <w:rPr>
          <w:bCs/>
          <w:b/>
        </w:rPr>
        <w:t xml:space="preserve">Teil I, Abschnitt 15</w:t>
      </w:r>
      <w:r>
        <w:t xml:space="preserve">. Es gilt unverändert für Teil II; die Fundstellen sind dort nach Rechtsraum gegliedert: EU-Rechtsakte (15.1), EU-Rechtsprechung (15.2), EU-Aufsichtsdokumente (15.3), Deutschland (15.4), Vereinigtes Königreich (15.5), USA Bundesebene (15.6) und USA Einzelstaaten (15.7).</w:t>
      </w:r>
    </w:p>
    <w:p>
      <w:pPr>
        <w:pStyle w:val="BodyText"/>
      </w:pPr>
      <w:r>
        <w:rPr>
          <w:iCs/>
          <w:i/>
        </w:rPr>
        <w:t xml:space="preserve">Ende von Teil II.</w:t>
      </w:r>
    </w:p>
    <w:bookmarkEnd w:id="201"/>
    <w:bookmarkEnd w:id="2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1">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33">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53">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5">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66">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and Regulatory Requirements for AI-Supported Exam Grading</dc:title>
  <dc:creator>Germany · United Kingdom · United States</dc:creator>
  <cp:keywords/>
  <dcterms:created xsi:type="dcterms:W3CDTF">2026-09-11T22:35:13Z</dcterms:created>
  <dcterms:modified xsi:type="dcterms:W3CDTF">2026-09-11T22:35:13Z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 review of the applicable law as at 11 September 2026 · Version 2.0</vt:lpwstr>
  </property>
</Properties>
</file>