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0B8A8F"/>
          <w:sz w:val="20"/>
          <w:szCs w:val="20"/>
        </w:rPr>
        <w:t xml:space="preserve">NDI Advisory Briefing</w:t>
      </w:r>
    </w:p>
    <w:p>
      <w:pPr>
        <w:spacing w:after="200"/>
        <w:jc w:val="left"/>
      </w:pPr>
      <w:r>
        <w:rPr>
          <w:rFonts w:ascii="Arial" w:cs="Arial" w:eastAsia="Arial" w:hAnsi="Arial"/>
          <w:b/>
          <w:bCs/>
          <w:color w:val="111111"/>
          <w:sz w:val="44"/>
          <w:szCs w:val="44"/>
        </w:rPr>
        <w:t xml:space="preserve">GDPR Compliance of the Major Large Language Model Services</w:t>
      </w:r>
    </w:p>
    <w:p>
      <w:pPr>
        <w:spacing w:after="60"/>
        <w:jc w:val="left"/>
      </w:pPr>
      <w:r>
        <w:rPr>
          <w:rFonts w:ascii="Arial" w:cs="Arial" w:eastAsia="Arial" w:hAnsi="Arial"/>
          <w:i/>
          <w:iCs/>
          <w:color w:val="555555"/>
          <w:sz w:val="24"/>
          <w:szCs w:val="24"/>
        </w:rPr>
        <w:t xml:space="preserve">A comparative analysis for mid-market enterprise deployment in the EU/EEA</w:t>
      </w:r>
    </w:p>
    <w:p>
      <w:pPr>
        <w:spacing w:after="360"/>
        <w:jc w:val="left"/>
      </w:pPr>
      <w:r>
        <w:rPr>
          <w:rFonts w:ascii="Arial" w:cs="Arial" w:eastAsia="Arial" w:hAnsi="Arial"/>
          <w:color w:val="777777"/>
          <w:sz w:val="20"/>
          <w:szCs w:val="20"/>
        </w:rPr>
        <w:t xml:space="preserve">Status: April 2026</w:t>
      </w:r>
    </w:p>
    <w:p>
      <w:pPr>
        <w:pStyle w:val="Heading1"/>
        <w:spacing w:after="200" w:before="360"/>
      </w:pPr>
      <w:r>
        <w:rPr>
          <w:rFonts w:ascii="Arial" w:cs="Arial" w:eastAsia="Arial" w:hAnsi="Arial"/>
          <w:b/>
          <w:bCs/>
          <w:color w:val="0B8A8F"/>
          <w:sz w:val="32"/>
          <w:szCs w:val="32"/>
        </w:rPr>
        <w:t xml:space="preserve">Executive Summary</w:t>
      </w:r>
    </w:p>
    <w:p>
      <w:pPr>
        <w:spacing w:after="120"/>
      </w:pPr>
      <w:r>
        <w:rPr>
          <w:rFonts w:ascii="Arial" w:cs="Arial" w:eastAsia="Arial" w:hAnsi="Arial"/>
          <w:sz w:val="22"/>
          <w:szCs w:val="22"/>
        </w:rPr>
        <w:t xml:space="preserve">GDPR compliance for large language model (LLM) services is not a binary state. </w:t>
      </w:r>
      <w:r>
        <w:rPr>
          <w:rFonts w:ascii="Arial" w:cs="Arial" w:eastAsia="Arial" w:hAnsi="Arial"/>
          <w:b/>
          <w:bCs/>
          <w:sz w:val="22"/>
          <w:szCs w:val="22"/>
        </w:rPr>
        <w:t xml:space="preserve">It is a layered question</w:t>
      </w:r>
      <w:r>
        <w:rPr>
          <w:rFonts w:ascii="Arial" w:cs="Arial" w:eastAsia="Arial" w:hAnsi="Arial"/>
          <w:sz w:val="22"/>
          <w:szCs w:val="22"/>
        </w:rPr>
        <w:t xml:space="preserve"> of (1) the </w:t>
      </w:r>
      <w:r>
        <w:rPr>
          <w:rFonts w:ascii="Arial" w:cs="Arial" w:eastAsia="Arial" w:hAnsi="Arial"/>
          <w:i/>
          <w:iCs/>
          <w:sz w:val="22"/>
          <w:szCs w:val="22"/>
        </w:rPr>
        <w:t xml:space="preserve">service tier</w:t>
      </w:r>
      <w:r>
        <w:rPr>
          <w:rFonts w:ascii="Arial" w:cs="Arial" w:eastAsia="Arial" w:hAnsi="Arial"/>
          <w:sz w:val="22"/>
          <w:szCs w:val="22"/>
        </w:rPr>
        <w:t xml:space="preserve"> (consumer vs. business vs. cloud-hyperscaler API), (2) the </w:t>
      </w:r>
      <w:r>
        <w:rPr>
          <w:rFonts w:ascii="Arial" w:cs="Arial" w:eastAsia="Arial" w:hAnsi="Arial"/>
          <w:i/>
          <w:iCs/>
          <w:sz w:val="22"/>
          <w:szCs w:val="22"/>
        </w:rPr>
        <w:t xml:space="preserve">deployment path</w:t>
      </w:r>
      <w:r>
        <w:rPr>
          <w:rFonts w:ascii="Arial" w:cs="Arial" w:eastAsia="Arial" w:hAnsi="Arial"/>
          <w:sz w:val="22"/>
          <w:szCs w:val="22"/>
        </w:rPr>
        <w:t xml:space="preserve"> (vendor-direct vs. via AWS Bedrock, GCP Vertex AI, Azure / Microsoft Foundry), (3) the </w:t>
      </w:r>
      <w:r>
        <w:rPr>
          <w:rFonts w:ascii="Arial" w:cs="Arial" w:eastAsia="Arial" w:hAnsi="Arial"/>
          <w:i/>
          <w:iCs/>
          <w:sz w:val="22"/>
          <w:szCs w:val="22"/>
        </w:rPr>
        <w:t xml:space="preserve">data residency configuration</w:t>
      </w:r>
      <w:r>
        <w:rPr>
          <w:rFonts w:ascii="Arial" w:cs="Arial" w:eastAsia="Arial" w:hAnsi="Arial"/>
          <w:sz w:val="22"/>
          <w:szCs w:val="22"/>
        </w:rPr>
        <w:t xml:space="preserve"> chosen, and (4) the </w:t>
      </w:r>
      <w:r>
        <w:rPr>
          <w:rFonts w:ascii="Arial" w:cs="Arial" w:eastAsia="Arial" w:hAnsi="Arial"/>
          <w:i/>
          <w:iCs/>
          <w:sz w:val="22"/>
          <w:szCs w:val="22"/>
        </w:rPr>
        <w:t xml:space="preserve">controller-side controls</w:t>
      </w:r>
      <w:r>
        <w:rPr>
          <w:rFonts w:ascii="Arial" w:cs="Arial" w:eastAsia="Arial" w:hAnsi="Arial"/>
          <w:sz w:val="22"/>
          <w:szCs w:val="22"/>
        </w:rPr>
        <w:t xml:space="preserve"> the customer puts in place (DPA, DPIA, data minimisation, training opt-out).</w:t>
      </w:r>
    </w:p>
    <w:p>
      <w:pPr>
        <w:spacing w:after="120"/>
      </w:pPr>
      <w:r>
        <w:rPr>
          <w:rFonts w:ascii="Arial" w:cs="Arial" w:eastAsia="Arial" w:hAnsi="Arial"/>
          <w:sz w:val="22"/>
          <w:szCs w:val="22"/>
        </w:rPr>
        <w:t xml:space="preserve">As of April 2026, no major frontier LLM service is </w:t>
      </w:r>
      <w:r>
        <w:rPr>
          <w:rFonts w:ascii="Arial" w:cs="Arial" w:eastAsia="Arial" w:hAnsi="Arial"/>
          <w:i/>
          <w:iCs/>
          <w:sz w:val="22"/>
          <w:szCs w:val="22"/>
        </w:rPr>
        <w:t xml:space="preserve">structurally</w:t>
      </w:r>
      <w:r>
        <w:rPr>
          <w:rFonts w:ascii="Arial" w:cs="Arial" w:eastAsia="Arial" w:hAnsi="Arial"/>
          <w:sz w:val="22"/>
          <w:szCs w:val="22"/>
        </w:rPr>
        <w:t xml:space="preserve"> GDPR-compliant in its consumer / free tier. Compliance becomes achievable, with caveats, from the business / API tier upwards. The strongest EU-resident processing posture is offered by Mistral (EU-native by default), followed by Anthropic Claude and Google Gemini via Vertex AI in EU regions, then Microsoft Copilot under the EU Data Boundary (now weakened by Flex Routing), Azure OpenAI (Sweden / Frankfurt), and AWS Bedrock with Claude in Frankfurt. OpenAI direct, Anthropic direct (claude.ai), and DeepSeek are the weakest from a pure data-residency perspective, with DeepSeek effectively non-compliant for EU personal data processing.</w:t>
      </w:r>
    </w:p>
    <w:p>
      <w:pPr>
        <w:spacing w:after="120"/>
      </w:pPr>
      <w:r>
        <w:rPr>
          <w:rFonts w:ascii="Arial" w:cs="Arial" w:eastAsia="Arial" w:hAnsi="Arial"/>
          <w:b/>
          <w:bCs/>
          <w:sz w:val="22"/>
          <w:szCs w:val="22"/>
        </w:rPr>
        <w:t xml:space="preserve">Key takeaway for NDI client work: </w:t>
      </w:r>
      <w:r>
        <w:rPr>
          <w:rFonts w:ascii="Arial" w:cs="Arial" w:eastAsia="Arial" w:hAnsi="Arial"/>
          <w:sz w:val="22"/>
          <w:szCs w:val="22"/>
        </w:rPr>
        <w:t xml:space="preserve">the choice of LLM provider should be made jointly with the choice of deployment route. The same model (Claude Sonnet 4.6, GPT-class, or Gemini) can be GDPR-acceptable or GDPR-fragile depending on whether it is consumed via the vendor's own US infrastructure or via an EU-hosted hyperscaler endpoint with a binding DPA and Standard Contractual Clauses (SCCs).</w:t>
      </w:r>
    </w:p>
    <w:p>
      <w:pPr>
        <w:pStyle w:val="Heading1"/>
        <w:spacing w:after="200" w:before="360"/>
      </w:pPr>
      <w:r>
        <w:rPr>
          <w:rFonts w:ascii="Arial" w:cs="Arial" w:eastAsia="Arial" w:hAnsi="Arial"/>
          <w:b/>
          <w:bCs/>
          <w:color w:val="0B8A8F"/>
          <w:sz w:val="32"/>
          <w:szCs w:val="32"/>
        </w:rPr>
        <w:t xml:space="preserve">1. The GDPR Framework Applied to LLM Services</w:t>
      </w:r>
    </w:p>
    <w:p>
      <w:pPr>
        <w:pStyle w:val="Heading2"/>
        <w:spacing w:after="140" w:before="280"/>
      </w:pPr>
      <w:r>
        <w:rPr>
          <w:rFonts w:ascii="Arial" w:cs="Arial" w:eastAsia="Arial" w:hAnsi="Arial"/>
          <w:b/>
          <w:bCs/>
          <w:color w:val="222222"/>
          <w:sz w:val="26"/>
          <w:szCs w:val="26"/>
        </w:rPr>
        <w:t xml:space="preserve">1.1 Why LLMs are GDPR-relevant</w:t>
      </w:r>
    </w:p>
    <w:p>
      <w:pPr>
        <w:spacing w:after="120"/>
      </w:pPr>
      <w:r>
        <w:rPr>
          <w:rFonts w:ascii="Arial" w:cs="Arial" w:eastAsia="Arial" w:hAnsi="Arial"/>
          <w:sz w:val="22"/>
          <w:szCs w:val="22"/>
        </w:rPr>
        <w:t xml:space="preserve">Whenever a prompt, file, or context window contains personal data — names, email addresses, customer records, employee identifiers, even login metadata — that input constitutes </w:t>
      </w:r>
      <w:r>
        <w:rPr>
          <w:rFonts w:ascii="Arial" w:cs="Arial" w:eastAsia="Arial" w:hAnsi="Arial"/>
          <w:b/>
          <w:bCs/>
          <w:sz w:val="22"/>
          <w:szCs w:val="22"/>
        </w:rPr>
        <w:t xml:space="preserve">processing of personal data</w:t>
      </w:r>
      <w:r>
        <w:rPr>
          <w:rFonts w:ascii="Arial" w:cs="Arial" w:eastAsia="Arial" w:hAnsi="Arial"/>
          <w:sz w:val="22"/>
          <w:szCs w:val="22"/>
        </w:rPr>
        <w:t xml:space="preserve"> under Art. 4(2) GDPR. The German supervisory authorities (notably BayLfD and the Hamburg DPA) have made clear that the GDPR applies even where only training data is personal, and even where the only personal data is the user's own login or interaction metadata.</w:t>
      </w:r>
    </w:p>
    <w:p>
      <w:pPr>
        <w:pStyle w:val="Heading2"/>
        <w:spacing w:after="140" w:before="280"/>
      </w:pPr>
      <w:r>
        <w:rPr>
          <w:rFonts w:ascii="Arial" w:cs="Arial" w:eastAsia="Arial" w:hAnsi="Arial"/>
          <w:b/>
          <w:bCs/>
          <w:color w:val="222222"/>
          <w:sz w:val="26"/>
          <w:szCs w:val="26"/>
        </w:rPr>
        <w:t xml:space="preserve">1.2 The compliance stack — what must be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pPr>
            <w:r>
              <w:rPr>
                <w:rFonts w:ascii="Arial" w:cs="Arial" w:eastAsia="Arial" w:hAnsi="Arial"/>
                <w:b/>
                <w:bCs/>
                <w:sz w:val="20"/>
                <w:szCs w:val="20"/>
              </w:rPr>
              <w:t xml:space="preserve">Requirement</w:t>
            </w:r>
          </w:p>
        </w:tc>
        <w:tc>
          <w:tcPr>
            <w:tcW w:type="dxa" w:w="676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pPr>
            <w:r>
              <w:rPr>
                <w:rFonts w:ascii="Arial" w:cs="Arial" w:eastAsia="Arial" w:hAnsi="Arial"/>
                <w:b/>
                <w:bCs/>
                <w:sz w:val="20"/>
                <w:szCs w:val="20"/>
              </w:rPr>
              <w:t xml:space="preserve">What it means in an LLM context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Lawful basis (Art. 6)</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Documented basis for each processing activity (consent, contract, legitimate interest). For employees, legitimate interest typically requires a balancing test.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Data Processing Agreement (Art. 28)</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Mandatory binding contract with the LLM vendor when they act as processor. Consumer / free tiers typically do NOT offer a DPA — this alone makes them non-compliant for business use.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Third-country transfers (Chapter V)</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Standard Contractual Clauses (SCCs) plus a Transfer Impact Assessment (TIA) post-Schrems II. The EU-US Data Privacy Framework is currently in force but politically fragile.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Data subject rights (Art. 15-22)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Access, rectification, erasure, objection, portability. The hardest one for LLMs is erasure from a trained model — technically near-impossible without retraining.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Data protection by design (Art. 25)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Default-private settings, pseudonymisation, retention limits. Vendors must demonstrate this in product architecture, not only in policy.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DPIA (Art. 35)</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Required for any LLM use involving systematic processing of employee data, large-scale processing, or special category data. The controller — i.e. the customer — owns this.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Accountability (Art. 5(2))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The controller must be able to demonstrate compliance — including where data was processed, by which sub-processor, and under what legal basis.</w:t>
            </w:r>
          </w:p>
        </w:tc>
      </w:tr>
    </w:tbl>
    <w:p>
      <w:pPr>
        <w:pStyle w:val="Heading2"/>
        <w:spacing w:after="140" w:before="280"/>
      </w:pPr>
      <w:r>
        <w:rPr>
          <w:rFonts w:ascii="Arial" w:cs="Arial" w:eastAsia="Arial" w:hAnsi="Arial"/>
          <w:b/>
          <w:bCs/>
          <w:color w:val="222222"/>
          <w:sz w:val="26"/>
          <w:szCs w:val="26"/>
        </w:rPr>
        <w:t xml:space="preserve">1.3 The two structural problems unique to LLMs</w:t>
      </w:r>
    </w:p>
    <w:p>
      <w:pPr>
        <w:spacing w:after="120"/>
      </w:pPr>
      <w:r>
        <w:rPr>
          <w:rFonts w:ascii="Arial" w:cs="Arial" w:eastAsia="Arial" w:hAnsi="Arial"/>
          <w:b/>
          <w:bCs/>
          <w:sz w:val="22"/>
          <w:szCs w:val="22"/>
        </w:rPr>
        <w:t xml:space="preserve">(1) The right to erasure vs. trained models. </w:t>
      </w:r>
      <w:r>
        <w:rPr>
          <w:rFonts w:ascii="Arial" w:cs="Arial" w:eastAsia="Arial" w:hAnsi="Arial"/>
          <w:sz w:val="22"/>
          <w:szCs w:val="22"/>
        </w:rPr>
        <w:t xml:space="preserve">Once personal data has been incorporated into model weights, neural networks cannot "forget" in the GDPR sense. The European Data Protection Board (EDPB) ChatGPT Taskforce has explicitly stated that "technical impossibility" is not an acceptable defence under Art. 17.</w:t>
      </w:r>
    </w:p>
    <w:p>
      <w:pPr>
        <w:spacing w:after="120"/>
      </w:pPr>
      <w:r>
        <w:rPr>
          <w:rFonts w:ascii="Arial" w:cs="Arial" w:eastAsia="Arial" w:hAnsi="Arial"/>
          <w:b/>
          <w:bCs/>
          <w:sz w:val="22"/>
          <w:szCs w:val="22"/>
        </w:rPr>
        <w:t xml:space="preserve">(2) Output accuracy and the principle of accuracy (Art. 5(1)(d)). </w:t>
      </w:r>
      <w:r>
        <w:rPr>
          <w:rFonts w:ascii="Arial" w:cs="Arial" w:eastAsia="Arial" w:hAnsi="Arial"/>
          <w:sz w:val="22"/>
          <w:szCs w:val="22"/>
        </w:rPr>
        <w:t xml:space="preserve">LLMs hallucinate. The EDPB has noted that the probabilistic nature of LLM responses does not exempt vendors from the accuracy principle when outputs concern identifiable individuals.</w:t>
      </w:r>
    </w:p>
    <w:p>
      <w:pPr>
        <w:pStyle w:val="Heading1"/>
        <w:spacing w:after="200" w:before="360"/>
      </w:pPr>
      <w:r>
        <w:rPr>
          <w:rFonts w:ascii="Arial" w:cs="Arial" w:eastAsia="Arial" w:hAnsi="Arial"/>
          <w:b/>
          <w:bCs/>
          <w:color w:val="0B8A8F"/>
          <w:sz w:val="32"/>
          <w:szCs w:val="32"/>
        </w:rPr>
        <w:t xml:space="preserve">2. Provider-by-Provider Analysis</w:t>
      </w:r>
    </w:p>
    <w:p>
      <w:pPr>
        <w:pStyle w:val="Heading2"/>
        <w:spacing w:after="140" w:before="280"/>
      </w:pPr>
      <w:r>
        <w:rPr>
          <w:rFonts w:ascii="Arial" w:cs="Arial" w:eastAsia="Arial" w:hAnsi="Arial"/>
          <w:b/>
          <w:bCs/>
          <w:color w:val="222222"/>
          <w:sz w:val="26"/>
          <w:szCs w:val="26"/>
        </w:rPr>
        <w:t xml:space="preserve">2.1 OpenAI — ChatGPT and the API</w:t>
      </w:r>
    </w:p>
    <w:p>
      <w:pPr>
        <w:pStyle w:val="Heading3"/>
        <w:spacing w:after="100" w:before="220"/>
      </w:pPr>
      <w:r>
        <w:rPr>
          <w:rFonts w:ascii="Arial" w:cs="Arial" w:eastAsia="Arial" w:hAnsi="Arial"/>
          <w:b/>
          <w:bCs/>
          <w:color w:val="0B8A8F"/>
          <w:sz w:val="23"/>
          <w:szCs w:val="23"/>
        </w:rPr>
        <w:t xml:space="preserve">Compliance posture</w:t>
      </w:r>
    </w:p>
    <w:p>
      <w:pPr>
        <w:spacing w:after="120"/>
      </w:pPr>
      <w:r>
        <w:rPr>
          <w:rFonts w:ascii="Arial" w:cs="Arial" w:eastAsia="Arial" w:hAnsi="Arial"/>
          <w:sz w:val="22"/>
          <w:szCs w:val="22"/>
        </w:rPr>
        <w:t xml:space="preserve">OpenAI offers a Data Processing Addendum for the </w:t>
      </w:r>
      <w:r>
        <w:rPr>
          <w:rFonts w:ascii="Arial" w:cs="Arial" w:eastAsia="Arial" w:hAnsi="Arial"/>
          <w:b/>
          <w:bCs/>
          <w:sz w:val="22"/>
          <w:szCs w:val="22"/>
        </w:rPr>
        <w:t xml:space="preserve">API, ChatGPT Enterprise, Business, Edu, Healthcare, and for Teachers tiers</w:t>
      </w:r>
      <w:r>
        <w:rPr>
          <w:rFonts w:ascii="Arial" w:cs="Arial" w:eastAsia="Arial" w:hAnsi="Arial"/>
          <w:sz w:val="22"/>
          <w:szCs w:val="22"/>
        </w:rPr>
        <w:t xml:space="preserve"> — but explicitly NOT for the consumer free / Plus tiers. The business tiers carry SOC 2 Type 2, ISO/IEC 27001:2022, and ISO/IEC 27701:2019 certifications, with PCI-DSS for payment-processing components and CSA STAR registry inclusion. Encryption is AES-256 at rest and TLS 1.2+ in transit, with Enterprise Key Management (EKM) available.</w:t>
      </w:r>
    </w:p>
    <w:p>
      <w:pPr>
        <w:spacing w:after="120"/>
      </w:pPr>
      <w:r>
        <w:rPr>
          <w:rFonts w:ascii="Arial" w:cs="Arial" w:eastAsia="Arial" w:hAnsi="Arial"/>
          <w:b/>
          <w:bCs/>
          <w:sz w:val="22"/>
          <w:szCs w:val="22"/>
        </w:rPr>
        <w:t xml:space="preserve">Data residency. </w:t>
      </w:r>
      <w:r>
        <w:rPr>
          <w:rFonts w:ascii="Arial" w:cs="Arial" w:eastAsia="Arial" w:hAnsi="Arial"/>
          <w:sz w:val="22"/>
          <w:szCs w:val="22"/>
        </w:rPr>
        <w:t xml:space="preserve">Eligible Enterprise / Edu / Healthcare / API customers can store sensitive customer content at rest in the EU, UK, US, Japan, Canada, South Korea, Singapore, Australia, India and the UAE. In-region GPU inference is currently limited to the US.</w:t>
      </w:r>
    </w:p>
    <w:p>
      <w:pPr>
        <w:spacing w:after="120"/>
      </w:pPr>
      <w:r>
        <w:rPr>
          <w:rFonts w:ascii="Arial" w:cs="Arial" w:eastAsia="Arial" w:hAnsi="Arial"/>
          <w:b/>
          <w:bCs/>
          <w:sz w:val="22"/>
          <w:szCs w:val="22"/>
        </w:rPr>
        <w:t xml:space="preserve">Training. </w:t>
      </w:r>
      <w:r>
        <w:rPr>
          <w:rFonts w:ascii="Arial" w:cs="Arial" w:eastAsia="Arial" w:hAnsi="Arial"/>
          <w:sz w:val="22"/>
          <w:szCs w:val="22"/>
        </w:rPr>
        <w:t xml:space="preserve">By default, business and API tier inputs/outputs are NOT used for model training. Consumer inputs may be used unless the user actively opts out.</w:t>
      </w:r>
    </w:p>
    <w:p>
      <w:pPr>
        <w:pStyle w:val="Heading3"/>
        <w:spacing w:after="100" w:before="220"/>
      </w:pPr>
      <w:r>
        <w:rPr>
          <w:rFonts w:ascii="Arial" w:cs="Arial" w:eastAsia="Arial" w:hAnsi="Arial"/>
          <w:b/>
          <w:bCs/>
          <w:color w:val="0B8A8F"/>
          <w:sz w:val="23"/>
          <w:szCs w:val="23"/>
        </w:rPr>
        <w:t xml:space="preserve">Open compliance issues</w:t>
      </w:r>
    </w:p>
    <w:p>
      <w:pPr>
        <w:pStyle w:val="ListParagraph"/>
        <w:numPr>
          <w:ilvl w:val="0"/>
          <w:numId w:val="2"/>
        </w:numPr>
        <w:spacing w:after="80"/>
      </w:pPr>
      <w:r>
        <w:rPr>
          <w:rFonts w:ascii="Arial" w:cs="Arial" w:eastAsia="Arial" w:hAnsi="Arial"/>
          <w:b/>
          <w:bCs/>
          <w:sz w:val="22"/>
          <w:szCs w:val="22"/>
        </w:rPr>
        <w:t xml:space="preserve">EDPB ChatGPT Taskforce </w:t>
      </w:r>
      <w:r>
        <w:rPr>
          <w:rFonts w:ascii="Arial" w:cs="Arial" w:eastAsia="Arial" w:hAnsi="Arial"/>
          <w:sz w:val="22"/>
          <w:szCs w:val="22"/>
        </w:rPr>
        <w:t xml:space="preserve">investigation remains open as of March 2026 — coordinated investigations across multiple supervisory authorities (Italy's Garante having previously imposed and lifted a ban). The EDPB has stated that "technical impossibility" cannot justify non-compliance with data protection by design.</w:t>
      </w:r>
    </w:p>
    <w:p>
      <w:pPr>
        <w:pStyle w:val="ListParagraph"/>
        <w:numPr>
          <w:ilvl w:val="0"/>
          <w:numId w:val="2"/>
        </w:numPr>
        <w:spacing w:after="80"/>
      </w:pPr>
      <w:r>
        <w:rPr>
          <w:rFonts w:ascii="Arial" w:cs="Arial" w:eastAsia="Arial" w:hAnsi="Arial"/>
          <w:b/>
          <w:bCs/>
          <w:sz w:val="22"/>
          <w:szCs w:val="22"/>
        </w:rPr>
        <w:t xml:space="preserve">US court order </w:t>
      </w:r>
      <w:r>
        <w:rPr>
          <w:rFonts w:ascii="Arial" w:cs="Arial" w:eastAsia="Arial" w:hAnsi="Arial"/>
          <w:sz w:val="22"/>
          <w:szCs w:val="22"/>
        </w:rPr>
        <w:t xml:space="preserve">(NYT lawsuit) requires indefinite retention of deleted consumer-tier chats — directly conflicting with GDPR's storage-limitation principle.</w:t>
      </w:r>
    </w:p>
    <w:p>
      <w:pPr>
        <w:pStyle w:val="ListParagraph"/>
        <w:numPr>
          <w:ilvl w:val="0"/>
          <w:numId w:val="2"/>
        </w:numPr>
        <w:spacing w:after="80"/>
      </w:pPr>
      <w:r>
        <w:rPr>
          <w:rFonts w:ascii="Arial" w:cs="Arial" w:eastAsia="Arial" w:hAnsi="Arial"/>
          <w:b/>
          <w:bCs/>
          <w:sz w:val="22"/>
          <w:szCs w:val="22"/>
        </w:rPr>
        <w:t xml:space="preserve">Consumer tiers </w:t>
      </w:r>
      <w:r>
        <w:rPr>
          <w:rFonts w:ascii="Arial" w:cs="Arial" w:eastAsia="Arial" w:hAnsi="Arial"/>
          <w:sz w:val="22"/>
          <w:szCs w:val="22"/>
        </w:rPr>
        <w:t xml:space="preserve">(Free, Plus, Pro): no DPA, partial training opt-out, indefinite chat retention pending the NYT case. Treat as </w:t>
      </w:r>
      <w:r>
        <w:rPr>
          <w:rFonts w:ascii="Arial" w:cs="Arial" w:eastAsia="Arial" w:hAnsi="Arial"/>
          <w:b/>
          <w:bCs/>
          <w:sz w:val="22"/>
          <w:szCs w:val="22"/>
        </w:rPr>
        <w:t xml:space="preserve">structurally non-compliant</w:t>
      </w:r>
      <w:r>
        <w:rPr>
          <w:rFonts w:ascii="Arial" w:cs="Arial" w:eastAsia="Arial" w:hAnsi="Arial"/>
          <w:sz w:val="22"/>
          <w:szCs w:val="22"/>
        </w:rPr>
        <w:t xml:space="preserve"> for any business processing of personal data.</w:t>
      </w:r>
    </w:p>
    <w:p>
      <w:pPr>
        <w:pStyle w:val="ListParagraph"/>
        <w:numPr>
          <w:ilvl w:val="0"/>
          <w:numId w:val="2"/>
        </w:numPr>
        <w:spacing w:after="80"/>
      </w:pPr>
      <w:r>
        <w:rPr>
          <w:rFonts w:ascii="Arial" w:cs="Arial" w:eastAsia="Arial" w:hAnsi="Arial"/>
          <w:b/>
          <w:bCs/>
          <w:sz w:val="22"/>
          <w:szCs w:val="22"/>
        </w:rPr>
        <w:t xml:space="preserve">Cross-border transfers: </w:t>
      </w:r>
      <w:r>
        <w:rPr>
          <w:rFonts w:ascii="Arial" w:cs="Arial" w:eastAsia="Arial" w:hAnsi="Arial"/>
          <w:sz w:val="22"/>
          <w:szCs w:val="22"/>
        </w:rPr>
        <w:t xml:space="preserve">OpenAI relies on SCCs; a documented Transfer Impact Assessment is required from the customer side.</w:t>
      </w:r>
    </w:p>
    <w:p>
      <w:pPr>
        <w:pStyle w:val="Heading3"/>
        <w:spacing w:after="100" w:before="220"/>
      </w:pPr>
      <w:r>
        <w:rPr>
          <w:rFonts w:ascii="Arial" w:cs="Arial" w:eastAsia="Arial" w:hAnsi="Arial"/>
          <w:b/>
          <w:bCs/>
          <w:color w:val="0B8A8F"/>
          <w:sz w:val="23"/>
          <w:szCs w:val="23"/>
        </w:rPr>
        <w:t xml:space="preserve">Verdict</w:t>
      </w:r>
    </w:p>
    <w:p>
      <w:pPr>
        <w:spacing w:after="120"/>
      </w:pPr>
      <w:r>
        <w:rPr>
          <w:rFonts w:ascii="Arial" w:cs="Arial" w:eastAsia="Arial" w:hAnsi="Arial"/>
          <w:b/>
          <w:bCs/>
          <w:color w:val="D9822B"/>
          <w:sz w:val="22"/>
          <w:szCs w:val="22"/>
        </w:rPr>
        <w:t xml:space="preserve">Acceptable</w:t>
      </w:r>
      <w:r>
        <w:rPr>
          <w:rFonts w:ascii="Arial" w:cs="Arial" w:eastAsia="Arial" w:hAnsi="Arial"/>
          <w:sz w:val="22"/>
          <w:szCs w:val="22"/>
        </w:rPr>
        <w:t xml:space="preserve"> for business use via ChatGPT Enterprise / Business / Edu and the API platform with EU data residency configured, DPA signed, and a customer-side DPIA. </w:t>
      </w:r>
      <w:r>
        <w:rPr>
          <w:rFonts w:ascii="Arial" w:cs="Arial" w:eastAsia="Arial" w:hAnsi="Arial"/>
          <w:b/>
          <w:bCs/>
          <w:color w:val="B23A48"/>
          <w:sz w:val="22"/>
          <w:szCs w:val="22"/>
        </w:rPr>
        <w:t xml:space="preserve">Not acceptable</w:t>
      </w:r>
      <w:r>
        <w:rPr>
          <w:rFonts w:ascii="Arial" w:cs="Arial" w:eastAsia="Arial" w:hAnsi="Arial"/>
          <w:sz w:val="22"/>
          <w:szCs w:val="22"/>
        </w:rPr>
        <w:t xml:space="preserve"> for any business or public-sector personal data processing via the consumer tiers.</w:t>
      </w:r>
    </w:p>
    <w:p>
      <w:pPr>
        <w:pStyle w:val="Heading2"/>
        <w:spacing w:after="140" w:before="280"/>
      </w:pPr>
      <w:r>
        <w:rPr>
          <w:rFonts w:ascii="Arial" w:cs="Arial" w:eastAsia="Arial" w:hAnsi="Arial"/>
          <w:b/>
          <w:bCs/>
          <w:color w:val="222222"/>
          <w:sz w:val="26"/>
          <w:szCs w:val="26"/>
        </w:rPr>
        <w:t xml:space="preserve">2.2 Anthropic — Claude</w:t>
      </w:r>
    </w:p>
    <w:p>
      <w:pPr>
        <w:pStyle w:val="Heading3"/>
        <w:spacing w:after="100" w:before="220"/>
      </w:pPr>
      <w:r>
        <w:rPr>
          <w:rFonts w:ascii="Arial" w:cs="Arial" w:eastAsia="Arial" w:hAnsi="Arial"/>
          <w:b/>
          <w:bCs/>
          <w:color w:val="0B8A8F"/>
          <w:sz w:val="23"/>
          <w:szCs w:val="23"/>
        </w:rPr>
        <w:t xml:space="preserve">Compliance posture</w:t>
      </w:r>
    </w:p>
    <w:p>
      <w:pPr>
        <w:spacing w:after="120"/>
      </w:pPr>
      <w:r>
        <w:rPr>
          <w:rFonts w:ascii="Arial" w:cs="Arial" w:eastAsia="Arial" w:hAnsi="Arial"/>
          <w:sz w:val="22"/>
          <w:szCs w:val="22"/>
        </w:rPr>
        <w:t xml:space="preserve">Anthropic offers a DPA, BAA, and Standard Contractual Clauses for commercial customers. UK GDPR compliance is explicitly stated. Anthropic holds SOC 2 Type II and supports HIPAA for enterprise customers. Default API log retention was reduced from 30 to 7 days on 14 September 2025 — stricter than most competitors. API inputs and outputs are NEVER used for model training by default.</w:t>
      </w:r>
    </w:p>
    <w:p>
      <w:pPr>
        <w:spacing w:after="120"/>
      </w:pPr>
      <w:r>
        <w:rPr>
          <w:rFonts w:ascii="Arial" w:cs="Arial" w:eastAsia="Arial" w:hAnsi="Arial"/>
          <w:b/>
          <w:bCs/>
          <w:sz w:val="22"/>
          <w:szCs w:val="22"/>
        </w:rPr>
        <w:t xml:space="preserve">Training model. </w:t>
      </w:r>
      <w:r>
        <w:rPr>
          <w:rFonts w:ascii="Arial" w:cs="Arial" w:eastAsia="Arial" w:hAnsi="Arial"/>
          <w:sz w:val="22"/>
          <w:szCs w:val="22"/>
        </w:rPr>
        <w:t xml:space="preserve">From October 2025, Anthropic shifted consumer accounts (Free, Pro, Max) from a never-train default to an explicit opt-in choice. Users who opt in have data retained for up to 5 years. Opt-out users keep the 30-day default. Incognito mode never trains, regardless of settings.</w:t>
      </w:r>
    </w:p>
    <w:p>
      <w:pPr>
        <w:pStyle w:val="Heading3"/>
        <w:spacing w:after="100" w:before="220"/>
      </w:pPr>
      <w:r>
        <w:rPr>
          <w:rFonts w:ascii="Arial" w:cs="Arial" w:eastAsia="Arial" w:hAnsi="Arial"/>
          <w:b/>
          <w:bCs/>
          <w:color w:val="0B8A8F"/>
          <w:sz w:val="23"/>
          <w:szCs w:val="23"/>
        </w:rPr>
        <w:t xml:space="preserve">Open compliance issues</w:t>
      </w:r>
    </w:p>
    <w:p>
      <w:pPr>
        <w:pStyle w:val="ListParagraph"/>
        <w:numPr>
          <w:ilvl w:val="0"/>
          <w:numId w:val="2"/>
        </w:numPr>
        <w:spacing w:after="80"/>
      </w:pPr>
      <w:r>
        <w:rPr>
          <w:rFonts w:ascii="Arial" w:cs="Arial" w:eastAsia="Arial" w:hAnsi="Arial"/>
          <w:b/>
          <w:bCs/>
          <w:sz w:val="22"/>
          <w:szCs w:val="22"/>
        </w:rPr>
        <w:t xml:space="preserve">Data residency gap. </w:t>
      </w:r>
      <w:r>
        <w:rPr>
          <w:rFonts w:ascii="Arial" w:cs="Arial" w:eastAsia="Arial" w:hAnsi="Arial"/>
          <w:sz w:val="22"/>
          <w:szCs w:val="22"/>
        </w:rPr>
        <w:t xml:space="preserve">Anthropic's own claude.ai infrastructure runs in the United States. There is no native EU-resident inference for the consumer Claude.ai web product or for the desktop Claude / Cowork product as of April 2026. A </w:t>
      </w:r>
      <w:r>
        <w:rPr>
          <w:rFonts w:ascii="Arial" w:cs="Arial" w:eastAsia="Arial" w:hAnsi="Arial"/>
          <w:i/>
          <w:iCs/>
          <w:sz w:val="22"/>
          <w:szCs w:val="22"/>
        </w:rPr>
        <w:t xml:space="preserve">claude.com/regional-compliance</w:t>
      </w:r>
      <w:r>
        <w:rPr>
          <w:rFonts w:ascii="Arial" w:cs="Arial" w:eastAsia="Arial" w:hAnsi="Arial"/>
          <w:sz w:val="22"/>
          <w:szCs w:val="22"/>
        </w:rPr>
        <w:t xml:space="preserve"> page lists Microsoft Foundry EU support as "Coming 2026" but no specific GA date is public.</w:t>
      </w:r>
    </w:p>
    <w:p>
      <w:pPr>
        <w:pStyle w:val="ListParagraph"/>
        <w:numPr>
          <w:ilvl w:val="0"/>
          <w:numId w:val="2"/>
        </w:numPr>
        <w:spacing w:after="80"/>
      </w:pPr>
      <w:r>
        <w:rPr>
          <w:rFonts w:ascii="Arial" w:cs="Arial" w:eastAsia="Arial" w:hAnsi="Arial"/>
          <w:b/>
          <w:bCs/>
          <w:sz w:val="22"/>
          <w:szCs w:val="22"/>
        </w:rPr>
        <w:t xml:space="preserve">Microsoft Foundry caveat: </w:t>
      </w:r>
      <w:r>
        <w:rPr>
          <w:rFonts w:ascii="Arial" w:cs="Arial" w:eastAsia="Arial" w:hAnsi="Arial"/>
          <w:sz w:val="22"/>
          <w:szCs w:val="22"/>
        </w:rPr>
        <w:t xml:space="preserve">Claude deployed via Microsoft Foundry today still routes inference to Anthropic-hosted US infrastructure regardless of which Azure region the customer selects — i.e. the GDPR commitments of Foundry / EU Data Boundary do NOT yet extend to Claude on Foundry.</w:t>
      </w:r>
    </w:p>
    <w:p>
      <w:pPr>
        <w:pStyle w:val="ListParagraph"/>
        <w:numPr>
          <w:ilvl w:val="0"/>
          <w:numId w:val="2"/>
        </w:numPr>
        <w:spacing w:after="80"/>
      </w:pPr>
      <w:r>
        <w:rPr>
          <w:rFonts w:ascii="Arial" w:cs="Arial" w:eastAsia="Arial" w:hAnsi="Arial"/>
          <w:b/>
          <w:bCs/>
          <w:sz w:val="22"/>
          <w:szCs w:val="22"/>
        </w:rPr>
        <w:t xml:space="preserve">Microsoft 365 Copilot: </w:t>
      </w:r>
      <w:r>
        <w:rPr>
          <w:rFonts w:ascii="Arial" w:cs="Arial" w:eastAsia="Arial" w:hAnsi="Arial"/>
          <w:sz w:val="22"/>
          <w:szCs w:val="22"/>
        </w:rPr>
        <w:t xml:space="preserve">Since 7 January 2026, Anthropic is a Microsoft 365 Copilot subprocessor, but Anthropic models are explicitly out of scope for the EU Data Boundary in Microsoft's own documentation.</w:t>
      </w:r>
    </w:p>
    <w:p>
      <w:pPr>
        <w:pStyle w:val="ListParagraph"/>
        <w:numPr>
          <w:ilvl w:val="0"/>
          <w:numId w:val="2"/>
        </w:numPr>
        <w:spacing w:after="80"/>
      </w:pPr>
      <w:r>
        <w:rPr>
          <w:rFonts w:ascii="Arial" w:cs="Arial" w:eastAsia="Arial" w:hAnsi="Arial"/>
          <w:b/>
          <w:bCs/>
          <w:sz w:val="22"/>
          <w:szCs w:val="22"/>
        </w:rPr>
        <w:t xml:space="preserve">Opt-in dark-pattern criticism. </w:t>
      </w:r>
      <w:r>
        <w:rPr>
          <w:rFonts w:ascii="Arial" w:cs="Arial" w:eastAsia="Arial" w:hAnsi="Arial"/>
          <w:sz w:val="22"/>
          <w:szCs w:val="22"/>
        </w:rPr>
        <w:t xml:space="preserve">The September 2025 opt-in interface (large "Accept" button with pre-toggled "On") has been flagged by privacy advocates as a potential GDPR dark pattern. As of March 2026, no formal regulatory action.</w:t>
      </w:r>
    </w:p>
    <w:p>
      <w:pPr>
        <w:pStyle w:val="Heading3"/>
        <w:spacing w:after="100" w:before="220"/>
      </w:pPr>
      <w:r>
        <w:rPr>
          <w:rFonts w:ascii="Arial" w:cs="Arial" w:eastAsia="Arial" w:hAnsi="Arial"/>
          <w:b/>
          <w:bCs/>
          <w:color w:val="0B8A8F"/>
          <w:sz w:val="23"/>
          <w:szCs w:val="23"/>
        </w:rPr>
        <w:t xml:space="preserve">EU-compliant deployment paths today</w:t>
      </w:r>
    </w:p>
    <w:p>
      <w:pPr>
        <w:pStyle w:val="ListParagraph"/>
        <w:numPr>
          <w:ilvl w:val="0"/>
          <w:numId w:val="2"/>
        </w:numPr>
        <w:spacing w:after="80"/>
      </w:pPr>
      <w:r>
        <w:rPr>
          <w:rFonts w:ascii="Arial" w:cs="Arial" w:eastAsia="Arial" w:hAnsi="Arial"/>
          <w:sz w:val="22"/>
          <w:szCs w:val="22"/>
        </w:rPr>
        <w:t xml:space="preserve">AWS Bedrock — Frankfurt (eu-central-1) or Ireland (eu-west-1): inference happens within AWS EU infrastructure under AWS's GDPR / DPA framework.</w:t>
      </w:r>
    </w:p>
    <w:p>
      <w:pPr>
        <w:pStyle w:val="ListParagraph"/>
        <w:numPr>
          <w:ilvl w:val="0"/>
          <w:numId w:val="2"/>
        </w:numPr>
        <w:spacing w:after="80"/>
      </w:pPr>
      <w:r>
        <w:rPr>
          <w:rFonts w:ascii="Arial" w:cs="Arial" w:eastAsia="Arial" w:hAnsi="Arial"/>
          <w:sz w:val="22"/>
          <w:szCs w:val="22"/>
        </w:rPr>
        <w:t xml:space="preserve">Google Vertex AI — EU regions: Claude available with EU data residency.</w:t>
      </w:r>
    </w:p>
    <w:p>
      <w:pPr>
        <w:pStyle w:val="ListParagraph"/>
        <w:numPr>
          <w:ilvl w:val="0"/>
          <w:numId w:val="2"/>
        </w:numPr>
        <w:spacing w:after="80"/>
      </w:pPr>
      <w:r>
        <w:rPr>
          <w:rFonts w:ascii="Arial" w:cs="Arial" w:eastAsia="Arial" w:hAnsi="Arial"/>
          <w:sz w:val="22"/>
          <w:szCs w:val="22"/>
        </w:rPr>
        <w:t xml:space="preserve">Anthropic API direct — DPA + SCCs available, but inference still US-based; document via TIA.</w:t>
      </w:r>
    </w:p>
    <w:p>
      <w:pPr>
        <w:pStyle w:val="Heading3"/>
        <w:spacing w:after="100" w:before="220"/>
      </w:pPr>
      <w:r>
        <w:rPr>
          <w:rFonts w:ascii="Arial" w:cs="Arial" w:eastAsia="Arial" w:hAnsi="Arial"/>
          <w:b/>
          <w:bCs/>
          <w:color w:val="0B8A8F"/>
          <w:sz w:val="23"/>
          <w:szCs w:val="23"/>
        </w:rPr>
        <w:t xml:space="preserve">Verdict</w:t>
      </w:r>
    </w:p>
    <w:p>
      <w:pPr>
        <w:spacing w:after="120"/>
      </w:pPr>
      <w:r>
        <w:rPr>
          <w:rFonts w:ascii="Arial" w:cs="Arial" w:eastAsia="Arial" w:hAnsi="Arial"/>
          <w:b/>
          <w:bCs/>
          <w:color w:val="2E7D32"/>
          <w:sz w:val="22"/>
          <w:szCs w:val="22"/>
        </w:rPr>
        <w:t xml:space="preserve">Acceptable to Strong</w:t>
      </w:r>
      <w:r>
        <w:rPr>
          <w:rFonts w:ascii="Arial" w:cs="Arial" w:eastAsia="Arial" w:hAnsi="Arial"/>
          <w:sz w:val="22"/>
          <w:szCs w:val="22"/>
        </w:rPr>
        <w:t xml:space="preserve"> when consumed via AWS Bedrock or Vertex AI in EU regions for enterprise workloads. </w:t>
      </w:r>
      <w:r>
        <w:rPr>
          <w:rFonts w:ascii="Arial" w:cs="Arial" w:eastAsia="Arial" w:hAnsi="Arial"/>
          <w:b/>
          <w:bCs/>
          <w:color w:val="D9822B"/>
          <w:sz w:val="22"/>
          <w:szCs w:val="22"/>
        </w:rPr>
        <w:t xml:space="preserve">Acceptable</w:t>
      </w:r>
      <w:r>
        <w:rPr>
          <w:rFonts w:ascii="Arial" w:cs="Arial" w:eastAsia="Arial" w:hAnsi="Arial"/>
          <w:sz w:val="22"/>
          <w:szCs w:val="22"/>
        </w:rPr>
        <w:t xml:space="preserve"> for direct API use with a documented TIA. </w:t>
      </w:r>
      <w:r>
        <w:rPr>
          <w:rFonts w:ascii="Arial" w:cs="Arial" w:eastAsia="Arial" w:hAnsi="Arial"/>
          <w:b/>
          <w:bCs/>
          <w:color w:val="B23A48"/>
          <w:sz w:val="22"/>
          <w:szCs w:val="22"/>
        </w:rPr>
        <w:t xml:space="preserve">Not acceptable</w:t>
      </w:r>
      <w:r>
        <w:rPr>
          <w:rFonts w:ascii="Arial" w:cs="Arial" w:eastAsia="Arial" w:hAnsi="Arial"/>
          <w:sz w:val="22"/>
          <w:szCs w:val="22"/>
        </w:rPr>
        <w:t xml:space="preserve"> as the consumer claude.ai product for processing of business personal data without explicit DPA and additional safeguards. Among consumer-facing services, Claude has the strongest default privacy posture (no training by default for opt-out users, 7-day API log retention, never-train for the API).</w:t>
      </w:r>
    </w:p>
    <w:p>
      <w:pPr>
        <w:pStyle w:val="Heading2"/>
        <w:spacing w:after="140" w:before="280"/>
      </w:pPr>
      <w:r>
        <w:rPr>
          <w:rFonts w:ascii="Arial" w:cs="Arial" w:eastAsia="Arial" w:hAnsi="Arial"/>
          <w:b/>
          <w:bCs/>
          <w:color w:val="222222"/>
          <w:sz w:val="26"/>
          <w:szCs w:val="26"/>
        </w:rPr>
        <w:t xml:space="preserve">2.3 Google — Gemini and Gemini for Workspace</w:t>
      </w:r>
    </w:p>
    <w:p>
      <w:pPr>
        <w:pStyle w:val="Heading3"/>
        <w:spacing w:after="100" w:before="220"/>
      </w:pPr>
      <w:r>
        <w:rPr>
          <w:rFonts w:ascii="Arial" w:cs="Arial" w:eastAsia="Arial" w:hAnsi="Arial"/>
          <w:b/>
          <w:bCs/>
          <w:color w:val="0B8A8F"/>
          <w:sz w:val="23"/>
          <w:szCs w:val="23"/>
        </w:rPr>
        <w:t xml:space="preserve">Compliance posture</w:t>
      </w:r>
    </w:p>
    <w:p>
      <w:pPr>
        <w:spacing w:after="120"/>
      </w:pPr>
      <w:r>
        <w:rPr>
          <w:rFonts w:ascii="Arial" w:cs="Arial" w:eastAsia="Arial" w:hAnsi="Arial"/>
          <w:sz w:val="22"/>
          <w:szCs w:val="22"/>
        </w:rPr>
        <w:t xml:space="preserve">Google offers the most extensive certification portfolio of any LLM provider: SOC 1/2/3, ISO 9001, ISO/IEC 27001, 27017, 27018, 27701, ISO 42001, HITRUST, PCI-DSS v4.0, FedRAMP (Gemini on Google Cloud achieved May 2025). Gemini for Workspace and Gemini for Google Cloud are covered by the Cloud Data Processing Addendum, with the explicit commitment that customer data is not used for model training and not used for advertising.</w:t>
      </w:r>
    </w:p>
    <w:p>
      <w:pPr>
        <w:spacing w:after="120"/>
      </w:pPr>
      <w:r>
        <w:rPr>
          <w:rFonts w:ascii="Arial" w:cs="Arial" w:eastAsia="Arial" w:hAnsi="Arial"/>
          <w:b/>
          <w:bCs/>
          <w:sz w:val="22"/>
          <w:szCs w:val="22"/>
        </w:rPr>
        <w:t xml:space="preserve">EU data residency. </w:t>
      </w:r>
      <w:r>
        <w:rPr>
          <w:rFonts w:ascii="Arial" w:cs="Arial" w:eastAsia="Arial" w:hAnsi="Arial"/>
          <w:sz w:val="22"/>
          <w:szCs w:val="22"/>
        </w:rPr>
        <w:t xml:space="preserve">Through Vertex AI, Gemini 3.1 Pro and Flash run in EU regions including europe-west4 (Netherlands), europe-west12, and de-central1, with data at rest and in transit kept in-region for both Gemini Apps and the Gemini API. Workspace administrators can shorten or disable prompt storage entirely for Enterprise domains.</w:t>
      </w:r>
    </w:p>
    <w:p>
      <w:pPr>
        <w:spacing w:after="120"/>
      </w:pPr>
      <w:r>
        <w:rPr>
          <w:rFonts w:ascii="Arial" w:cs="Arial" w:eastAsia="Arial" w:hAnsi="Arial"/>
          <w:b/>
          <w:bCs/>
          <w:sz w:val="22"/>
          <w:szCs w:val="22"/>
        </w:rPr>
        <w:t xml:space="preserve">DPIA support. </w:t>
      </w:r>
      <w:r>
        <w:rPr>
          <w:rFonts w:ascii="Arial" w:cs="Arial" w:eastAsia="Arial" w:hAnsi="Arial"/>
          <w:sz w:val="22"/>
          <w:szCs w:val="22"/>
        </w:rPr>
        <w:t xml:space="preserve">Google has published dedicated DPIA support documentation for Workspace with Gemini, drawing on assessments completed with the Dutch government — a meaningful precedent for EU public-sector procurement.</w:t>
      </w:r>
    </w:p>
    <w:p>
      <w:pPr>
        <w:pStyle w:val="Heading3"/>
        <w:spacing w:after="100" w:before="220"/>
      </w:pPr>
      <w:r>
        <w:rPr>
          <w:rFonts w:ascii="Arial" w:cs="Arial" w:eastAsia="Arial" w:hAnsi="Arial"/>
          <w:b/>
          <w:bCs/>
          <w:color w:val="0B8A8F"/>
          <w:sz w:val="23"/>
          <w:szCs w:val="23"/>
        </w:rPr>
        <w:t xml:space="preserve">Open compliance issues</w:t>
      </w:r>
    </w:p>
    <w:p>
      <w:pPr>
        <w:pStyle w:val="ListParagraph"/>
        <w:numPr>
          <w:ilvl w:val="0"/>
          <w:numId w:val="2"/>
        </w:numPr>
        <w:spacing w:after="80"/>
      </w:pPr>
      <w:r>
        <w:rPr>
          <w:rFonts w:ascii="Arial" w:cs="Arial" w:eastAsia="Arial" w:hAnsi="Arial"/>
          <w:b/>
          <w:bCs/>
          <w:sz w:val="22"/>
          <w:szCs w:val="22"/>
        </w:rPr>
        <w:t xml:space="preserve">"Personal Intelligence" cross-app access. </w:t>
      </w:r>
      <w:r>
        <w:rPr>
          <w:rFonts w:ascii="Arial" w:cs="Arial" w:eastAsia="Arial" w:hAnsi="Arial"/>
          <w:sz w:val="22"/>
          <w:szCs w:val="22"/>
        </w:rPr>
        <w:t xml:space="preserve">From late 2025, Google enabled Gemini access to Gmail, Chat, Meet, and Drive. In the US this was opt-out; in the EU it requires opt-in. The Thele v. Google case in the Northern District of California alleges that the existing "Smart Features" toggle was used as a backdoor to enable Gemini's deeper data access without a clear second consent prompt — discovery phase as of March 2026.</w:t>
      </w:r>
    </w:p>
    <w:p>
      <w:pPr>
        <w:pStyle w:val="ListParagraph"/>
        <w:numPr>
          <w:ilvl w:val="0"/>
          <w:numId w:val="2"/>
        </w:numPr>
        <w:spacing w:after="80"/>
      </w:pPr>
      <w:r>
        <w:rPr>
          <w:rFonts w:ascii="Arial" w:cs="Arial" w:eastAsia="Arial" w:hAnsi="Arial"/>
          <w:b/>
          <w:bCs/>
          <w:sz w:val="22"/>
          <w:szCs w:val="22"/>
        </w:rPr>
        <w:t xml:space="preserve">Consumer accounts </w:t>
      </w:r>
      <w:r>
        <w:rPr>
          <w:rFonts w:ascii="Arial" w:cs="Arial" w:eastAsia="Arial" w:hAnsi="Arial"/>
          <w:sz w:val="22"/>
          <w:szCs w:val="22"/>
        </w:rPr>
        <w:t xml:space="preserve">(gemini.google.com personal): subject to Google's standard privacy policy. EU consumers have GDPR rights including access and deletion, but those rights do not remove already-reviewed conversations from Google's systems during the 3-year retention window.</w:t>
      </w:r>
    </w:p>
    <w:p>
      <w:pPr>
        <w:pStyle w:val="ListParagraph"/>
        <w:numPr>
          <w:ilvl w:val="0"/>
          <w:numId w:val="2"/>
        </w:numPr>
        <w:spacing w:after="80"/>
      </w:pPr>
      <w:r>
        <w:rPr>
          <w:rFonts w:ascii="Arial" w:cs="Arial" w:eastAsia="Arial" w:hAnsi="Arial"/>
          <w:b/>
          <w:bCs/>
          <w:sz w:val="22"/>
          <w:szCs w:val="22"/>
        </w:rPr>
        <w:t xml:space="preserve">Gemini File Search and other newer API features </w:t>
      </w:r>
      <w:r>
        <w:rPr>
          <w:rFonts w:ascii="Arial" w:cs="Arial" w:eastAsia="Arial" w:hAnsi="Arial"/>
          <w:sz w:val="22"/>
          <w:szCs w:val="22"/>
        </w:rPr>
        <w:t xml:space="preserve">have generated developer community questions about how uploaded files are stored, whether they are usable for training, and what residency guarantees apply — Google's documentation here is less mature than for the core Workspace product.</w:t>
      </w:r>
    </w:p>
    <w:p>
      <w:pPr>
        <w:pStyle w:val="Heading3"/>
        <w:spacing w:after="100" w:before="220"/>
      </w:pPr>
      <w:r>
        <w:rPr>
          <w:rFonts w:ascii="Arial" w:cs="Arial" w:eastAsia="Arial" w:hAnsi="Arial"/>
          <w:b/>
          <w:bCs/>
          <w:color w:val="0B8A8F"/>
          <w:sz w:val="23"/>
          <w:szCs w:val="23"/>
        </w:rPr>
        <w:t xml:space="preserve">Verdict</w:t>
      </w:r>
    </w:p>
    <w:p>
      <w:pPr>
        <w:spacing w:after="120"/>
      </w:pPr>
      <w:r>
        <w:rPr>
          <w:rFonts w:ascii="Arial" w:cs="Arial" w:eastAsia="Arial" w:hAnsi="Arial"/>
          <w:b/>
          <w:bCs/>
          <w:color w:val="2E7D32"/>
          <w:sz w:val="22"/>
          <w:szCs w:val="22"/>
        </w:rPr>
        <w:t xml:space="preserve">Strong</w:t>
      </w:r>
      <w:r>
        <w:rPr>
          <w:rFonts w:ascii="Arial" w:cs="Arial" w:eastAsia="Arial" w:hAnsi="Arial"/>
          <w:sz w:val="22"/>
          <w:szCs w:val="22"/>
        </w:rPr>
        <w:t xml:space="preserve"> when consumed via Vertex AI in EU regions or Gemini for Workspace under the Cloud DPA. The breadth of certifications (notably ISO 42001 and FedRAMP) and the existence of a DPIA template based on a successful Dutch government assessment make Gemini one of the easiest LLMs to defend in an EU enterprise procurement process. </w:t>
      </w:r>
      <w:r>
        <w:rPr>
          <w:rFonts w:ascii="Arial" w:cs="Arial" w:eastAsia="Arial" w:hAnsi="Arial"/>
          <w:b/>
          <w:bCs/>
          <w:color w:val="D9822B"/>
          <w:sz w:val="22"/>
          <w:szCs w:val="22"/>
        </w:rPr>
        <w:t xml:space="preserve">Acceptable to Caution</w:t>
      </w:r>
      <w:r>
        <w:rPr>
          <w:rFonts w:ascii="Arial" w:cs="Arial" w:eastAsia="Arial" w:hAnsi="Arial"/>
          <w:sz w:val="22"/>
          <w:szCs w:val="22"/>
        </w:rPr>
        <w:t xml:space="preserve"> for the consumer Gemini app, which carries the cross-app data access pattern under active US litigation.</w:t>
      </w:r>
    </w:p>
    <w:p>
      <w:pPr>
        <w:pStyle w:val="Heading2"/>
        <w:spacing w:after="140" w:before="280"/>
      </w:pPr>
      <w:r>
        <w:rPr>
          <w:rFonts w:ascii="Arial" w:cs="Arial" w:eastAsia="Arial" w:hAnsi="Arial"/>
          <w:b/>
          <w:bCs/>
          <w:color w:val="222222"/>
          <w:sz w:val="26"/>
          <w:szCs w:val="26"/>
        </w:rPr>
        <w:t xml:space="preserve">2.4 Microsoft — 365 Copilot, Azure OpenAI, Microsoft Foundry</w:t>
      </w:r>
    </w:p>
    <w:p>
      <w:pPr>
        <w:pStyle w:val="Heading3"/>
        <w:spacing w:after="100" w:before="220"/>
      </w:pPr>
      <w:r>
        <w:rPr>
          <w:rFonts w:ascii="Arial" w:cs="Arial" w:eastAsia="Arial" w:hAnsi="Arial"/>
          <w:b/>
          <w:bCs/>
          <w:color w:val="0B8A8F"/>
          <w:sz w:val="23"/>
          <w:szCs w:val="23"/>
        </w:rPr>
        <w:t xml:space="preserve">Compliance posture</w:t>
      </w:r>
    </w:p>
    <w:p>
      <w:pPr>
        <w:spacing w:after="120"/>
      </w:pPr>
      <w:r>
        <w:rPr>
          <w:rFonts w:ascii="Arial" w:cs="Arial" w:eastAsia="Arial" w:hAnsi="Arial"/>
          <w:sz w:val="22"/>
          <w:szCs w:val="22"/>
        </w:rPr>
        <w:t xml:space="preserve">Microsoft 365 Copilot is contractually covered by GDPR, the EU Data Boundary, ISO 27001, HIPAA, and ISO 42001. Prompts, responses, and data accessed through Microsoft Graph are not used to train the underlying foundation models. Azure OpenAI offers SOC 2, HIPAA, GDPR, EU data residency, VNET isolation, and provisioned throughput units.</w:t>
      </w:r>
    </w:p>
    <w:p>
      <w:pPr>
        <w:pStyle w:val="Heading3"/>
        <w:spacing w:after="100" w:before="220"/>
      </w:pPr>
      <w:r>
        <w:rPr>
          <w:rFonts w:ascii="Arial" w:cs="Arial" w:eastAsia="Arial" w:hAnsi="Arial"/>
          <w:b/>
          <w:bCs/>
          <w:color w:val="0B8A8F"/>
          <w:sz w:val="23"/>
          <w:szCs w:val="23"/>
        </w:rPr>
        <w:t xml:space="preserve">Open compliance issues — the Flex Routing problem</w:t>
      </w:r>
    </w:p>
    <w:p>
      <w:pPr>
        <w:spacing w:after="120"/>
      </w:pPr>
      <w:r>
        <w:rPr>
          <w:rFonts w:ascii="Arial" w:cs="Arial" w:eastAsia="Arial" w:hAnsi="Arial"/>
          <w:sz w:val="22"/>
          <w:szCs w:val="22"/>
        </w:rPr>
        <w:t xml:space="preserve">The most consequential development in the EU LLM-compliance landscape in early 2026 is Microsoft's introduction of </w:t>
      </w:r>
      <w:r>
        <w:rPr>
          <w:rFonts w:ascii="Arial" w:cs="Arial" w:eastAsia="Arial" w:hAnsi="Arial"/>
          <w:b/>
          <w:bCs/>
          <w:sz w:val="22"/>
          <w:szCs w:val="22"/>
        </w:rPr>
        <w:t xml:space="preserve">Flex Routing</w:t>
      </w:r>
      <w:r>
        <w:rPr>
          <w:rFonts w:ascii="Arial" w:cs="Arial" w:eastAsia="Arial" w:hAnsi="Arial"/>
          <w:sz w:val="22"/>
          <w:szCs w:val="22"/>
        </w:rPr>
        <w:t xml:space="preserve"> for Microsoft 365 Copilot. Effective 17 April 2026 for existing eligible EU/EFTA tenants, and </w:t>
      </w:r>
      <w:r>
        <w:rPr>
          <w:rFonts w:ascii="Arial" w:cs="Arial" w:eastAsia="Arial" w:hAnsi="Arial"/>
          <w:b/>
          <w:bCs/>
          <w:sz w:val="22"/>
          <w:szCs w:val="22"/>
        </w:rPr>
        <w:t xml:space="preserve">enabled by default</w:t>
      </w:r>
      <w:r>
        <w:rPr>
          <w:rFonts w:ascii="Arial" w:cs="Arial" w:eastAsia="Arial" w:hAnsi="Arial"/>
          <w:sz w:val="22"/>
          <w:szCs w:val="22"/>
        </w:rPr>
        <w:t xml:space="preserve"> for tenants created after 25 March 2026, Flex Routing allows LLM inferencing to occur outside the EU Data Boundary during peak demand — possible destinations include the US, Canada, and Australia.</w:t>
      </w:r>
    </w:p>
    <w:p>
      <w:pPr>
        <w:pStyle w:val="ListParagraph"/>
        <w:numPr>
          <w:ilvl w:val="0"/>
          <w:numId w:val="2"/>
        </w:numPr>
        <w:spacing w:after="80"/>
      </w:pPr>
      <w:r>
        <w:rPr>
          <w:rFonts w:ascii="Arial" w:cs="Arial" w:eastAsia="Arial" w:hAnsi="Arial"/>
          <w:sz w:val="22"/>
          <w:szCs w:val="22"/>
        </w:rPr>
        <w:t xml:space="preserve">Microsoft maintains that data at rest stays within the EU Data Boundary; only LLM inference may temporarily move outside, with limited pseudonymised operational data also stored outside for security.</w:t>
      </w:r>
    </w:p>
    <w:p>
      <w:pPr>
        <w:pStyle w:val="ListParagraph"/>
        <w:numPr>
          <w:ilvl w:val="0"/>
          <w:numId w:val="2"/>
        </w:numPr>
        <w:spacing w:after="80"/>
      </w:pPr>
      <w:r>
        <w:rPr>
          <w:rFonts w:ascii="Arial" w:cs="Arial" w:eastAsia="Arial" w:hAnsi="Arial"/>
          <w:sz w:val="22"/>
          <w:szCs w:val="22"/>
        </w:rPr>
        <w:t xml:space="preserve">For organisations bound by GDPR, NIS2, DORA, or sector-specific data residency rules, the default-on configuration creates an accountability problem under Art. 5(2): proving on demand that no personal data was processed outside the EU during a given period is materially harder.</w:t>
      </w:r>
    </w:p>
    <w:p>
      <w:pPr>
        <w:pStyle w:val="ListParagraph"/>
        <w:numPr>
          <w:ilvl w:val="0"/>
          <w:numId w:val="2"/>
        </w:numPr>
        <w:spacing w:after="80"/>
      </w:pPr>
      <w:r>
        <w:rPr>
          <w:rFonts w:ascii="Arial" w:cs="Arial" w:eastAsia="Arial" w:hAnsi="Arial"/>
          <w:b/>
          <w:bCs/>
          <w:sz w:val="22"/>
          <w:szCs w:val="22"/>
        </w:rPr>
        <w:t xml:space="preserve">Action required: </w:t>
      </w:r>
      <w:r>
        <w:rPr>
          <w:rFonts w:ascii="Arial" w:cs="Arial" w:eastAsia="Arial" w:hAnsi="Arial"/>
          <w:sz w:val="22"/>
          <w:szCs w:val="22"/>
        </w:rPr>
        <w:t xml:space="preserve">Admin Center → Copilot → Settings → Flexible inferencing during peak load periods → "Do not allow flex routing". Document the decision in the DPIA.</w:t>
      </w:r>
    </w:p>
    <w:p>
      <w:pPr>
        <w:spacing w:after="120"/>
      </w:pPr>
      <w:r>
        <w:rPr>
          <w:rFonts w:ascii="Arial" w:cs="Arial" w:eastAsia="Arial" w:hAnsi="Arial"/>
          <w:b/>
          <w:bCs/>
          <w:sz w:val="22"/>
          <w:szCs w:val="22"/>
        </w:rPr>
        <w:t xml:space="preserve">Anthropic models on Copilot — secondary issue. </w:t>
      </w:r>
      <w:r>
        <w:rPr>
          <w:rFonts w:ascii="Arial" w:cs="Arial" w:eastAsia="Arial" w:hAnsi="Arial"/>
          <w:sz w:val="22"/>
          <w:szCs w:val="22"/>
        </w:rPr>
        <w:t xml:space="preserve">Since 7 January 2026 Anthropic models are a M365 Copilot subprocessor. Microsoft's documentation explicitly states: </w:t>
      </w:r>
      <w:r>
        <w:rPr>
          <w:rFonts w:ascii="Arial" w:cs="Arial" w:eastAsia="Arial" w:hAnsi="Arial"/>
          <w:i/>
          <w:iCs/>
          <w:sz w:val="22"/>
          <w:szCs w:val="22"/>
        </w:rPr>
        <w:t xml:space="preserve">"Anthropic models are out of scope for the EU Data Boundary and when available, in-country LLM processing commitments."</w:t>
      </w:r>
      <w:r>
        <w:rPr>
          <w:rFonts w:ascii="Arial" w:cs="Arial" w:eastAsia="Arial" w:hAnsi="Arial"/>
          <w:sz w:val="22"/>
          <w:szCs w:val="22"/>
        </w:rPr>
        <w:t xml:space="preserve"> The Researcher Agent uses Claude exclusively on AWS in the United States. EU customers should administratively block Anthropic models in M365 Copilot until an EU-resident path is delivered.</w:t>
      </w:r>
    </w:p>
    <w:p>
      <w:pPr>
        <w:pStyle w:val="Heading3"/>
        <w:spacing w:after="100" w:before="220"/>
      </w:pPr>
      <w:r>
        <w:rPr>
          <w:rFonts w:ascii="Arial" w:cs="Arial" w:eastAsia="Arial" w:hAnsi="Arial"/>
          <w:b/>
          <w:bCs/>
          <w:color w:val="0B8A8F"/>
          <w:sz w:val="23"/>
          <w:szCs w:val="23"/>
        </w:rPr>
        <w:t xml:space="preserve">Verdict</w:t>
      </w:r>
    </w:p>
    <w:p>
      <w:pPr>
        <w:spacing w:after="120"/>
      </w:pPr>
      <w:r>
        <w:rPr>
          <w:rFonts w:ascii="Arial" w:cs="Arial" w:eastAsia="Arial" w:hAnsi="Arial"/>
          <w:b/>
          <w:bCs/>
          <w:color w:val="2E7D32"/>
          <w:sz w:val="22"/>
          <w:szCs w:val="22"/>
        </w:rPr>
        <w:t xml:space="preserve">Strong</w:t>
      </w:r>
      <w:r>
        <w:rPr>
          <w:rFonts w:ascii="Arial" w:cs="Arial" w:eastAsia="Arial" w:hAnsi="Arial"/>
          <w:sz w:val="22"/>
          <w:szCs w:val="22"/>
        </w:rPr>
        <w:t xml:space="preserve"> for Azure OpenAI in EU regions (Sweden Central, France Central, Germany West Central) with VNET isolation. </w:t>
      </w:r>
      <w:r>
        <w:rPr>
          <w:rFonts w:ascii="Arial" w:cs="Arial" w:eastAsia="Arial" w:hAnsi="Arial"/>
          <w:b/>
          <w:bCs/>
          <w:color w:val="D9822B"/>
          <w:sz w:val="22"/>
          <w:szCs w:val="22"/>
        </w:rPr>
        <w:t xml:space="preserve">Acceptable</w:t>
      </w:r>
      <w:r>
        <w:rPr>
          <w:rFonts w:ascii="Arial" w:cs="Arial" w:eastAsia="Arial" w:hAnsi="Arial"/>
          <w:sz w:val="22"/>
          <w:szCs w:val="22"/>
        </w:rPr>
        <w:t xml:space="preserve"> for M365 Copilot </w:t>
      </w:r>
      <w:r>
        <w:rPr>
          <w:rFonts w:ascii="Arial" w:cs="Arial" w:eastAsia="Arial" w:hAnsi="Arial"/>
          <w:i/>
          <w:iCs/>
          <w:sz w:val="22"/>
          <w:szCs w:val="22"/>
        </w:rPr>
        <w:t xml:space="preserve">if and only if</w:t>
      </w:r>
      <w:r>
        <w:rPr>
          <w:rFonts w:ascii="Arial" w:cs="Arial" w:eastAsia="Arial" w:hAnsi="Arial"/>
          <w:sz w:val="22"/>
          <w:szCs w:val="22"/>
        </w:rPr>
        <w:t xml:space="preserve"> Flex Routing is disabled and Anthropic models are blocked. </w:t>
      </w:r>
      <w:r>
        <w:rPr>
          <w:rFonts w:ascii="Arial" w:cs="Arial" w:eastAsia="Arial" w:hAnsi="Arial"/>
          <w:b/>
          <w:bCs/>
          <w:color w:val="D9822B"/>
          <w:sz w:val="22"/>
          <w:szCs w:val="22"/>
        </w:rPr>
        <w:t xml:space="preserve">Caution</w:t>
      </w:r>
      <w:r>
        <w:rPr>
          <w:rFonts w:ascii="Arial" w:cs="Arial" w:eastAsia="Arial" w:hAnsi="Arial"/>
          <w:sz w:val="22"/>
          <w:szCs w:val="22"/>
        </w:rPr>
        <w:t xml:space="preserve"> for Microsoft Foundry today — Claude on Foundry still runs on Anthropic-hosted US infrastructure regardless of selected Azure region; full EU support listed as "Coming 2026".</w:t>
      </w:r>
    </w:p>
    <w:p>
      <w:pPr>
        <w:pStyle w:val="Heading2"/>
        <w:spacing w:after="140" w:before="280"/>
      </w:pPr>
      <w:r>
        <w:rPr>
          <w:rFonts w:ascii="Arial" w:cs="Arial" w:eastAsia="Arial" w:hAnsi="Arial"/>
          <w:b/>
          <w:bCs/>
          <w:color w:val="222222"/>
          <w:sz w:val="26"/>
          <w:szCs w:val="26"/>
        </w:rPr>
        <w:t xml:space="preserve">2.5 Mistral AI</w:t>
      </w:r>
    </w:p>
    <w:p>
      <w:pPr>
        <w:spacing w:after="120"/>
      </w:pPr>
      <w:r>
        <w:rPr>
          <w:rFonts w:ascii="Arial" w:cs="Arial" w:eastAsia="Arial" w:hAnsi="Arial"/>
          <w:sz w:val="22"/>
          <w:szCs w:val="22"/>
        </w:rPr>
        <w:t xml:space="preserve">Mistral is the only major frontier provider with EU data residency by default. La Plateforme runs on EU infrastructure, Apache 2.0 open-weight models (Mistral 7B, Mixtral, Mistral Large) are available for fully self-hosted deployment, and the corporate entity is subject directly to French / EU jurisdiction — no third-country transfer issue.</w:t>
      </w:r>
    </w:p>
    <w:p>
      <w:pPr>
        <w:spacing w:after="120"/>
      </w:pPr>
      <w:r>
        <w:rPr>
          <w:rFonts w:ascii="Arial" w:cs="Arial" w:eastAsia="Arial" w:hAnsi="Arial"/>
          <w:b/>
          <w:bCs/>
          <w:sz w:val="22"/>
          <w:szCs w:val="22"/>
        </w:rPr>
        <w:t xml:space="preserve">Verdict: </w:t>
      </w:r>
      <w:r>
        <w:rPr>
          <w:rFonts w:ascii="Arial" w:cs="Arial" w:eastAsia="Arial" w:hAnsi="Arial"/>
          <w:b/>
          <w:bCs/>
          <w:color w:val="2E7D32"/>
          <w:sz w:val="22"/>
          <w:szCs w:val="22"/>
        </w:rPr>
        <w:t xml:space="preserve">Strong</w:t>
      </w:r>
      <w:r>
        <w:rPr>
          <w:rFonts w:ascii="Arial" w:cs="Arial" w:eastAsia="Arial" w:hAnsi="Arial"/>
          <w:sz w:val="22"/>
          <w:szCs w:val="22"/>
        </w:rPr>
        <w:t xml:space="preserve">. The reference choice for EU-sovereignty-led procurement, particularly in regulated industries (legal, finance, healthcare, public sector). The trade-off is benchmark performance: Mistral Large 3 generally trails GPT-class and Claude Sonnet on the hardest reasoning and coding benchmarks, and the ecosystem (third-party tooling, prompt caching, multimodal coverage) is smaller.</w:t>
      </w:r>
    </w:p>
    <w:p>
      <w:pPr>
        <w:pStyle w:val="Heading2"/>
        <w:spacing w:after="140" w:before="280"/>
      </w:pPr>
      <w:r>
        <w:rPr>
          <w:rFonts w:ascii="Arial" w:cs="Arial" w:eastAsia="Arial" w:hAnsi="Arial"/>
          <w:b/>
          <w:bCs/>
          <w:color w:val="222222"/>
          <w:sz w:val="26"/>
          <w:szCs w:val="26"/>
        </w:rPr>
        <w:t xml:space="preserve">2.6 DeepSeek</w:t>
      </w:r>
    </w:p>
    <w:p>
      <w:pPr>
        <w:spacing w:after="120"/>
      </w:pPr>
      <w:r>
        <w:rPr>
          <w:rFonts w:ascii="Arial" w:cs="Arial" w:eastAsia="Arial" w:hAnsi="Arial"/>
          <w:sz w:val="22"/>
          <w:szCs w:val="22"/>
        </w:rPr>
        <w:t xml:space="preserve">DeepSeek's published privacy policy openly states that user data is stored in the People's Republic of China and that the jurisdiction for personal data processing is the PRC. The policy makes no reference to GDPR. Italy's Garante ordered the consumer app blocked in early 2025 after DeepSeek's response to the regulator was "considered totally insufficient". Belgium, France (CNIL), Ireland, and Luxembourg have all opened or coordinated proceedings.</w:t>
      </w:r>
    </w:p>
    <w:p>
      <w:pPr>
        <w:spacing w:after="120"/>
      </w:pPr>
      <w:r>
        <w:rPr>
          <w:rFonts w:ascii="Arial" w:cs="Arial" w:eastAsia="Arial" w:hAnsi="Arial"/>
          <w:b/>
          <w:bCs/>
          <w:sz w:val="22"/>
          <w:szCs w:val="22"/>
        </w:rPr>
        <w:t xml:space="preserve">Verdict: </w:t>
      </w:r>
      <w:r>
        <w:rPr>
          <w:rFonts w:ascii="Arial" w:cs="Arial" w:eastAsia="Arial" w:hAnsi="Arial"/>
          <w:b/>
          <w:bCs/>
          <w:color w:val="B23A48"/>
          <w:sz w:val="22"/>
          <w:szCs w:val="22"/>
        </w:rPr>
        <w:t xml:space="preserve">Not compliant</w:t>
      </w:r>
      <w:r>
        <w:rPr>
          <w:rFonts w:ascii="Arial" w:cs="Arial" w:eastAsia="Arial" w:hAnsi="Arial"/>
          <w:sz w:val="22"/>
          <w:szCs w:val="22"/>
        </w:rPr>
        <w:t xml:space="preserve"> for the consumer-facing service when processing EU personal data. The model weights themselves (open-weight under MIT licence) can be self-hosted on EU infrastructure, in which case the GDPR analysis becomes that of any EU-hosted system — but this is a different product from "using DeepSeek". For NDI client guidance: avoid the hosted DeepSeek service entirely; only consider self-hosted deployment of the open weights.</w:t>
      </w:r>
    </w:p>
    <w:p>
      <w:pPr>
        <w:pStyle w:val="Heading1"/>
        <w:spacing w:after="200" w:before="360"/>
      </w:pPr>
      <w:r>
        <w:rPr>
          <w:rFonts w:ascii="Arial" w:cs="Arial" w:eastAsia="Arial" w:hAnsi="Arial"/>
          <w:b/>
          <w:bCs/>
          <w:color w:val="0B8A8F"/>
          <w:sz w:val="32"/>
          <w:szCs w:val="32"/>
        </w:rPr>
        <w:t xml:space="preserve">3. Comparative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500"/>
        <w:gridCol w:w="1280"/>
        <w:gridCol w:w="1280"/>
        <w:gridCol w:w="1400"/>
      </w:tblGrid>
      <w:tr>
        <w:trPr>
          <w:tblHeader/>
        </w:trPr>
        <w:tc>
          <w:tcPr>
            <w:tcW w:type="dxa" w:w="17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pPr>
            <w:r>
              <w:rPr>
                <w:rFonts w:ascii="Arial" w:cs="Arial" w:eastAsia="Arial" w:hAnsi="Arial"/>
                <w:b/>
                <w:bCs/>
                <w:sz w:val="18"/>
                <w:szCs w:val="18"/>
              </w:rPr>
              <w:t xml:space="preserve">Provider / Tier</w:t>
            </w:r>
          </w:p>
        </w:tc>
        <w:tc>
          <w:tcPr>
            <w:tcW w:type="dxa" w:w="11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DPA</w:t>
            </w:r>
          </w:p>
        </w:tc>
        <w:tc>
          <w:tcPr>
            <w:tcW w:type="dxa" w:w="11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EU residency</w:t>
            </w:r>
          </w:p>
        </w:tc>
        <w:tc>
          <w:tcPr>
            <w:tcW w:type="dxa" w:w="15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No training (default)</w:t>
            </w:r>
          </w:p>
        </w:tc>
        <w:tc>
          <w:tcPr>
            <w:tcW w:type="dxa" w:w="128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ISO 27001 / 27701</w:t>
            </w:r>
          </w:p>
        </w:tc>
        <w:tc>
          <w:tcPr>
            <w:tcW w:type="dxa" w:w="128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ISO 42001</w:t>
            </w:r>
          </w:p>
        </w:tc>
        <w:tc>
          <w:tcPr>
            <w:tcW w:type="dxa" w:w="1400"/>
            <w:tcBorders>
              <w:top w:val="single" w:color="BFBFBF" w:sz="4"/>
              <w:left w:val="single" w:color="BFBFBF" w:sz="4"/>
              <w:bottom w:val="single" w:color="BFBFBF" w:sz="4"/>
              <w:right w:val="single" w:color="BFBFBF" w:sz="4"/>
            </w:tcBorders>
            <w:shd w:fill="D5E8E9" w:val="clear"/>
            <w:tcMar>
              <w:top w:type="dxa" w:w="100"/>
              <w:left w:type="dxa" w:w="140"/>
              <w:bottom w:type="dxa" w:w="100"/>
              <w:right w:type="dxa" w:w="140"/>
            </w:tcMar>
          </w:tcPr>
          <w:p>
            <w:pPr>
              <w:spacing w:after="40"/>
              <w:jc w:val="center"/>
            </w:pPr>
            <w:r>
              <w:rPr>
                <w:rFonts w:ascii="Arial" w:cs="Arial" w:eastAsia="Arial" w:hAnsi="Arial"/>
                <w:b/>
                <w:bCs/>
                <w:sz w:val="18"/>
                <w:szCs w:val="18"/>
              </w:rPr>
              <w:t xml:space="preserve">Verdict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OpenAI ChatGPT (Free/Plus)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18"/>
                <w:szCs w:val="18"/>
              </w:rPr>
              <w:t xml:space="preserve">n/a</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18"/>
                <w:szCs w:val="18"/>
              </w:rPr>
              <w:t xml:space="preserve">n/a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Not compliant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OpenAI Enterprise / API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 (at rest, EU)</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Acceptable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Claude.ai (Free/Pro/Max)</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 (US only)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 (opt-out)</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18"/>
                <w:szCs w:val="18"/>
              </w:rPr>
              <w:t xml:space="preserve">n/a</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18"/>
                <w:szCs w:val="18"/>
              </w:rPr>
              <w:t xml:space="preserve">n/a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Not compliant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Anthropic API (direct)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 (US infra)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 (always)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partial (SOC 2)</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Acceptable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Claude on AWS Bedrock (eu-central-1)</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 (AWS)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 (AWS)</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partial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Strong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Gemini for Workspace / Vertex AI EU</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Strong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M365 Copilot (Flex Routing OFF)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Acceptable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M365 Copilot (Flex Routing ON / default)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partial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Caution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Azure OpenAI (EU regions)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Strong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Mistral La Plateforme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 (default)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D9822B"/>
                <w:sz w:val="18"/>
                <w:szCs w:val="18"/>
              </w:rPr>
              <w:t xml:space="preserve">partial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2E7D32"/>
                <w:sz w:val="18"/>
                <w:szCs w:val="18"/>
              </w:rPr>
              <w:t xml:space="preserve">Strong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DeepSeek (hosted)</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 (PRC)</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B23A48"/>
                <w:sz w:val="18"/>
                <w:szCs w:val="18"/>
              </w:rPr>
              <w:t xml:space="preserve">Not compliant</w:t>
            </w:r>
          </w:p>
        </w:tc>
      </w:tr>
    </w:tbl>
    <w:p>
      <w:pPr>
        <w:pStyle w:val="Heading1"/>
        <w:spacing w:after="200" w:before="360"/>
      </w:pPr>
      <w:r>
        <w:rPr>
          <w:rFonts w:ascii="Arial" w:cs="Arial" w:eastAsia="Arial" w:hAnsi="Arial"/>
          <w:b/>
          <w:bCs/>
          <w:color w:val="0B8A8F"/>
          <w:sz w:val="32"/>
          <w:szCs w:val="32"/>
        </w:rPr>
        <w:t xml:space="preserve">4. Recommendations for Mid-Market EU Deployment</w:t>
      </w:r>
    </w:p>
    <w:p>
      <w:pPr>
        <w:pStyle w:val="Heading2"/>
        <w:spacing w:after="140" w:before="280"/>
      </w:pPr>
      <w:r>
        <w:rPr>
          <w:rFonts w:ascii="Arial" w:cs="Arial" w:eastAsia="Arial" w:hAnsi="Arial"/>
          <w:b/>
          <w:bCs/>
          <w:color w:val="222222"/>
          <w:sz w:val="26"/>
          <w:szCs w:val="26"/>
        </w:rPr>
        <w:t xml:space="preserve">4.1 Default architectural pattern</w:t>
      </w:r>
    </w:p>
    <w:p>
      <w:pPr>
        <w:spacing w:after="120"/>
      </w:pPr>
      <w:r>
        <w:rPr>
          <w:rFonts w:ascii="Arial" w:cs="Arial" w:eastAsia="Arial" w:hAnsi="Arial"/>
          <w:sz w:val="22"/>
          <w:szCs w:val="22"/>
        </w:rPr>
        <w:t xml:space="preserve">For mid-market clients with EU/EEA personal data exposure, the recommended default architecture is a </w:t>
      </w:r>
      <w:r>
        <w:rPr>
          <w:rFonts w:ascii="Arial" w:cs="Arial" w:eastAsia="Arial" w:hAnsi="Arial"/>
          <w:b/>
          <w:bCs/>
          <w:sz w:val="22"/>
          <w:szCs w:val="22"/>
        </w:rPr>
        <w:t xml:space="preserve">multi-model router</w:t>
      </w:r>
      <w:r>
        <w:rPr>
          <w:rFonts w:ascii="Arial" w:cs="Arial" w:eastAsia="Arial" w:hAnsi="Arial"/>
          <w:sz w:val="22"/>
          <w:szCs w:val="22"/>
        </w:rPr>
        <w:t xml:space="preserve"> on hyperscaler infrastructure in the EU, with provider selection driven by the workload:</w:t>
      </w:r>
    </w:p>
    <w:p>
      <w:pPr>
        <w:pStyle w:val="ListParagraph"/>
        <w:numPr>
          <w:ilvl w:val="0"/>
          <w:numId w:val="2"/>
        </w:numPr>
        <w:spacing w:after="80"/>
      </w:pPr>
      <w:r>
        <w:rPr>
          <w:rFonts w:ascii="Arial" w:cs="Arial" w:eastAsia="Arial" w:hAnsi="Arial"/>
          <w:b/>
          <w:bCs/>
          <w:sz w:val="22"/>
          <w:szCs w:val="22"/>
        </w:rPr>
        <w:t xml:space="preserve">Primary general-purpose: </w:t>
      </w:r>
      <w:r>
        <w:rPr>
          <w:rFonts w:ascii="Arial" w:cs="Arial" w:eastAsia="Arial" w:hAnsi="Arial"/>
          <w:sz w:val="22"/>
          <w:szCs w:val="22"/>
        </w:rPr>
        <w:t xml:space="preserve">Claude Sonnet on AWS Bedrock Frankfurt or GCP Vertex AI EU.</w:t>
      </w:r>
    </w:p>
    <w:p>
      <w:pPr>
        <w:pStyle w:val="ListParagraph"/>
        <w:numPr>
          <w:ilvl w:val="0"/>
          <w:numId w:val="2"/>
        </w:numPr>
        <w:spacing w:after="80"/>
      </w:pPr>
      <w:r>
        <w:rPr>
          <w:rFonts w:ascii="Arial" w:cs="Arial" w:eastAsia="Arial" w:hAnsi="Arial"/>
          <w:b/>
          <w:bCs/>
          <w:sz w:val="22"/>
          <w:szCs w:val="22"/>
        </w:rPr>
        <w:t xml:space="preserve">High-volume / cost-sensitive: </w:t>
      </w:r>
      <w:r>
        <w:rPr>
          <w:rFonts w:ascii="Arial" w:cs="Arial" w:eastAsia="Arial" w:hAnsi="Arial"/>
          <w:sz w:val="22"/>
          <w:szCs w:val="22"/>
        </w:rPr>
        <w:t xml:space="preserve">Gemini Flash via Vertex AI EU.</w:t>
      </w:r>
    </w:p>
    <w:p>
      <w:pPr>
        <w:pStyle w:val="ListParagraph"/>
        <w:numPr>
          <w:ilvl w:val="0"/>
          <w:numId w:val="2"/>
        </w:numPr>
        <w:spacing w:after="80"/>
      </w:pPr>
      <w:r>
        <w:rPr>
          <w:rFonts w:ascii="Arial" w:cs="Arial" w:eastAsia="Arial" w:hAnsi="Arial"/>
          <w:b/>
          <w:bCs/>
          <w:sz w:val="22"/>
          <w:szCs w:val="22"/>
        </w:rPr>
        <w:t xml:space="preserve">Sovereignty-critical workloads (public sector, regulated industries, legal): </w:t>
      </w:r>
      <w:r>
        <w:rPr>
          <w:rFonts w:ascii="Arial" w:cs="Arial" w:eastAsia="Arial" w:hAnsi="Arial"/>
          <w:sz w:val="22"/>
          <w:szCs w:val="22"/>
        </w:rPr>
        <w:t xml:space="preserve">Mistral Large via La Plateforme, or self-hosted Mistral / Qwen on EU infrastructure (OVHcloud, Scaleway, IONOS, on-prem).</w:t>
      </w:r>
    </w:p>
    <w:p>
      <w:pPr>
        <w:pStyle w:val="ListParagraph"/>
        <w:numPr>
          <w:ilvl w:val="0"/>
          <w:numId w:val="2"/>
        </w:numPr>
        <w:spacing w:after="80"/>
      </w:pPr>
      <w:r>
        <w:rPr>
          <w:rFonts w:ascii="Arial" w:cs="Arial" w:eastAsia="Arial" w:hAnsi="Arial"/>
          <w:b/>
          <w:bCs/>
          <w:sz w:val="22"/>
          <w:szCs w:val="22"/>
        </w:rPr>
        <w:t xml:space="preserve">Productivity workspace: </w:t>
      </w:r>
      <w:r>
        <w:rPr>
          <w:rFonts w:ascii="Arial" w:cs="Arial" w:eastAsia="Arial" w:hAnsi="Arial"/>
          <w:sz w:val="22"/>
          <w:szCs w:val="22"/>
        </w:rPr>
        <w:t xml:space="preserve">M365 Copilot with Flex Routing disabled and Anthropic models blocked, OR Gemini for Workspace under the Cloud DPA.</w:t>
      </w:r>
    </w:p>
    <w:p>
      <w:pPr>
        <w:pStyle w:val="Heading2"/>
        <w:spacing w:after="140" w:before="280"/>
      </w:pPr>
      <w:r>
        <w:rPr>
          <w:rFonts w:ascii="Arial" w:cs="Arial" w:eastAsia="Arial" w:hAnsi="Arial"/>
          <w:b/>
          <w:bCs/>
          <w:color w:val="222222"/>
          <w:sz w:val="26"/>
          <w:szCs w:val="26"/>
        </w:rPr>
        <w:t xml:space="preserve">4.2 Customer-side controls — non-negotiable checklist</w:t>
      </w:r>
    </w:p>
    <w:p>
      <w:pPr>
        <w:pStyle w:val="ListParagraph"/>
        <w:numPr>
          <w:ilvl w:val="0"/>
          <w:numId w:val="2"/>
        </w:numPr>
        <w:spacing w:after="80"/>
      </w:pPr>
      <w:r>
        <w:rPr>
          <w:rFonts w:ascii="Arial" w:cs="Arial" w:eastAsia="Arial" w:hAnsi="Arial"/>
          <w:sz w:val="22"/>
          <w:szCs w:val="22"/>
        </w:rPr>
        <w:t xml:space="preserve">Signed DPA with each LLM vendor and each sub-processor (review the sub-processor list quarterly).</w:t>
      </w:r>
    </w:p>
    <w:p>
      <w:pPr>
        <w:pStyle w:val="ListParagraph"/>
        <w:numPr>
          <w:ilvl w:val="0"/>
          <w:numId w:val="2"/>
        </w:numPr>
        <w:spacing w:after="80"/>
      </w:pPr>
      <w:r>
        <w:rPr>
          <w:rFonts w:ascii="Arial" w:cs="Arial" w:eastAsia="Arial" w:hAnsi="Arial"/>
          <w:sz w:val="22"/>
          <w:szCs w:val="22"/>
        </w:rPr>
        <w:t xml:space="preserve">Documented DPIA covering input data categories, retention, training opt-out status, sub-processor chain, and TIA for any non-EU transfers.</w:t>
      </w:r>
    </w:p>
    <w:p>
      <w:pPr>
        <w:pStyle w:val="ListParagraph"/>
        <w:numPr>
          <w:ilvl w:val="0"/>
          <w:numId w:val="2"/>
        </w:numPr>
        <w:spacing w:after="80"/>
      </w:pPr>
      <w:r>
        <w:rPr>
          <w:rFonts w:ascii="Arial" w:cs="Arial" w:eastAsia="Arial" w:hAnsi="Arial"/>
          <w:sz w:val="22"/>
          <w:szCs w:val="22"/>
        </w:rPr>
        <w:t xml:space="preserve">Data minimisation at the prompt layer: PII masking / pseudonymisation before data leaves the customer environment.</w:t>
      </w:r>
    </w:p>
    <w:p>
      <w:pPr>
        <w:pStyle w:val="ListParagraph"/>
        <w:numPr>
          <w:ilvl w:val="0"/>
          <w:numId w:val="2"/>
        </w:numPr>
        <w:spacing w:after="80"/>
      </w:pPr>
      <w:r>
        <w:rPr>
          <w:rFonts w:ascii="Arial" w:cs="Arial" w:eastAsia="Arial" w:hAnsi="Arial"/>
          <w:sz w:val="22"/>
          <w:szCs w:val="22"/>
        </w:rPr>
        <w:t xml:space="preserve">Audit logging of all prompts and responses where personal data may be present.</w:t>
      </w:r>
    </w:p>
    <w:p>
      <w:pPr>
        <w:pStyle w:val="ListParagraph"/>
        <w:numPr>
          <w:ilvl w:val="0"/>
          <w:numId w:val="2"/>
        </w:numPr>
        <w:spacing w:after="80"/>
      </w:pPr>
      <w:r>
        <w:rPr>
          <w:rFonts w:ascii="Arial" w:cs="Arial" w:eastAsia="Arial" w:hAnsi="Arial"/>
          <w:sz w:val="22"/>
          <w:szCs w:val="22"/>
        </w:rPr>
        <w:t xml:space="preserve">Internal AI Acceptable Use Policy specifying which tiers are sanctioned and which are forbidden — explicitly banning consumer ChatGPT / claude.ai / Gemini app for any business personal data.</w:t>
      </w:r>
    </w:p>
    <w:p>
      <w:pPr>
        <w:pStyle w:val="ListParagraph"/>
        <w:numPr>
          <w:ilvl w:val="0"/>
          <w:numId w:val="2"/>
        </w:numPr>
        <w:spacing w:after="80"/>
      </w:pPr>
      <w:r>
        <w:rPr>
          <w:rFonts w:ascii="Arial" w:cs="Arial" w:eastAsia="Arial" w:hAnsi="Arial"/>
          <w:sz w:val="22"/>
          <w:szCs w:val="22"/>
        </w:rPr>
        <w:t xml:space="preserve">Monthly review of the EU regulator landscape: EDPB taskforce updates, national DPA decisions, and cross-product changes such as the Microsoft Flex Routing default.</w:t>
      </w:r>
    </w:p>
    <w:p>
      <w:pPr>
        <w:pStyle w:val="Heading2"/>
        <w:spacing w:after="140" w:before="280"/>
      </w:pPr>
      <w:r>
        <w:rPr>
          <w:rFonts w:ascii="Arial" w:cs="Arial" w:eastAsia="Arial" w:hAnsi="Arial"/>
          <w:b/>
          <w:bCs/>
          <w:color w:val="222222"/>
          <w:sz w:val="26"/>
          <w:szCs w:val="26"/>
        </w:rPr>
        <w:t xml:space="preserve">4.3 The three highest-impact actions for an EU client today</w:t>
      </w:r>
    </w:p>
    <w:p>
      <w:pPr>
        <w:spacing w:after="120"/>
      </w:pPr>
      <w:r>
        <w:rPr>
          <w:rFonts w:ascii="Arial" w:cs="Arial" w:eastAsia="Arial" w:hAnsi="Arial"/>
          <w:b/>
          <w:bCs/>
          <w:color w:val="0B8A8F"/>
          <w:sz w:val="22"/>
          <w:szCs w:val="22"/>
        </w:rPr>
        <w:t xml:space="preserve">1. Disable Flex Routing in M365 Copilot</w:t>
      </w:r>
      <w:r>
        <w:rPr>
          <w:rFonts w:ascii="Arial" w:cs="Arial" w:eastAsia="Arial" w:hAnsi="Arial"/>
          <w:sz w:val="22"/>
          <w:szCs w:val="22"/>
        </w:rPr>
        <w:t xml:space="preserve"> (Admin Center → Copilot → Settings → Flexible inferencing during peak load periods → "Do not allow"). Document the decision in the DPIA. This is the single most overlooked GDPR exposure introduced in 2026.</w:t>
      </w:r>
    </w:p>
    <w:p>
      <w:pPr>
        <w:spacing w:after="120"/>
      </w:pPr>
      <w:r>
        <w:rPr>
          <w:rFonts w:ascii="Arial" w:cs="Arial" w:eastAsia="Arial" w:hAnsi="Arial"/>
          <w:b/>
          <w:bCs/>
          <w:color w:val="0B8A8F"/>
          <w:sz w:val="22"/>
          <w:szCs w:val="22"/>
        </w:rPr>
        <w:t xml:space="preserve">2. Block Anthropic models in M365 Copilot </w:t>
      </w:r>
      <w:r>
        <w:rPr>
          <w:rFonts w:ascii="Arial" w:cs="Arial" w:eastAsia="Arial" w:hAnsi="Arial"/>
          <w:sz w:val="22"/>
          <w:szCs w:val="22"/>
        </w:rPr>
        <w:t xml:space="preserve">until Anthropic-on-Foundry-EU goes GA. Anthropic models are explicitly out of EU Data Boundary scope today.</w:t>
      </w:r>
    </w:p>
    <w:p>
      <w:pPr>
        <w:spacing w:after="120"/>
      </w:pPr>
      <w:r>
        <w:rPr>
          <w:rFonts w:ascii="Arial" w:cs="Arial" w:eastAsia="Arial" w:hAnsi="Arial"/>
          <w:b/>
          <w:bCs/>
          <w:color w:val="0B8A8F"/>
          <w:sz w:val="22"/>
          <w:szCs w:val="22"/>
        </w:rPr>
        <w:t xml:space="preserve">3. Migrate any consumer-tier business use to enterprise tiers </w:t>
      </w:r>
      <w:r>
        <w:rPr>
          <w:rFonts w:ascii="Arial" w:cs="Arial" w:eastAsia="Arial" w:hAnsi="Arial"/>
          <w:sz w:val="22"/>
          <w:szCs w:val="22"/>
        </w:rPr>
        <w:t xml:space="preserve">or to hyperscaler-routed equivalents. Consumer ChatGPT, claude.ai, and Gemini app cannot be made GDPR-compliant for business processing of personal data, regardless of internal policy.</w:t>
      </w:r>
    </w:p>
    <w:p>
      <w:pPr>
        <w:pStyle w:val="Heading1"/>
        <w:spacing w:after="200" w:before="360"/>
      </w:pPr>
      <w:r>
        <w:rPr>
          <w:rFonts w:ascii="Arial" w:cs="Arial" w:eastAsia="Arial" w:hAnsi="Arial"/>
          <w:b/>
          <w:bCs/>
          <w:color w:val="0B8A8F"/>
          <w:sz w:val="32"/>
          <w:szCs w:val="32"/>
        </w:rPr>
        <w:t xml:space="preserve">5. Forward-Looking Notes</w:t>
      </w:r>
    </w:p>
    <w:p>
      <w:pPr>
        <w:pStyle w:val="ListParagraph"/>
        <w:numPr>
          <w:ilvl w:val="0"/>
          <w:numId w:val="2"/>
        </w:numPr>
        <w:spacing w:after="80"/>
      </w:pPr>
      <w:r>
        <w:rPr>
          <w:rFonts w:ascii="Arial" w:cs="Arial" w:eastAsia="Arial" w:hAnsi="Arial"/>
          <w:b/>
          <w:bCs/>
          <w:sz w:val="22"/>
          <w:szCs w:val="22"/>
        </w:rPr>
        <w:t xml:space="preserve">EU AI Act interplay. </w:t>
      </w:r>
      <w:r>
        <w:rPr>
          <w:rFonts w:ascii="Arial" w:cs="Arial" w:eastAsia="Arial" w:hAnsi="Arial"/>
          <w:sz w:val="22"/>
          <w:szCs w:val="22"/>
        </w:rPr>
        <w:t xml:space="preserve">From August 2026, GPAI obligations enter full force. Vendors will need to publish training-data summaries and copyright compliance statements. This will further harden the gap between EU-aligned providers (Mistral, Google) and providers that resist disclosure.</w:t>
      </w:r>
    </w:p>
    <w:p>
      <w:pPr>
        <w:pStyle w:val="ListParagraph"/>
        <w:numPr>
          <w:ilvl w:val="0"/>
          <w:numId w:val="2"/>
        </w:numPr>
        <w:spacing w:after="80"/>
      </w:pPr>
      <w:r>
        <w:rPr>
          <w:rFonts w:ascii="Arial" w:cs="Arial" w:eastAsia="Arial" w:hAnsi="Arial"/>
          <w:b/>
          <w:bCs/>
          <w:sz w:val="22"/>
          <w:szCs w:val="22"/>
        </w:rPr>
        <w:t xml:space="preserve">EU Cloud and AI Development Act. </w:t>
      </w:r>
      <w:r>
        <w:rPr>
          <w:rFonts w:ascii="Arial" w:cs="Arial" w:eastAsia="Arial" w:hAnsi="Arial"/>
          <w:sz w:val="22"/>
          <w:szCs w:val="22"/>
        </w:rPr>
        <w:t xml:space="preserve">Expected to legally prioritise EU-controlled cloud services in public procurement — accelerating the Schleswig-Holstein / France / Denmark migrations away from US hyperscalers.</w:t>
      </w:r>
    </w:p>
    <w:p>
      <w:pPr>
        <w:pStyle w:val="ListParagraph"/>
        <w:numPr>
          <w:ilvl w:val="0"/>
          <w:numId w:val="2"/>
        </w:numPr>
        <w:spacing w:after="80"/>
      </w:pPr>
      <w:r>
        <w:rPr>
          <w:rFonts w:ascii="Arial" w:cs="Arial" w:eastAsia="Arial" w:hAnsi="Arial"/>
          <w:b/>
          <w:bCs/>
          <w:sz w:val="22"/>
          <w:szCs w:val="22"/>
        </w:rPr>
        <w:t xml:space="preserve">EU-US Data Privacy Framework fragility. </w:t>
      </w:r>
      <w:r>
        <w:rPr>
          <w:rFonts w:ascii="Arial" w:cs="Arial" w:eastAsia="Arial" w:hAnsi="Arial"/>
          <w:sz w:val="22"/>
          <w:szCs w:val="22"/>
        </w:rPr>
        <w:t xml:space="preserve">A successful Schrems III challenge would invalidate SCCs as a transfer mechanism overnight for many configurations. Clients running on US-based inference should have a documented contingency plan.</w:t>
      </w:r>
    </w:p>
    <w:p>
      <w:pPr>
        <w:pStyle w:val="ListParagraph"/>
        <w:numPr>
          <w:ilvl w:val="0"/>
          <w:numId w:val="2"/>
        </w:numPr>
        <w:spacing w:after="80"/>
      </w:pPr>
      <w:r>
        <w:rPr>
          <w:rFonts w:ascii="Arial" w:cs="Arial" w:eastAsia="Arial" w:hAnsi="Arial"/>
          <w:b/>
          <w:bCs/>
          <w:sz w:val="22"/>
          <w:szCs w:val="22"/>
        </w:rPr>
        <w:t xml:space="preserve">Anthropic EU residency. </w:t>
      </w:r>
      <w:r>
        <w:rPr>
          <w:rFonts w:ascii="Arial" w:cs="Arial" w:eastAsia="Arial" w:hAnsi="Arial"/>
          <w:sz w:val="22"/>
          <w:szCs w:val="22"/>
        </w:rPr>
        <w:t xml:space="preserve">Listed as "Coming 2026" for Microsoft Foundry. NDI should track this and re-evaluate the Anthropic-direct path once it lands.</w:t>
      </w:r>
    </w:p>
    <w:p>
      <w:pPr>
        <w:pBdr>
          <w:top w:val="single" w:color="0B8A8F" w:sz="6" w:space="6"/>
        </w:pBdr>
        <w:spacing w:after="60" w:before="400"/>
      </w:pPr>
      <w:r>
        <w:rPr>
          <w:rFonts w:ascii="Arial" w:cs="Arial" w:eastAsia="Arial" w:hAnsi="Arial"/>
          <w:sz w:val="18"/>
          <w:szCs w:val="18"/>
        </w:rPr>
        <w:t xml:space="preserve"> </w:t>
      </w:r>
    </w:p>
    <w:p>
      <w:pPr>
        <w:spacing w:before="80"/>
      </w:pPr>
      <w:r>
        <w:rPr>
          <w:rFonts w:ascii="Arial" w:cs="Arial" w:eastAsia="Arial" w:hAnsi="Arial"/>
          <w:i/>
          <w:iCs/>
          <w:color w:val="777777"/>
          <w:sz w:val="18"/>
          <w:szCs w:val="18"/>
        </w:rPr>
        <w:t xml:space="preserve">Prepared by NDI advisory · April 2026 · For internal and client use under NDA.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8A8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0B8A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Compliance of the Major LLM Services</dc:title>
  <dc:creator>NDI</dc:creator>
  <dc:description>Comparative analysis for mid-market EU deployment</dc:description>
  <cp:lastModifiedBy>Un-named</cp:lastModifiedBy>
  <cp:revision>1</cp:revision>
  <dcterms:created xsi:type="dcterms:W3CDTF">2026-04-28T09:58:59.853Z</dcterms:created>
  <dcterms:modified xsi:type="dcterms:W3CDTF">2026-04-28T09:58:59.853Z</dcterms:modified>
</cp:coreProperties>
</file>

<file path=docProps/custom.xml><?xml version="1.0" encoding="utf-8"?>
<Properties xmlns="http://schemas.openxmlformats.org/officeDocument/2006/custom-properties" xmlns:vt="http://schemas.openxmlformats.org/officeDocument/2006/docPropsVTypes"/>
</file>