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Questions and answers on AI assisted exam grading</w:t>
      </w:r>
    </w:p>
    <w:p>
      <w:pPr>
        <w:pStyle w:val="Subtitle"/>
      </w:pPr>
      <w:r>
        <w:t>As of 12 September 2026</w:t>
      </w:r>
    </w:p>
    <w:p>
      <w:pPr>
        <w:pStyle w:val="Heading1"/>
        <w:keepNext/>
      </w:pPr>
      <w:r>
        <w:t>1 What does the GDPR require for AI assisted grading?</w:t>
      </w:r>
    </w:p>
    <w:p>
      <w:pPr>
        <w:keepNext/>
      </w:pPr>
      <w:r>
        <w:rPr>
          <w:b w:val="0"/>
        </w:rPr>
        <w:t>The institution needs a lawful basis for processing and external disclosure, a processor agreement, controlled subprocessors, suitable security, limited retention, transparent information and workable student rights. Special-category data needs an additional legal condition. A DPIA is required where processing is likely to create high risk. Removing names does not necessarily anonymise a script. In Germany, solely automated significant decisions are restricted by Article 22. The UK has its own amended Articles 22A–22D: ordinary-data automation can be lawful with safeguards, while special-category decisions remain restricted. FERPA and applicable US laws govern the US context.</w:t>
      </w:r>
    </w:p>
    <w:p>
      <w:pPr>
        <w:keepNext/>
        <w:spacing w:after="80" w:line="240" w:lineRule="auto"/>
      </w:pPr>
      <w:hyperlink r:id="rId9">
        <w:r>
          <w:rPr>
            <w:color w:val="444444"/>
            <w:sz w:val="17"/>
            <w:u w:val="single"/>
          </w:rPr>
          <w:t>EU GDPR</w:t>
        </w:r>
      </w:hyperlink>
    </w:p>
    <w:p>
      <w:pPr>
        <w:keepNext w:val="0"/>
        <w:spacing w:after="80" w:line="240" w:lineRule="auto"/>
      </w:pPr>
      <w:hyperlink r:id="rId10">
        <w:r>
          <w:rPr>
            <w:color w:val="444444"/>
            <w:sz w:val="17"/>
            <w:u w:val="single"/>
          </w:rPr>
          <w:t>UK Data (Use and Access) Act 2025, section 80</w:t>
        </w:r>
      </w:hyperlink>
    </w:p>
    <w:p>
      <w:pPr>
        <w:pStyle w:val="Heading1"/>
        <w:keepNext/>
      </w:pPr>
      <w:r>
        <w:t>2 What does the EU AI Act require?</w:t>
      </w:r>
    </w:p>
    <w:p>
      <w:pPr>
        <w:keepNext/>
      </w:pPr>
      <w:r>
        <w:rPr>
          <w:b w:val="0"/>
        </w:rPr>
        <w:t>An AI system intended to evaluate learning outcomes is generally within Annex III point 3(b). Human final marking alone does not remove that classification. Where high-risk duties apply, the provider needs risk and quality management, suitable data and testing, technical documentation, logs, human-oversight capabilities and the required conformity and registration steps. Institutions have separate deployment and impact-assessment duties. The amended start date for Chapter III Sections 1–3 for Annex III systems is 2 December 2027. AI-literacy measures and applicable prohibited-practice and transparency rules already apply. The amendment does not expressly defer Section 5; do not treat the date change as a blanket suspension of market-access requirements.</w:t>
      </w:r>
    </w:p>
    <w:p>
      <w:pPr>
        <w:keepNext w:val="0"/>
        <w:spacing w:after="80" w:line="240" w:lineRule="auto"/>
      </w:pPr>
      <w:hyperlink r:id="rId11">
        <w:r>
          <w:rPr>
            <w:color w:val="444444"/>
            <w:sz w:val="17"/>
            <w:u w:val="single"/>
          </w:rPr>
          <w:t>AI Act and amendment</w:t>
        </w:r>
      </w:hyperlink>
    </w:p>
    <w:p>
      <w:pPr>
        <w:pStyle w:val="Heading1"/>
        <w:keepNext/>
      </w:pPr>
      <w:r>
        <w:t>3 Which requirements apply below the EU level in Germany?</w:t>
      </w:r>
    </w:p>
    <w:p>
      <w:pPr>
        <w:keepNext/>
      </w:pPr>
      <w:r>
        <w:rPr>
          <w:b w:val="0"/>
        </w:rPr>
        <w:t>The relevant Land’s school or higher-education law, school-data rules, examination regulations, service rules and staff-participation requirements apply. The responsible examiner must retain the assessment required by examination law, follow consistent criteria and support review of challenged marks. A KMK recommendation coordinates policy but does not itself approve a vendor or override a Land’s rules. Supervisory guidance explains the authorities’ position; distinguish it from binding legislation and applicable official instructions.</w:t>
      </w:r>
    </w:p>
    <w:p>
      <w:pPr>
        <w:keepNext/>
        <w:spacing w:after="80" w:line="240" w:lineRule="auto"/>
      </w:pPr>
      <w:hyperlink r:id="rId12">
        <w:r>
          <w:rPr>
            <w:color w:val="444444"/>
            <w:sz w:val="17"/>
            <w:u w:val="single"/>
          </w:rPr>
          <w:t>BVerwG 6 B 1.16</w:t>
        </w:r>
      </w:hyperlink>
    </w:p>
    <w:p>
      <w:pPr>
        <w:keepNext w:val="0"/>
        <w:spacing w:after="80" w:line="240" w:lineRule="auto"/>
      </w:pPr>
      <w:hyperlink r:id="rId13">
        <w:r>
          <w:rPr>
            <w:color w:val="444444"/>
            <w:sz w:val="17"/>
            <w:u w:val="single"/>
          </w:rPr>
          <w:t>NRW school law</w:t>
        </w:r>
      </w:hyperlink>
    </w:p>
    <w:p>
      <w:pPr>
        <w:pStyle w:val="Heading1"/>
        <w:keepNext/>
      </w:pPr>
      <w:r>
        <w:t>4 Why does AI matter compared with ordinary data processing?</w:t>
      </w:r>
    </w:p>
    <w:p>
      <w:pPr>
        <w:keepNext/>
      </w:pPr>
      <w:r>
        <w:rPr>
          <w:b w:val="0"/>
        </w:rPr>
        <w:t>Privacy law already covers ordinary digital processing of identifiable scripts. AI adds inferred scores and judgments, error and bias risks, possible profiling, and potentially significant automated decisions. Those features can trigger additional assessments, safeguards and AI-specific duties. The legal trigger is the system’s actual purpose and effects; using a human reviewer does not erase every AI or privacy obligation.</w:t>
      </w:r>
    </w:p>
    <w:p>
      <w:pPr>
        <w:keepNext w:val="0"/>
        <w:spacing w:after="80" w:line="240" w:lineRule="auto"/>
      </w:pPr>
      <w:hyperlink r:id="rId14">
        <w:r>
          <w:rPr>
            <w:color w:val="444444"/>
            <w:sz w:val="17"/>
            <w:u w:val="single"/>
          </w:rPr>
          <w:t>AI Act, Articles 3 and 6</w:t>
        </w:r>
      </w:hyperlink>
    </w:p>
    <w:p>
      <w:pPr>
        <w:pStyle w:val="Heading1"/>
        <w:keepNext/>
      </w:pPr>
      <w:r>
        <w:t>5 Can a teacher use the service independently or must the institution authorise it?</w:t>
      </w:r>
    </w:p>
    <w:p>
      <w:pPr>
        <w:keepNext/>
      </w:pPr>
      <w:r>
        <w:rPr>
          <w:b w:val="0"/>
        </w:rPr>
        <w:t>A teacher can use it within the authority and arrangements granted by the responsible institution. A personal subscription does not authorise external disclosure of student data. In Germany and the UK, the relevant controller must establish lawful processing, contracts and required assessments; a teacher may carry out delegated tasks. In the US, the institution must satisfy FERPA’s disclosure conditions and applicable state and district rules. Separate qualification or examination restrictions may apply even to an institution-approved tool.</w:t>
      </w:r>
    </w:p>
    <w:p>
      <w:pPr>
        <w:keepNext/>
        <w:spacing w:after="80" w:line="240" w:lineRule="auto"/>
      </w:pPr>
      <w:hyperlink r:id="rId15">
        <w:r>
          <w:rPr>
            <w:color w:val="444444"/>
            <w:sz w:val="17"/>
            <w:u w:val="single"/>
          </w:rPr>
          <w:t>FERPA</w:t>
        </w:r>
      </w:hyperlink>
    </w:p>
    <w:p>
      <w:pPr>
        <w:keepNext w:val="0"/>
        <w:spacing w:after="80" w:line="240" w:lineRule="auto"/>
      </w:pPr>
      <w:hyperlink r:id="rId16">
        <w:r>
          <w:rPr>
            <w:color w:val="444444"/>
            <w:sz w:val="17"/>
            <w:u w:val="single"/>
          </w:rPr>
          <w:t>UK GDPR, Articles 28 and 29</w:t>
        </w:r>
      </w:hyperlink>
    </w:p>
    <w:p>
      <w:pPr>
        <w:pStyle w:val="Heading1"/>
        <w:keepNext/>
      </w:pPr>
      <w:r>
        <w:t>6 Could one national or regional decision authorise all schools and teachers?</w:t>
      </w:r>
    </w:p>
    <w:p>
      <w:pPr>
        <w:keepNext/>
      </w:pPr>
      <w:r>
        <w:rPr>
          <w:b w:val="0"/>
        </w:rPr>
        <w:t>There is no universal approval that displaces the underlying duties. In Germany, a Land can act within its educational powers, while the Bund cannot simply approve a service for every Land’s schools. A regional instruction or contract must still respect data protection, examination law and institutional responsibilities. In the US, state or district arrangements can support wider adoption without removing FERPA and local requirements. In the UK, authority depends on the nation, institution and procurement structure; a national platform listing alone does not approve every assessment use.</w:t>
      </w:r>
    </w:p>
    <w:p>
      <w:pPr>
        <w:keepNext/>
        <w:spacing w:after="80" w:line="240" w:lineRule="auto"/>
      </w:pPr>
      <w:hyperlink r:id="rId17">
        <w:r>
          <w:rPr>
            <w:color w:val="444444"/>
            <w:sz w:val="17"/>
            <w:u w:val="single"/>
          </w:rPr>
          <w:t>Basic Law, Articles 30 and 70</w:t>
        </w:r>
      </w:hyperlink>
    </w:p>
    <w:p>
      <w:pPr>
        <w:keepNext w:val="0"/>
        <w:spacing w:after="80" w:line="240" w:lineRule="auto"/>
      </w:pPr>
      <w:hyperlink r:id="rId15">
        <w:r>
          <w:rPr>
            <w:color w:val="444444"/>
            <w:sz w:val="17"/>
            <w:u w:val="single"/>
          </w:rPr>
          <w:t>FERPA</w:t>
        </w:r>
      </w:hyperlink>
    </w:p>
    <w:p>
      <w:pPr>
        <w:pStyle w:val="Heading1"/>
        <w:keepNext/>
      </w:pPr>
      <w:r>
        <w:t>7 May a provider offer AI grading solely for comparison or validation of a teacher’s own evaluation as a second opinion (“Zweitmeinung”)?</w:t>
      </w:r>
    </w:p>
    <w:p>
      <w:pPr>
        <w:keepNext/>
      </w:pPr>
      <w:r>
        <w:rPr>
          <w:b w:val="0"/>
        </w:rPr>
      </w:r>
      <w:r>
        <w:rPr>
          <w:b/>
        </w:rPr>
        <w:t>Yes, in principle, subject to the applicable requirements.</w:t>
      </w:r>
      <w:r>
        <w:rPr>
          <w:b w:val="0"/>
        </w:rPr>
        <w:t xml:space="preserve"> Offering the product and a particular school’s lawful use are separate issues. The teacher must retain the required judgment, and data processing, confidentiality, copyright and institutional or examination permissions still apply even when the AI output never determines the mark.</w:t>
      </w:r>
    </w:p>
    <w:p>
      <w:pPr>
        <w:keepNext/>
      </w:pPr>
      <w:r>
        <w:rPr>
          <w:b w:val="0"/>
        </w:rPr>
      </w:r>
      <w:r>
        <w:rPr>
          <w:b/>
        </w:rPr>
        <w:t>Germany and the EU AI Act:</w:t>
      </w:r>
      <w:r>
        <w:rPr>
          <w:b w:val="0"/>
        </w:rPr>
        <w:t xml:space="preserve"> Article 6(3)(c) and recital 53 expressly contemplate checking a teacher’s completed grading pattern for inconsistencies. This can support the exception from high-risk classification if the exact conditions are met. The provider must establish the absence of significant risk, the qualifying limited purpose and the absence of profiling of natural persons, and document the assessment and meet the applicable registration duty. A system that independently scores identifiable students may still perform profiling and remain high-risk. Calling it a second opinion is insufficient. A comparison intended to alter the final mark also requires assessment of its actual influence. It cannot replace a legally required second human examiner.</w:t>
      </w:r>
    </w:p>
    <w:p>
      <w:pPr>
        <w:keepNext/>
      </w:pPr>
      <w:r>
        <w:rPr>
          <w:b w:val="0"/>
        </w:rPr>
      </w:r>
      <w:r>
        <w:rPr>
          <w:b/>
        </w:rPr>
        <w:t>UK:</w:t>
      </w:r>
      <w:r>
        <w:rPr>
          <w:b w:val="0"/>
        </w:rPr>
        <w:t xml:space="preserve"> Teacher-led comparison or quality assurance can be permissible. For Ofqual-regulated qualifications, the awarding organisation must preserve the required human marking and its assessment rules. A genuinely retrospective comparison without significant effects is different from a solely automated significant decision, but UK GDPR still governs the data.</w:t>
      </w:r>
    </w:p>
    <w:p>
      <w:pPr>
        <w:keepNext/>
      </w:pPr>
      <w:r>
        <w:rPr>
          <w:b w:val="0"/>
        </w:rPr>
      </w:r>
      <w:r>
        <w:rPr>
          <w:b/>
        </w:rPr>
        <w:t>US:</w:t>
      </w:r>
      <w:r>
        <w:rPr>
          <w:b w:val="0"/>
        </w:rPr>
        <w:t xml:space="preserve"> Such a service can be offered, with FERPA and applicable state and district conditions met. State AI rules depend on actual use: Oklahoma preserves educator review and bars AI as the primary basis of grading, while Colorado’s 2027 duties target material influence on consequential decisions. A comparison-only label does not defeat those triggers if practice differs.</w:t>
      </w:r>
    </w:p>
    <w:p>
      <w:pPr>
        <w:keepNext/>
        <w:spacing w:after="80" w:line="240" w:lineRule="auto"/>
      </w:pPr>
      <w:hyperlink r:id="rId14">
        <w:r>
          <w:rPr>
            <w:color w:val="444444"/>
            <w:sz w:val="17"/>
            <w:u w:val="single"/>
          </w:rPr>
          <w:t>AI Act, recital 53 and Article 6(3)–(4)</w:t>
        </w:r>
      </w:hyperlink>
    </w:p>
    <w:p>
      <w:pPr>
        <w:keepNext/>
        <w:spacing w:after="80" w:line="240" w:lineRule="auto"/>
      </w:pPr>
      <w:hyperlink r:id="rId18">
        <w:r>
          <w:rPr>
            <w:color w:val="444444"/>
            <w:sz w:val="17"/>
            <w:u w:val="single"/>
          </w:rPr>
          <w:t>Ofqual principles on AI in marking</w:t>
        </w:r>
      </w:hyperlink>
    </w:p>
    <w:p>
      <w:pPr>
        <w:keepNext/>
        <w:spacing w:after="80" w:line="240" w:lineRule="auto"/>
      </w:pPr>
      <w:hyperlink r:id="rId19">
        <w:r>
          <w:rPr>
            <w:color w:val="444444"/>
            <w:sz w:val="17"/>
            <w:u w:val="single"/>
          </w:rPr>
          <w:t>Oklahoma SB 1734, enacted text</w:t>
        </w:r>
      </w:hyperlink>
    </w:p>
    <w:p>
      <w:pPr>
        <w:keepNext w:val="0"/>
        <w:spacing w:after="80" w:line="240" w:lineRule="auto"/>
      </w:pPr>
      <w:hyperlink r:id="rId20">
        <w:r>
          <w:rPr>
            <w:color w:val="444444"/>
            <w:sz w:val="17"/>
            <w:u w:val="single"/>
          </w:rPr>
          <w:t>Colorado SB 26-189</w:t>
        </w:r>
      </w:hyperlink>
    </w:p>
    <w:p>
      <w:pPr>
        <w:pStyle w:val="Heading1"/>
        <w:pageBreakBefore/>
      </w:pPr>
      <w:r>
        <w:t>8 Is the student’s consent required?</w:t>
      </w:r>
    </w:p>
    <w:p>
      <w:pPr>
        <w:keepLines/>
      </w:pPr>
      <w:r>
        <w:rPr>
          <w:b w:val="0"/>
        </w:rPr>
      </w:r>
      <w:r>
        <w:rPr>
          <w:b/>
        </w:rPr>
        <w:t>Not automatically.</w:t>
      </w:r>
      <w:r>
        <w:rPr>
          <w:b w:val="0"/>
        </w:rPr>
        <w:t xml:space="preserve"> The answer depends on the legal basis, the data and the intended use, including comparison-only use.</w:t>
      </w:r>
    </w:p>
    <w:p>
      <w:pPr>
        <w:keepLines/>
      </w:pPr>
      <w:r>
        <w:rPr>
          <w:b w:val="0"/>
        </w:rPr>
      </w:r>
      <w:r>
        <w:rPr>
          <w:b/>
        </w:rPr>
        <w:t>Germany and UK:</w:t>
      </w:r>
      <w:r>
        <w:rPr>
          <w:b w:val="0"/>
        </w:rPr>
        <w:t xml:space="preserve"> Consent is unnecessary where another valid legal basis covers both the assessment and the external processing, such as a legally supported public task. The institution must establish that basis before uploading scripts; educational usefulness alone is insufficient. If relying on consent, it must be informed, specific, freely given and withdrawable, with a real alternative and no unfair disadvantage for refusal. For minors, determine whether the student or a parent or guardian can validly consent. Special-category data and significant automated decisions require the additional conditions or safeguards explained in Question 1.</w:t>
      </w:r>
    </w:p>
    <w:p>
      <w:pPr>
        <w:keepLines/>
      </w:pPr>
      <w:r>
        <w:rPr>
          <w:b w:val="0"/>
        </w:rPr>
      </w:r>
      <w:r>
        <w:rPr>
          <w:b/>
        </w:rPr>
        <w:t>US:</w:t>
      </w:r>
      <w:r>
        <w:rPr>
          <w:b w:val="0"/>
        </w:rPr>
        <w:t xml:space="preserve"> FERPA generally requires signed, dated consent for disclosure unless an exception applies. A properly established school-official arrangement can permit disclosure without consent. FERPA consent rights belong to the parent until they transfer to the eligible student at 18 or on attendance at a postsecondary institution. If COPPA applies to online collection from under-13s, the operator generally needs parental consent; qualifying school authorisation can cover solely educational use under FTC guidance. Applicable state laws may impose additional consent or opt-out requirements.</w:t>
      </w:r>
    </w:p>
    <w:p>
      <w:pPr>
        <w:spacing w:after="80" w:line="240" w:lineRule="auto"/>
      </w:pPr>
      <w:hyperlink r:id="rId9">
        <w:r>
          <w:rPr>
            <w:color w:val="444444"/>
            <w:sz w:val="17"/>
            <w:u w:val="single"/>
          </w:rPr>
          <w:t>EU GDPR, Articles 6–9, 22 and recital 43</w:t>
        </w:r>
      </w:hyperlink>
    </w:p>
    <w:p>
      <w:pPr>
        <w:spacing w:after="80" w:line="240" w:lineRule="auto"/>
      </w:pPr>
      <w:hyperlink r:id="rId22">
        <w:r>
          <w:rPr>
            <w:color w:val="444444"/>
            <w:sz w:val="17"/>
            <w:u w:val="single"/>
          </w:rPr>
          <w:t>ICO guidance on children’s lawful bases and consent</w:t>
        </w:r>
      </w:hyperlink>
    </w:p>
    <w:p>
      <w:pPr>
        <w:spacing w:after="80" w:line="240" w:lineRule="auto"/>
      </w:pPr>
      <w:hyperlink r:id="rId15">
        <w:r>
          <w:rPr>
            <w:color w:val="444444"/>
            <w:sz w:val="17"/>
            <w:u w:val="single"/>
          </w:rPr>
          <w:t>FERPA, 34 CFR §§ 99.5, 99.30–99.33</w:t>
        </w:r>
      </w:hyperlink>
    </w:p>
    <w:p>
      <w:pPr>
        <w:spacing w:after="80" w:line="240" w:lineRule="auto"/>
      </w:pPr>
      <w:hyperlink r:id="rId23">
        <w:r>
          <w:rPr>
            <w:color w:val="444444"/>
            <w:sz w:val="17"/>
            <w:u w:val="single"/>
          </w:rPr>
          <w:t>FTC COPPA FAQs, section N on schools</w:t>
        </w:r>
      </w:hyperlink>
    </w:p>
    <w:p>
      <w:pPr>
        <w:pStyle w:val="Heading1"/>
      </w:pPr>
      <w:r>
        <w:t>9 Is consent from the school or university required in every case?</w:t>
      </w:r>
    </w:p>
    <w:p>
      <w:pPr>
        <w:keepLines/>
      </w:pPr>
      <w:r>
        <w:rPr>
          <w:b w:val="0"/>
        </w:rPr>
      </w:r>
      <w:r>
        <w:rPr>
          <w:b/>
        </w:rPr>
        <w:t>For official use, the teacher needs the required institutional authority; a separate consent for every use is unnecessary.</w:t>
      </w:r>
      <w:r>
        <w:rPr>
          <w:b w:val="0"/>
        </w:rPr>
        <w:t xml:space="preserve"> Existing approval, an approved contract or delegated authority can cover the service and purpose. The competent body may be the school, university, district, trust or education authority, depending on local arrangements.</w:t>
      </w:r>
    </w:p>
    <w:p>
      <w:pPr>
        <w:keepLines/>
      </w:pPr>
      <w:r>
        <w:rPr>
          <w:b w:val="0"/>
        </w:rPr>
        <w:t>In Germany and the UK, this concerns the responsible controller’s authorisation, processor terms and instructions, rather than the institution giving student-style GDPR consent. In the US, the relevant institution must satisfy FERPA and applicable state and district conditions; the school-official exception requires institutional control over the vendor’s use of records. Student consent does not by itself authorise a teacher to disregard institutional or examination rules.</w:t>
      </w:r>
    </w:p>
    <w:p>
      <w:pPr>
        <w:keepLines/>
      </w:pPr>
      <w:r>
        <w:rPr>
          <w:b w:val="0"/>
        </w:rPr>
        <w:t>Offering the product, or privately testing it with self-created examples, does not universally require school permission. Use of genuinely anonymised material may avoid student-data consent requirements, but anonymising real scripts must itself be lawful, and confidentiality, copyright, employment and examination rules can still require approval. The same limits apply to a second opinion.</w:t>
      </w:r>
    </w:p>
    <w:p>
      <w:pPr>
        <w:spacing w:after="80" w:line="240" w:lineRule="auto"/>
      </w:pPr>
      <w:hyperlink r:id="rId9">
        <w:r>
          <w:rPr>
            <w:color w:val="444444"/>
            <w:sz w:val="17"/>
            <w:u w:val="single"/>
          </w:rPr>
          <w:t>EU GDPR, Articles 24, 28 and 29</w:t>
        </w:r>
      </w:hyperlink>
    </w:p>
    <w:p>
      <w:pPr>
        <w:spacing w:after="80" w:line="240" w:lineRule="auto"/>
      </w:pPr>
      <w:hyperlink r:id="rId16">
        <w:r>
          <w:rPr>
            <w:color w:val="444444"/>
            <w:sz w:val="17"/>
            <w:u w:val="single"/>
          </w:rPr>
          <w:t>UK GDPR, Articles 24, 28 and 29</w:t>
        </w:r>
      </w:hyperlink>
    </w:p>
    <w:p>
      <w:pPr>
        <w:spacing w:after="80" w:line="240" w:lineRule="auto"/>
      </w:pPr>
      <w:hyperlink r:id="rId24">
        <w:r>
          <w:rPr>
            <w:color w:val="444444"/>
            <w:sz w:val="17"/>
            <w:u w:val="single"/>
          </w:rPr>
          <w:t>FERPA school-official requirements</w:t>
        </w:r>
      </w:hyperlink>
    </w:p>
    <w:p>
      <w:pPr>
        <w:pStyle w:val="Heading1"/>
        <w:pageBreakBefore/>
      </w:pPr>
      <w:r>
        <w:t>10 What risks do regulators see if students can challenge every assessment item and the teacher then makes a final judgment without relying on AI?</w:t>
      </w:r>
    </w:p>
    <w:p>
      <w:pPr>
        <w:keepLines/>
      </w:pPr>
      <w:r>
        <w:rPr>
          <w:b w:val="0"/>
        </w:rPr>
      </w:r>
      <w:r>
        <w:rPr>
          <w:b/>
        </w:rPr>
        <w:t>An effective appeal reduces risk but does not eliminate it.</w:t>
      </w:r>
      <w:r>
        <w:rPr>
          <w:b w:val="0"/>
        </w:rPr>
        <w:t xml:space="preserve"> Regulators are concerned about inaccurate or discriminatory grades, unreliable explanations and excessive reliance on suggested scores, because results affect educational and career opportunities. Data security and confidentiality risks also arise before any appeal.</w:t>
      </w:r>
    </w:p>
    <w:p>
      <w:pPr>
        <w:keepLines/>
      </w:pPr>
      <w:r>
        <w:rPr>
          <w:b w:val="0"/>
        </w:rPr>
      </w:r>
      <w:r>
        <w:rPr>
          <w:b/>
        </w:rPr>
        <w:t>Applied to the described workflow:</w:t>
      </w:r>
      <w:r>
        <w:rPr>
          <w:b w:val="0"/>
        </w:rPr>
        <w:t xml:space="preserve"> If teachers review only challenged items, errors in unchallenged marks can remain. Students may not recognise an error or be equally able to contest it; teachers may be influenced by the initial suggestion. If every effective grade instead reflects the teacher’s substantive judgment before it has significant consequences, the decision can be human. A later appeal does not retrospectively make an earlier solely automated significant decision human; Germany and the UK apply different automation rules, as explained in Question 1.</w:t>
      </w:r>
    </w:p>
    <w:p>
      <w:pPr>
        <w:keepLines/>
      </w:pPr>
      <w:r>
        <w:rPr>
          <w:b w:val="0"/>
        </w:rPr>
        <w:t>Under the EU AI Act, evaluating learning outcomes generally falls within Annex III even with an appeal route. A limited comparison use may qualify for Article 6(3), subject to its conditions; see Question 7. If AI truly never affects the grade, the grading risk is substantially reduced, but privacy, security and applicable examination duties remain.</w:t>
      </w:r>
    </w:p>
    <w:p>
      <w:pPr>
        <w:spacing w:after="80" w:line="240" w:lineRule="auto"/>
      </w:pPr>
      <w:hyperlink r:id="rId14">
        <w:r>
          <w:rPr>
            <w:color w:val="444444"/>
            <w:sz w:val="17"/>
            <w:u w:val="single"/>
          </w:rPr>
          <w:t>EU AI Act, recital 56 and Articles 6 and 14</w:t>
        </w:r>
      </w:hyperlink>
    </w:p>
    <w:p>
      <w:pPr>
        <w:spacing w:after="80" w:line="240" w:lineRule="auto"/>
      </w:pPr>
      <w:hyperlink r:id="rId25">
        <w:r>
          <w:rPr>
            <w:color w:val="444444"/>
            <w:sz w:val="17"/>
            <w:u w:val="single"/>
          </w:rPr>
          <w:t>Ofqual’s regulatory approach, sections on risks and marking</w:t>
        </w:r>
      </w:hyperlink>
    </w:p>
    <w:p>
      <w:pPr>
        <w:spacing w:after="80" w:line="240" w:lineRule="auto"/>
      </w:pPr>
      <w:hyperlink r:id="rId26">
        <w:r>
          <w:rPr>
            <w:color w:val="444444"/>
            <w:sz w:val="17"/>
            <w:u w:val="single"/>
          </w:rPr>
          <w:t>ICO, automated decisions and meaningful human involvement, Module 9</w:t>
        </w:r>
      </w:hyperlink>
    </w:p>
    <w:p>
      <w:pPr>
        <w:pStyle w:val="Heading1"/>
      </w:pPr>
      <w:r>
        <w:t>11 How does the law treat ordinary IT supported grading differently from AI supported grading, and how much does the AI designation matter?</w:t>
      </w:r>
    </w:p>
    <w:p>
      <w:pPr>
        <w:keepLines/>
      </w:pPr>
      <w:r>
        <w:rPr>
          <w:b w:val="0"/>
        </w:rPr>
      </w:r>
      <w:r>
        <w:rPr>
          <w:b/>
        </w:rPr>
        <w:t>The basic duties apply to both.</w:t>
      </w:r>
      <w:r>
        <w:rPr>
          <w:b w:val="0"/>
        </w:rPr>
        <w:t xml:space="preserve"> Privacy, confidentiality, security, non-discrimination and examination rules do not depend on an AI label. Significant automated-decision rules are technology-neutral: fixed-rule software can trigger them, while AI assistance with meaningful human decision-making may not be solely automated.</w:t>
      </w:r>
    </w:p>
    <w:p>
      <w:pPr>
        <w:keepLines/>
      </w:pPr>
      <w:r>
        <w:rPr>
          <w:b w:val="0"/>
        </w:rPr>
      </w:r>
      <w:r>
        <w:rPr>
          <w:b/>
        </w:rPr>
        <w:t>Germany and the EU:</w:t>
      </w:r>
      <w:r>
        <w:rPr>
          <w:b w:val="0"/>
        </w:rPr>
        <w:t xml:space="preserve"> The AI Act adds duties where the system meets its functional AI definition and the relevant risk classification. Simple arithmetic or a fixed human-written answer key generally falls outside that definition. A model that infers a score or assessment can fall inside it. Predictable outputs or calling the product ordinary IT do not settle the classification. The additional high-risk requirements and timing are in Question 2.</w:t>
      </w:r>
    </w:p>
    <w:p>
      <w:pPr>
        <w:keepLines/>
      </w:pPr>
      <w:r>
        <w:rPr>
          <w:b w:val="0"/>
        </w:rPr>
      </w:r>
      <w:r>
        <w:rPr>
          <w:b/>
        </w:rPr>
        <w:t>UK and US:</w:t>
      </w:r>
      <w:r>
        <w:rPr>
          <w:b w:val="0"/>
        </w:rPr>
        <w:t xml:space="preserve"> Do not automatically import EU classifications into domestic law. In England, Ofqual applies its existing assessment framework to AI, including its restriction on sole AI marking in regulated qualifications. US FERPA applies regardless of technology; state AI and automated-decision laws have their own definitions and triggers. The system’s functions, influence and jurisdiction determine which additional rules apply.</w:t>
      </w:r>
    </w:p>
    <w:p>
      <w:pPr>
        <w:spacing w:after="80" w:line="240" w:lineRule="auto"/>
      </w:pPr>
      <w:hyperlink r:id="rId27">
        <w:r>
          <w:rPr>
            <w:color w:val="444444"/>
            <w:sz w:val="17"/>
            <w:u w:val="single"/>
          </w:rPr>
          <w:t>European Commission guidelines on the AI-system definition</w:t>
        </w:r>
      </w:hyperlink>
    </w:p>
    <w:p>
      <w:pPr>
        <w:spacing w:after="80" w:line="240" w:lineRule="auto"/>
      </w:pPr>
      <w:hyperlink r:id="rId9">
        <w:r>
          <w:rPr>
            <w:color w:val="444444"/>
            <w:sz w:val="17"/>
            <w:u w:val="single"/>
          </w:rPr>
          <w:t>EU GDPR, Article 22</w:t>
        </w:r>
      </w:hyperlink>
    </w:p>
    <w:p>
      <w:pPr>
        <w:spacing w:after="80" w:line="240" w:lineRule="auto"/>
      </w:pPr>
      <w:hyperlink r:id="rId26">
        <w:r>
          <w:rPr>
            <w:color w:val="444444"/>
            <w:sz w:val="17"/>
            <w:u w:val="single"/>
          </w:rPr>
          <w:t>ICO, UK automation rules and meaningful human involvement</w:t>
        </w:r>
      </w:hyperlink>
    </w:p>
    <w:p>
      <w:pPr>
        <w:spacing w:after="80" w:line="240" w:lineRule="auto"/>
      </w:pPr>
      <w:hyperlink r:id="rId25">
        <w:r>
          <w:rPr>
            <w:color w:val="444444"/>
            <w:sz w:val="17"/>
            <w:u w:val="single"/>
          </w:rPr>
          <w:t>Ofqual’s regulatory approach, existing framework and AI marking</w:t>
        </w:r>
      </w:hyperlink>
    </w:p>
    <w:p>
      <w:pPr>
        <w:spacing w:after="80" w:line="240" w:lineRule="auto"/>
      </w:pPr>
      <w:hyperlink r:id="rId15">
        <w:r>
          <w:rPr>
            <w:color w:val="444444"/>
            <w:sz w:val="17"/>
            <w:u w:val="single"/>
          </w:rPr>
          <w:t>FERPA; state-law examples are set out in Question 7</w:t>
        </w:r>
      </w:hyperlink>
    </w:p>
    <w:p>
      <w:pPr>
        <w:pStyle w:val="Heading1"/>
        <w:pageBreakBefore/>
      </w:pPr>
      <w:r>
        <w:t>12 Do any of the applicable norms prohibit submitting data to AI, as distinct from data processing in general?</w:t>
      </w:r>
    </w:p>
    <w:p>
      <w:pPr>
        <w:keepLines/>
      </w:pPr>
      <w:r>
        <w:rPr>
          <w:b w:val="0"/>
        </w:rPr>
      </w:r>
      <w:r>
        <w:rPr>
          <w:b/>
        </w:rPr>
        <w:t>There is no blanket ban in the norms discussed here on sending data to a service merely because it uses AI.</w:t>
      </w:r>
      <w:r>
        <w:rPr>
          <w:b w:val="0"/>
        </w:rPr>
        <w:t xml:space="preserve"> Uploading, storage, inference, logging and model training are processing activities. Their purposes, recipients and safeguards matter.</w:t>
      </w:r>
    </w:p>
    <w:p>
      <w:pPr>
        <w:keepLines/>
      </w:pPr>
      <w:r>
        <w:rPr>
          <w:b w:val="0"/>
        </w:rPr>
        <w:t>Under EU and UK data-protection law, a particular upload can be unlawful because it lacks a legal basis, exceeds authorised instructions, exposes data to uncontrolled recipients, or involves an unlawful international transfer. Allowing a provider to reuse scripts for its own model training requires a separate legal assessment. FERPA similarly restricts disclosure and reuse of identifiable education records; an AI service receives no special exemption.</w:t>
      </w:r>
    </w:p>
    <w:p>
      <w:pPr>
        <w:keepLines/>
      </w:pPr>
      <w:r>
        <w:rPr>
          <w:b w:val="0"/>
        </w:rPr>
      </w:r>
      <w:r>
        <w:rPr>
          <w:b/>
        </w:rPr>
        <w:t>Specific restrictions still apply.</w:t>
      </w:r>
      <w:r>
        <w:rPr>
          <w:b w:val="0"/>
        </w:rPr>
        <w:t xml:space="preserve"> For example, Ofqual does not permit AI as the sole marker in assessments forming part of regulated qualifications in England. That restricts the assessment use, rather than every transfer of data to AI. Institutional rules may also prohibit uploading confidential scripts to unapproved services.</w:t>
      </w:r>
    </w:p>
    <w:p>
      <w:pPr>
        <w:keepLines/>
      </w:pPr>
      <w:r>
        <w:rPr>
          <w:b w:val="0"/>
        </w:rPr>
        <w:t>An approved service can therefore be permissible where the same data sent to a public AI service is not. Truly anonymous data can fall outside personal-data rules, but confidentiality, copyright and applicable AI or examination rules can still apply.</w:t>
      </w:r>
    </w:p>
    <w:p>
      <w:pPr>
        <w:spacing w:after="80" w:line="240" w:lineRule="auto"/>
      </w:pPr>
      <w:hyperlink r:id="rId9">
        <w:r>
          <w:rPr>
            <w:color w:val="444444"/>
            <w:sz w:val="17"/>
            <w:u w:val="single"/>
          </w:rPr>
          <w:t>EU GDPR, Articles 4–6, 28 and 44–49</w:t>
        </w:r>
      </w:hyperlink>
    </w:p>
    <w:p>
      <w:pPr>
        <w:spacing w:after="80" w:line="240" w:lineRule="auto"/>
      </w:pPr>
      <w:hyperlink r:id="rId28">
        <w:r>
          <w:rPr>
            <w:color w:val="444444"/>
            <w:sz w:val="17"/>
            <w:u w:val="single"/>
          </w:rPr>
          <w:t>ICO guidance on contracts and documented processing instructions</w:t>
        </w:r>
      </w:hyperlink>
    </w:p>
    <w:p>
      <w:pPr>
        <w:spacing w:after="80" w:line="240" w:lineRule="auto"/>
      </w:pPr>
      <w:hyperlink r:id="rId15">
        <w:r>
          <w:rPr>
            <w:color w:val="444444"/>
            <w:sz w:val="17"/>
            <w:u w:val="single"/>
          </w:rPr>
          <w:t>FERPA, disclosure and redisclosure requirements</w:t>
        </w:r>
      </w:hyperlink>
    </w:p>
    <w:p>
      <w:pPr>
        <w:spacing w:after="80" w:line="240" w:lineRule="auto"/>
      </w:pPr>
      <w:hyperlink r:id="rId25">
        <w:r>
          <w:rPr>
            <w:color w:val="444444"/>
            <w:sz w:val="17"/>
            <w:u w:val="single"/>
          </w:rPr>
          <w:t>Ofqual’s restriction on sole AI marking</w:t>
        </w:r>
      </w:hyperlink>
    </w:p>
    <w:p>
      <w:pPr>
        <w:pStyle w:val="Heading1"/>
      </w:pPr>
      <w:r>
        <w:t>13 Is hiding the student’s identity sufficient evidence that AI grading is free from bias?</w:t>
      </w:r>
    </w:p>
    <w:p>
      <w:pPr>
        <w:keepLines/>
      </w:pPr>
      <w:r>
        <w:rPr>
          <w:b w:val="0"/>
        </w:rPr>
      </w:r>
      <w:r>
        <w:rPr>
          <w:b/>
        </w:rPr>
        <w:t>No. Removing names can reduce identity-based influence, but does not prove freedom from bias.</w:t>
      </w:r>
      <w:r>
        <w:rPr>
          <w:b w:val="0"/>
        </w:rPr>
        <w:t xml:space="preserve"> A model can produce unequal errors from linguistic style, cultural references or handwriting recognition without knowing who wrote the answer. Other features can act as proxies for protected characteristics. Whether a penalty is justified also depends on the subject and rubric: spelling can legitimately matter in some assessments and be irrelevant in others.</w:t>
      </w:r>
    </w:p>
    <w:p>
      <w:pPr>
        <w:keepLines/>
      </w:pPr>
      <w:r>
        <w:rPr>
          <w:b w:val="0"/>
        </w:rPr>
      </w:r>
      <w:r>
        <w:rPr>
          <w:b/>
        </w:rPr>
        <w:t>Anonymisation and fairness answer different questions.</w:t>
      </w:r>
      <w:r>
        <w:rPr>
          <w:b w:val="0"/>
        </w:rPr>
        <w:t xml:space="preserve"> Masking a name is not necessarily anonymisation. A school’s workflow remains personal-data processing where it can reconnect scripts and students; identifiability in the provider’s hands requires its own contextual assessment. Even genuinely anonymous inputs do not establish fair grading.</w:t>
      </w:r>
    </w:p>
    <w:p>
      <w:pPr>
        <w:keepLines/>
      </w:pPr>
      <w:r>
        <w:rPr>
          <w:b w:val="0"/>
        </w:rPr>
      </w:r>
      <w:r>
        <w:rPr>
          <w:b/>
        </w:rPr>
        <w:t>Appropriate evidence should include</w:t>
      </w:r>
      <w:r>
        <w:rPr>
          <w:b w:val="0"/>
        </w:rPr>
        <w:t xml:space="preserve"> validation against independently reviewed human reference grades, representative scripts, rubric-level error analysis and tests for unjustified disparities across relevant groups where lawful. Test handwriting recognition where used, record limitations and corrections, and reassess after material changes. These are practical ways to evidence reliability and bias controls, not a universal statutory test or a guarantee of zero bias.</w:t>
      </w:r>
    </w:p>
    <w:p>
      <w:pPr>
        <w:keepLines/>
      </w:pPr>
      <w:r>
        <w:rPr>
          <w:b w:val="0"/>
        </w:rPr>
        <w:t>Audit data about protected characteristics needs its own lawful basis and any required special-category condition. It can be held separately from operational marking inputs; the grading model need not receive student identities to test fairness.</w:t>
      </w:r>
    </w:p>
    <w:p>
      <w:pPr>
        <w:spacing w:after="80" w:line="240" w:lineRule="auto"/>
      </w:pPr>
      <w:hyperlink r:id="rId29">
        <w:r>
          <w:rPr>
            <w:color w:val="444444"/>
            <w:sz w:val="17"/>
            <w:u w:val="single"/>
          </w:rPr>
          <w:t>ICO guidance on fairness, bias, discrimination and proxy variables</w:t>
        </w:r>
      </w:hyperlink>
    </w:p>
    <w:p>
      <w:pPr>
        <w:spacing w:after="80" w:line="240" w:lineRule="auto"/>
      </w:pPr>
      <w:hyperlink r:id="rId30">
        <w:r>
          <w:rPr>
            <w:color w:val="444444"/>
            <w:sz w:val="17"/>
            <w:u w:val="single"/>
          </w:rPr>
          <w:t>ICO, fairness throughout the AI lifecycle</w:t>
        </w:r>
      </w:hyperlink>
    </w:p>
    <w:p>
      <w:pPr>
        <w:spacing w:after="80" w:line="240" w:lineRule="auto"/>
      </w:pPr>
      <w:hyperlink r:id="rId9">
        <w:r>
          <w:rPr>
            <w:color w:val="444444"/>
            <w:sz w:val="17"/>
            <w:u w:val="single"/>
          </w:rPr>
          <w:t>EU GDPR, Articles 4 and 9 and recital 26</w:t>
        </w:r>
      </w:hyperlink>
    </w:p>
    <w:p>
      <w:pPr>
        <w:spacing w:after="80" w:line="240" w:lineRule="auto"/>
      </w:pPr>
      <w:hyperlink r:id="rId11">
        <w:r>
          <w:rPr>
            <w:color w:val="444444"/>
            <w:sz w:val="17"/>
            <w:u w:val="single"/>
          </w:rPr>
          <w:t>EU AI Act, Articles 9–10; as amended by Regulation 2026/1744</w:t>
        </w:r>
      </w:hyperlink>
    </w:p>
    <w:p>
      <w:pPr>
        <w:pStyle w:val="Heading1"/>
        <w:pageBreakBefore/>
      </w:pPr>
      <w:r>
        <w:t>14 Must the provider conclude a DPA with the school, and can standard provider terms be accepted simply through registration or use?</w:t>
      </w:r>
    </w:p>
    <w:p>
      <w:pPr>
        <w:keepLines/>
      </w:pPr>
      <w:r>
        <w:rPr>
          <w:b w:val="0"/>
        </w:rPr>
      </w:r>
      <w:r>
        <w:rPr>
          <w:b/>
        </w:rPr>
        <w:t>Germany and UK: normally yes where the provider processes personal data on the institution’s behalf.</w:t>
      </w:r>
      <w:r>
        <w:rPr>
          <w:b w:val="0"/>
        </w:rPr>
        <w:t xml:space="preserve"> Article 28 requires binding written processing terms, including electronic form, or another qualifying legal act, before processing starts. The controller may be the school, university, district or responsible authority. A separate paper document or handwritten signature is not universally required. If the provider acts as an independent controller for a purpose, a processor DPA does not resolve that processing.</w:t>
      </w:r>
    </w:p>
    <w:p>
      <w:pPr>
        <w:keepLines/>
      </w:pPr>
      <w:r>
        <w:rPr>
          <w:b w:val="0"/>
        </w:rPr>
      </w:r>
      <w:r>
        <w:rPr>
          <w:b/>
        </w:rPr>
        <w:t>Standard provider terms can work</w:t>
      </w:r>
      <w:r>
        <w:rPr>
          <w:b w:val="0"/>
        </w:rPr>
        <w:t xml:space="preserve"> if they form an enforceable agreement and include all Article 28 requirements. They must specify the processing, duration, data and people concerned, controller rights, instructions, confidentiality, security, subprocessors, assistance with rights and compliance, deletion or return, audit rights and notification of unlawful instructions. A privacy policy alone is insufficient; terms must accurately cover the actual service.</w:t>
      </w:r>
    </w:p>
    <w:p>
      <w:pPr>
        <w:keepLines/>
      </w:pPr>
      <w:r>
        <w:rPr>
          <w:b w:val="0"/>
        </w:rPr>
      </w:r>
      <w:r>
        <w:rPr>
          <w:b/>
        </w:rPr>
        <w:t>Registration can conclude the DPA</w:t>
      </w:r>
      <w:r>
        <w:rPr>
          <w:b w:val="0"/>
        </w:rPr>
        <w:t xml:space="preserve"> if an authorised institutional representative validly accepts clearly incorporated terms and applicable contract and public-sector requirements are met. A practical implementation is an explicit acceptance of the linked DPA before uploads, recording the institution, authorised person, date and agreed version, with a downloadable copy. This is a way to evidence agreement, not a universally prescribed checkbox format. Mere use or an unauthorised teacher’s personal registration does not automatically bind the institution. A central agreement can already cover authorised users; individual teachers need not each sign again.</w:t>
      </w:r>
    </w:p>
    <w:p>
      <w:pPr>
        <w:keepLines/>
      </w:pPr>
      <w:r>
        <w:rPr>
          <w:b w:val="0"/>
        </w:rPr>
      </w:r>
      <w:r>
        <w:rPr>
          <w:b/>
        </w:rPr>
        <w:t>US:</w:t>
      </w:r>
      <w:r>
        <w:rPr>
          <w:b w:val="0"/>
        </w:rPr>
        <w:t xml:space="preserve"> FERPA’s school-official exception does not itself universally require a written DPA, but institutional control over use and disclosure remains necessary. Other FERPA exceptions and state laws can require written agreements. Click acceptance must satisfy those requirements and institutional contracting rules; registration alone does not establish compliance.</w:t>
      </w:r>
    </w:p>
    <w:p>
      <w:pPr>
        <w:spacing w:after="80" w:line="240" w:lineRule="auto"/>
      </w:pPr>
      <w:hyperlink r:id="rId31">
        <w:r>
          <w:rPr>
            <w:color w:val="444444"/>
            <w:sz w:val="17"/>
            <w:u w:val="single"/>
          </w:rPr>
          <w:t>EDPB Guidelines 07/2020, paragraphs 100–110 on form and standard terms</w:t>
        </w:r>
      </w:hyperlink>
    </w:p>
    <w:p>
      <w:pPr>
        <w:spacing w:after="80" w:line="240" w:lineRule="auto"/>
      </w:pPr>
      <w:hyperlink r:id="rId32">
        <w:r>
          <w:rPr>
            <w:color w:val="444444"/>
            <w:sz w:val="17"/>
            <w:u w:val="single"/>
          </w:rPr>
          <w:t>ICO, when a binding controller–processor contract is needed</w:t>
        </w:r>
      </w:hyperlink>
    </w:p>
    <w:p>
      <w:pPr>
        <w:spacing w:after="80" w:line="240" w:lineRule="auto"/>
      </w:pPr>
      <w:hyperlink r:id="rId28">
        <w:r>
          <w:rPr>
            <w:color w:val="444444"/>
            <w:sz w:val="17"/>
            <w:u w:val="single"/>
          </w:rPr>
          <w:t>ICO, mandatory content of processor contracts</w:t>
        </w:r>
      </w:hyperlink>
    </w:p>
    <w:p>
      <w:pPr>
        <w:spacing w:after="80" w:line="240" w:lineRule="auto"/>
      </w:pPr>
      <w:hyperlink r:id="rId24">
        <w:r>
          <w:rPr>
            <w:color w:val="444444"/>
            <w:sz w:val="17"/>
            <w:u w:val="single"/>
          </w:rPr>
          <w:t>US Department of Education, FERPA written-contract FAQ</w:t>
        </w:r>
      </w:hyperlink>
    </w:p>
    <w:p>
      <w:pPr>
        <w:spacing w:after="80" w:line="240" w:lineRule="auto"/>
      </w:pPr>
      <w:hyperlink r:id="rId33">
        <w:r>
          <w:rPr>
            <w:color w:val="444444"/>
            <w:sz w:val="17"/>
            <w:u w:val="single"/>
          </w:rPr>
          <w:t>US Department of Education, online-service terms and click acceptance</w:t>
        </w:r>
      </w:hyperlink>
    </w:p>
    <w:p>
      <w:pPr>
        <w:pStyle w:val="Heading1"/>
        <w:pageBreakBefore/>
      </w:pPr>
      <w:r>
        <w:t>15 Under GDPR, must the provider have DPAs with subprocessors, especially LLM providers?</w:t>
      </w:r>
    </w:p>
    <w:p>
      <w:pPr>
        <w:keepLines/>
      </w:pPr>
      <w:r>
        <w:rPr>
          <w:b w:val="0"/>
        </w:rPr>
      </w:r>
      <w:r>
        <w:rPr>
          <w:b/>
        </w:rPr>
        <w:t>Yes, where the provider acts as the school’s processor and the LLM provider processes personal data on its behalf.</w:t>
      </w:r>
      <w:r>
        <w:rPr>
          <w:b w:val="0"/>
        </w:rPr>
        <w:t xml:space="preserve"> Article 28(4) and (9) require binding written processing terms, including electronic form, or another qualifying legal act, before subprocessing starts. This also applies to other subcontractors processing the school’s personal data.</w:t>
      </w:r>
    </w:p>
    <w:p>
      <w:pPr>
        <w:keepLines/>
      </w:pPr>
      <w:r>
        <w:rPr>
          <w:b w:val="0"/>
        </w:rPr>
      </w:r>
      <w:r>
        <w:rPr>
          <w:b/>
        </w:rPr>
        <w:t>The provider must obtain the controller’s prior specific or general written authorisation.</w:t>
      </w:r>
      <w:r>
        <w:rPr>
          <w:b w:val="0"/>
        </w:rPr>
        <w:t xml:space="preserve"> With general authorisation, it must notify intended additions or replacements and give the controller an opportunity to object. The subprocessor agreement must impose the same data-protection obligations as the school’s DPA, adapted to the outsourced activity: instructions, confidentiality, security, breach and rights assistance, deletion or return, audit access and controls over further subprocessors. The provider remains fully liable to the controller for its subprocessor’s performance of those obligations.</w:t>
      </w:r>
    </w:p>
    <w:p>
      <w:pPr>
        <w:keepLines/>
      </w:pPr>
      <w:r>
        <w:rPr>
          <w:b w:val="0"/>
        </w:rPr>
      </w:r>
      <w:r>
        <w:rPr>
          <w:b/>
        </w:rPr>
        <w:t>An LLM provider’s standard DPA can suffice</w:t>
      </w:r>
      <w:r>
        <w:rPr>
          <w:b w:val="0"/>
        </w:rPr>
        <w:t xml:space="preserve"> if it is binding, covers the actual service and meets these requirements; it need not repeat the school DPA word for word. See Question 14 on electronic acceptance. The school generally contracts with the grading provider, which contracts with its subprocessor; the school need not separately sign every downstream DPA. Where an intermediary supplies the LLM service, the required agreements and authorisations must extend through the processing chain. International transfers must separately satisfy GDPR Chapter V.</w:t>
      </w:r>
    </w:p>
    <w:p>
      <w:pPr>
        <w:keepLines/>
      </w:pPr>
      <w:r>
        <w:rPr>
          <w:b w:val="0"/>
        </w:rPr>
      </w:r>
      <w:r>
        <w:rPr>
          <w:b/>
        </w:rPr>
        <w:t>For LLMs, a no-training setting does not replace a DPA:</w:t>
      </w:r>
      <w:r>
        <w:rPr>
          <w:b w:val="0"/>
        </w:rPr>
        <w:t xml:space="preserve"> inference still processes personal data. Own-purpose model training can make the LLM provider a controller for that activity and needs a separate legal assessment. A locally run model with no vendor processing of personal data does not itself create a subprocessing relationship. Removing student names alone does not establish anonymisation; see Question 13.</w:t>
      </w:r>
    </w:p>
    <w:p>
      <w:pPr>
        <w:spacing w:after="80" w:line="240" w:lineRule="auto"/>
      </w:pPr>
      <w:hyperlink r:id="rId9">
        <w:r>
          <w:rPr>
            <w:color w:val="444444"/>
            <w:sz w:val="17"/>
            <w:u w:val="single"/>
          </w:rPr>
          <w:t>EU GDPR, Articles 4, 28(2)–(4), 28(9) and 44–49</w:t>
        </w:r>
      </w:hyperlink>
    </w:p>
    <w:p>
      <w:pPr>
        <w:spacing w:after="80" w:line="240" w:lineRule="auto"/>
      </w:pPr>
      <w:hyperlink r:id="rId31">
        <w:r>
          <w:rPr>
            <w:color w:val="444444"/>
            <w:sz w:val="17"/>
            <w:u w:val="single"/>
          </w:rPr>
          <w:t>EDPB Guidelines 07/2020, paragraphs 128–129 and section 1.6 on subprocessors</w:t>
        </w:r>
      </w:hyperlink>
    </w:p>
    <w:p>
      <w:pPr>
        <w:spacing w:after="80" w:line="240" w:lineRule="auto"/>
      </w:pPr>
      <w:hyperlink r:id="rId28">
        <w:r>
          <w:rPr>
            <w:color w:val="444444"/>
            <w:sz w:val="17"/>
            <w:u w:val="single"/>
          </w:rPr>
          <w:t>ICO, processor contracts and equivalent obligations for subprocessors</w:t>
        </w:r>
      </w:hyperlink>
    </w:p>
    <w:sectPr w:rsidR="00FC693F" w:rsidRPr="0006063C" w:rsidSect="00034616">
      <w:footerReference w:type="default" r:id="rId21"/>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EN/TXT/?uri=CELEX:32016R0679"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eur-lex.europa.eu/legal-content/EN/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recht.nrw.de/lmi/owa/br_bes_text?anw_nr=2&amp;bes_id=7345" TargetMode="External"/><Relationship Id="rId14" Type="http://schemas.openxmlformats.org/officeDocument/2006/relationships/hyperlink" Target="https://eur-lex.europa.eu/eli/reg/2024/1689/oj/eng" TargetMode="External"/><Relationship Id="rId15" Type="http://schemas.openxmlformats.org/officeDocument/2006/relationships/hyperlink" Target="https://studentprivacy.ed.gov/ferpa" TargetMode="External"/><Relationship Id="rId16" Type="http://schemas.openxmlformats.org/officeDocument/2006/relationships/hyperlink" Target="https://www.legislation.gov.uk/eur/2016/679/contents" TargetMode="External"/><Relationship Id="rId17" Type="http://schemas.openxmlformats.org/officeDocument/2006/relationships/hyperlink" Target="https://www.gesetze-im-internet.de/gg/" TargetMode="External"/><Relationship Id="rId18" Type="http://schemas.openxmlformats.org/officeDocument/2006/relationships/hyperlink" Target="https://www.gov.uk/government/publications/principles-of-ai-use-in-marking/principles-of-ai-use-in-marking" TargetMode="External"/><Relationship Id="rId19" Type="http://schemas.openxmlformats.org/officeDocument/2006/relationships/hyperlink" Target="https://www.oklegislature.gov/cf_pdf/2025-26%20ENR/SB/SB1734%20ENR.PDF" TargetMode="External"/><Relationship Id="rId20" Type="http://schemas.openxmlformats.org/officeDocument/2006/relationships/hyperlink" Target="https://www.leg.colorado.gov/bills/SB26-189" TargetMode="External"/><Relationship Id="rId21" Type="http://schemas.openxmlformats.org/officeDocument/2006/relationships/footer" Target="footer1.xml"/><Relationship Id="rId22" Type="http://schemas.openxmlformats.org/officeDocument/2006/relationships/hyperlink" Target="https://ico.org.uk/for-organisations/uk-gdpr-guidance-and-resources/childrens-information/children-and-the-uk-gdpr/how-do-the-lawful-bases-apply-to-children-s-personal-information/" TargetMode="External"/><Relationship Id="rId23" Type="http://schemas.openxmlformats.org/officeDocument/2006/relationships/hyperlink" Target="https://www.ftc.gov/business-guidance/resources/complying-coppa-frequently-asked-questions" TargetMode="External"/><Relationship Id="rId24" Type="http://schemas.openxmlformats.org/officeDocument/2006/relationships/hyperlink" Target="https://studentprivacy.ed.gov/frequently-asked-questions" TargetMode="External"/><Relationship Id="rId25" Type="http://schemas.openxmlformats.org/officeDocument/2006/relationships/hyperlink" Target="https://www.gov.uk/government/publications/ofquals-approach-to-regulating-the-use-of-artificial-intelligence-in-the-qualifications-sector/ofquals-approach-to-regulating-the-use-of-artificial-intelligence-in-the-qualifications-sector--2" TargetMode="External"/><Relationship Id="rId26" Type="http://schemas.openxmlformats.org/officeDocument/2006/relationships/hyperlink" Target="https://ico.org.uk/media2/u3tjtppo/module-9-people-s-rights-part-2.pdf" TargetMode="External"/><Relationship Id="rId27" Type="http://schemas.openxmlformats.org/officeDocument/2006/relationships/hyperlink" Target="https://digital-strategy.ec.europa.eu/en/library/commission-publishes-guidelines-ai-system-definition-facilitate-first-ai-acts-rules-application" TargetMode="External"/><Relationship Id="rId28" Type="http://schemas.openxmlformats.org/officeDocument/2006/relationships/hyperlink" Target="https://ico.org.uk/for-organisations/uk-gdpr-guidance-and-resources/accountability-and-governance/contracts-and-liabilities-between-controllers-and-processors-multi/what-needs-to-be-included-in-the-contract/" TargetMode="External"/><Relationship Id="rId29" Type="http://schemas.openxmlformats.org/officeDocument/2006/relationships/hyperlink" Target="https://ico.org.uk/for-organisations/uk-gdpr-guidance-and-resources/artificial-intelligence/guidance-on-ai-and-data-protection/how-do-we-ensure-fairness-in-ai/what-about-fairness-bias-and-discrimination/" TargetMode="External"/><Relationship Id="rId30" Type="http://schemas.openxmlformats.org/officeDocument/2006/relationships/hyperlink" Target="https://ico.org.uk/for-organisations/uk-gdpr-guidance-and-resources/artificial-intelligence/guidance-on-ai-and-data-protection/annex-a-fairness-in-the-ai-lifecycle/" TargetMode="External"/><Relationship Id="rId31" Type="http://schemas.openxmlformats.org/officeDocument/2006/relationships/hyperlink" Target="https://www.edpb.europa.eu/system/files/documents/2023-10/EDPB_guidelines_202007_controllerprocessor_final_en.pdf" TargetMode="External"/><Relationship Id="rId32" Type="http://schemas.openxmlformats.org/officeDocument/2006/relationships/hyperlink" Target="https://ico.org.uk/for-organisations/uk-gdpr-guidance-and-resources/accountability-and-governance/contracts-and-liabilities-between-controllers-and-processors-multi/when-is-a-contract-needed-and-why-is-it-important/" TargetMode="External"/><Relationship Id="rId33" Type="http://schemas.openxmlformats.org/officeDocument/2006/relationships/hyperlink" Target="https://studentprivacy.ed.gov/sites/default/files/resource_document/file/TOS_Guidance_Mar201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and answers on AI assisted exam grading</dc:title>
  <dc:subject>Fifteen concise questions and answers on AI grading</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