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9a Can a teacher use the tool without school or university permission, for example for experimental testing, information or comparison, or under other conditions?</w:t>
      </w:r>
    </w:p>
    <w:p>
      <w:pPr>
        <w:keepLines/>
      </w:pPr>
      <w:r>
        <w:rPr>
          <w:b w:val="0"/>
        </w:rPr>
      </w:r>
      <w:r>
        <w:rPr>
          <w:b/>
        </w:rPr>
        <w:t>Yes, in limited circumstances.</w:t>
      </w:r>
      <w:r>
        <w:rPr>
          <w:b w:val="0"/>
        </w:rPr>
        <w:t xml:space="preserve"> Here, school “consent” means institutional authorisation. The purpose and data used matter; calling a use experimental, informational or comparison-only does not itself create an exemption.</w:t>
      </w:r>
    </w:p>
    <w:p>
      <w:pPr>
        <w:keepLines/>
      </w:pPr>
      <w:r>
        <w:rPr>
          <w:b w:val="0"/>
        </w:rPr>
      </w:r>
      <w:r>
        <w:rPr>
          <w:b/>
        </w:rPr>
        <w:t>Private exploration can need no school permission.</w:t>
      </w:r>
      <w:r>
        <w:rPr>
          <w:b w:val="0"/>
        </w:rPr>
        <w:t xml:space="preserve"> A teacher can, for example, try a provider’s demonstration or compare their own invented answers with AI feedback using synthetic examples or lawfully reusable public material containing no student or other third-party personal data. This assumes no confidential school material is used, no commitment is made on the institution’s behalf, and no applicable employment, IT, copyright or other rule requires approval. A private account does not make official school work private.</w:t>
      </w:r>
    </w:p>
    <w:p>
      <w:pPr>
        <w:keepLines/>
      </w:pPr>
      <w:r>
        <w:rPr>
          <w:b w:val="0"/>
        </w:rPr>
      </w:r>
      <w:r>
        <w:rPr>
          <w:b/>
        </w:rPr>
        <w:t>A separate request may be unnecessary within existing authority.</w:t>
      </w:r>
      <w:r>
        <w:rPr>
          <w:b w:val="0"/>
        </w:rPr>
        <w:t xml:space="preserve"> General research or lesson preparation with non-personal material may fall within the teacher’s professional discretion where applicable rules permit that choice. An approved tool, central contract or delegated authority may also already cover the specific testing or comparison. The teacher must stay within that scope; authority to teach or mark does not automatically authorise a new external data recipient or contract.</w:t>
      </w:r>
    </w:p>
    <w:p>
      <w:pPr>
        <w:keepLines/>
      </w:pPr>
      <w:r>
        <w:rPr>
          <w:b w:val="0"/>
        </w:rPr>
      </w:r>
      <w:r>
        <w:rPr>
          <w:b/>
        </w:rPr>
        <w:t>Real student work remains subject to the rules even if no grade changes.</w:t>
      </w:r>
      <w:r>
        <w:rPr>
          <w:b w:val="0"/>
        </w:rPr>
        <w:t xml:space="preserve"> Uploading identifiable scripts for a pilot, validation or a second opinion still processes school data. Germany and UK require the relevant controller’s authority and lawful processing arrangements; in the US, applicable FERPA disclosure conditions and state and institutional rules still apply. Student consent does not override required institutional authority. Research is not a general permission to bypass these requirements.</w:t>
      </w:r>
    </w:p>
    <w:p>
      <w:pPr>
        <w:keepLines/>
      </w:pPr>
      <w:r>
        <w:rPr>
          <w:b w:val="0"/>
        </w:rPr>
      </w:r>
      <w:r>
        <w:rPr>
          <w:b/>
        </w:rPr>
        <w:t>Anonymisation or offline use can remove particular obligations, but not all approval requirements.</w:t>
      </w:r>
      <w:r>
        <w:rPr>
          <w:b w:val="0"/>
        </w:rPr>
        <w:t xml:space="preserve"> Genuinely anonymous inputs can fall outside personal-data rules; removing names alone is insufficient. Accessing and anonymising original school records must itself be lawful and authorised. A fully local tool that sends no data to the supplier avoids that external disclosure, but school processing and IT rules remain. Neither condition overrides confidentiality, copyright, examination rules or an applicable institutional approval policy.</w:t>
      </w:r>
    </w:p>
    <w:p>
      <w:pPr>
        <w:spacing w:after="80" w:line="240" w:lineRule="auto"/>
      </w:pPr>
      <w:hyperlink r:id="rId9">
        <w:r>
          <w:rPr>
            <w:color w:val="444444"/>
            <w:sz w:val="17"/>
            <w:u w:val="single"/>
          </w:rPr>
          <w:t>EU GDPR, recital 26 and Articles 5–6, 28–29</w:t>
        </w:r>
      </w:hyperlink>
    </w:p>
    <w:p>
      <w:pPr>
        <w:spacing w:after="80" w:line="240" w:lineRule="auto"/>
      </w:pPr>
      <w:hyperlink r:id="rId34">
        <w:r>
          <w:rPr>
            <w:color w:val="444444"/>
            <w:sz w:val="17"/>
            <w:u w:val="single"/>
          </w:rPr>
          <w:t>NRW education guidance, non-personal uses and anonymisation (state-specific guidance)</w:t>
        </w:r>
      </w:hyperlink>
    </w:p>
    <w:p>
      <w:pPr>
        <w:spacing w:after="80" w:line="240" w:lineRule="auto"/>
      </w:pPr>
      <w:hyperlink r:id="rId35">
        <w:r>
          <w:rPr>
            <w:color w:val="444444"/>
            <w:sz w:val="17"/>
            <w:u w:val="single"/>
          </w:rPr>
          <w:t>Department for Education, AI and data protection in schools (England guidance)</w:t>
        </w:r>
      </w:hyperlink>
    </w:p>
    <w:p>
      <w:pPr>
        <w:spacing w:after="80" w:line="240" w:lineRule="auto"/>
      </w:pPr>
      <w:hyperlink r:id="rId36">
        <w:r>
          <w:rPr>
            <w:color w:val="444444"/>
            <w:sz w:val="17"/>
            <w:u w:val="single"/>
          </w:rPr>
          <w:t>US Department of Education, teachers’ use of online tools under FERPA</w:t>
        </w:r>
      </w:hyperlink>
    </w:p>
    <w:p>
      <w:pPr>
        <w:spacing w:after="80" w:line="240" w:lineRule="auto"/>
      </w:pPr>
      <w:hyperlink r:id="rId37">
        <w:r>
          <w:rPr>
            <w:color w:val="444444"/>
            <w:sz w:val="17"/>
            <w:u w:val="single"/>
          </w:rPr>
          <w:t>FERPA, 34 CFR 99.31(a)(1) and (b)(1), school officials and de-identified records</w:t>
        </w:r>
      </w:hyperlink>
    </w:p>
    <w:p>
      <w:pPr>
        <w:pStyle w:val="Heading1"/>
        <w:pageBreakBefore/>
      </w:pPr>
      <w:r>
        <w:t>9b If real submissions are genuinely anonymised before upload, does a teacher still need school approval for a free, non-production product test or development trial?</w:t>
      </w:r>
    </w:p>
    <w:p>
      <w:pPr>
        <w:keepLines/>
      </w:pPr>
      <w:r>
        <w:rPr>
          <w:b w:val="0"/>
        </w:rPr>
      </w:r>
      <w:r>
        <w:rPr>
          <w:b/>
        </w:rPr>
        <w:t>A new approval can be unnecessary, but true anonymisation alone does not remove every approval requirement.</w:t>
      </w:r>
      <w:r>
        <w:rPr>
          <w:b w:val="0"/>
        </w:rPr>
        <w:t xml:space="preserve"> Assuming the scrambling achieves genuine anonymisation, the teacher can conduct the trial without an additional school approval if existing authority already permits preparing and reusing that material and no applicable rule requires separate approval for the trial.</w:t>
      </w:r>
    </w:p>
    <w:p>
      <w:pPr>
        <w:keepLines/>
      </w:pPr>
      <w:r>
        <w:rPr>
          <w:b w:val="0"/>
        </w:rPr>
      </w:r>
      <w:r>
        <w:rPr>
          <w:b/>
        </w:rPr>
        <w:t>The anonymity standard is contextual, not a fixed probability percentage.</w:t>
      </w:r>
      <w:r>
        <w:rPr>
          <w:b w:val="0"/>
        </w:rPr>
        <w:t xml:space="preserve"> Identification must not be reasonably likely using available means, considering other information, time, cost and technology. The assessment includes matching against original scripts, retained links and metadata. The answer below assumes that the relevant legal standard is actually met before the provider receives the trial material.</w:t>
      </w:r>
    </w:p>
    <w:p>
      <w:pPr>
        <w:keepLines/>
      </w:pPr>
      <w:r>
        <w:rPr>
          <w:b w:val="0"/>
        </w:rPr>
      </w:r>
      <w:r>
        <w:rPr>
          <w:b/>
        </w:rPr>
        <w:t>Germany and UK: the subsequent anonymous-data trial falls outside GDPR for those inputs.</w:t>
      </w:r>
      <w:r>
        <w:rPr>
          <w:b w:val="0"/>
        </w:rPr>
        <w:t xml:space="preserve"> Processing genuinely anonymous submissions does not itself require a GDPR lawful basis, student consent or an Article 28 DPA for those submissions. GDPR does not impose a separate school-approval requirement for that anonymous processing. Personal data used elsewhere in the service, such as account details, must be assessed separately.</w:t>
      </w:r>
    </w:p>
    <w:p>
      <w:pPr>
        <w:keepLines/>
      </w:pPr>
      <w:r>
        <w:rPr>
          <w:b w:val="0"/>
        </w:rPr>
      </w:r>
      <w:r>
        <w:rPr>
          <w:b/>
        </w:rPr>
        <w:t>The earlier anonymisation step remains regulated.</w:t>
      </w:r>
      <w:r>
        <w:rPr>
          <w:b w:val="0"/>
        </w:rPr>
        <w:t xml:space="preserve"> Accessing, copying and scrambling identifiable school records is personal-data processing. It needs a lawful basis and must stay within the responsible controller’s instructions. Existing instructions or delegated authority can cover this; a new signature is not automatically necessary. However, permission to mark scripts does not automatically include extracting and anonymising them for an external product-development trial. If that activity is outside the teacher’s authority, approval is still needed before that step. Later anonymity does not cure an unauthorised use of the originals.</w:t>
      </w:r>
    </w:p>
    <w:p>
      <w:pPr>
        <w:keepLines/>
      </w:pPr>
      <w:r>
        <w:rPr>
          <w:b w:val="0"/>
        </w:rPr>
      </w:r>
      <w:r>
        <w:rPr>
          <w:b/>
        </w:rPr>
        <w:t>US: FERPA permits properly de-identified disclosure without student or parental consent.</w:t>
      </w:r>
      <w:r>
        <w:rPr>
          <w:b w:val="0"/>
        </w:rPr>
        <w:t xml:space="preserve"> Under 34 CFR 99.31(b)(1), the institution or other authorised releasing party must reasonably determine that identification is not possible from the release, multiple releases and other reasonably available information. This removes the relevant FERPA consent requirement; it does not independently grant a teacher authority to release institutional records.</w:t>
      </w:r>
    </w:p>
    <w:p>
      <w:pPr>
        <w:keepLines/>
      </w:pPr>
      <w:r>
        <w:rPr>
          <w:b w:val="0"/>
        </w:rPr>
      </w:r>
      <w:r>
        <w:rPr>
          <w:b/>
        </w:rPr>
        <w:t>Other approval rules can still apply.</w:t>
      </w:r>
      <w:r>
        <w:rPr>
          <w:b w:val="0"/>
        </w:rPr>
        <w:t xml:space="preserve"> Confidentiality, copyright, employment duties, school or university IT policies and rules for external research or product trials may require permission even for anonymous material. Free access and trial-only use do not override them. If preparation and reuse are already lawfully permitted and none of these rules requires a further decision, the teacher need not obtain a new school approval solely because the trial uses AI.</w:t>
      </w:r>
    </w:p>
    <w:p>
      <w:pPr>
        <w:spacing w:after="80" w:line="240" w:lineRule="auto"/>
      </w:pPr>
      <w:hyperlink r:id="rId9">
        <w:r>
          <w:rPr>
            <w:color w:val="444444"/>
            <w:sz w:val="17"/>
            <w:u w:val="single"/>
          </w:rPr>
          <w:t>EU GDPR, recital 26 and Articles 5–6 and 29</w:t>
        </w:r>
      </w:hyperlink>
    </w:p>
    <w:p>
      <w:pPr>
        <w:spacing w:after="80" w:line="240" w:lineRule="auto"/>
      </w:pPr>
      <w:hyperlink r:id="rId40">
        <w:r>
          <w:rPr>
            <w:color w:val="444444"/>
            <w:sz w:val="17"/>
            <w:u w:val="single"/>
          </w:rPr>
          <w:t>ICO, anonymous information and anonymisation as personal-data processing</w:t>
        </w:r>
      </w:hyperlink>
    </w:p>
    <w:p>
      <w:pPr>
        <w:spacing w:after="80" w:line="240" w:lineRule="auto"/>
      </w:pPr>
      <w:hyperlink r:id="rId41">
        <w:r>
          <w:rPr>
            <w:color w:val="444444"/>
            <w:sz w:val="17"/>
            <w:u w:val="single"/>
          </w:rPr>
          <w:t>ICO, the contextual test for effective anonymisation</w:t>
        </w:r>
      </w:hyperlink>
    </w:p>
    <w:p>
      <w:pPr>
        <w:spacing w:after="80" w:line="240" w:lineRule="auto"/>
      </w:pPr>
      <w:hyperlink r:id="rId34">
        <w:r>
          <w:rPr>
            <w:color w:val="444444"/>
            <w:sz w:val="17"/>
            <w:u w:val="single"/>
          </w:rPr>
          <w:t>NRW education guidance, legal requirements for anonymising original records</w:t>
        </w:r>
      </w:hyperlink>
    </w:p>
    <w:p>
      <w:pPr>
        <w:spacing w:after="80" w:line="240" w:lineRule="auto"/>
      </w:pPr>
      <w:hyperlink r:id="rId15">
        <w:r>
          <w:rPr>
            <w:color w:val="444444"/>
            <w:sz w:val="17"/>
            <w:u w:val="single"/>
          </w:rPr>
          <w:t>FERPA, 34 CFR 99.31(b)(1), de-identified records and information</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r>
        <w:rPr>
          <w:b w:val="0"/>
        </w:rPr>
      </w:r>
      <w:r>
        <w:rPr>
          <w:b/>
        </w:rPr>
        <w:t>There is no blanket ban in the norms discussed here on sending data to a service merely because it uses AI.</w:t>
      </w:r>
      <w:r>
        <w:rPr>
          <w:b w:val="0"/>
        </w:rPr>
        <w:t xml:space="preserve"> Uploading, storage, inference, logging and model training are processing activities. Their purposes, recipients and safeguards matter.</w:t>
      </w:r>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p>
      <w:pPr>
        <w:pStyle w:val="Heading1"/>
        <w:pageBreakBefore/>
      </w:pPr>
      <w:r>
        <w:t>15 Under GDPR, must the provider have DPAs with subprocessors, especially LLM providers?</w:t>
      </w:r>
    </w:p>
    <w:p>
      <w:pPr>
        <w:keepLines/>
      </w:pPr>
      <w:r>
        <w:rPr>
          <w:b w:val="0"/>
        </w:rPr>
      </w:r>
      <w:r>
        <w:rPr>
          <w:b/>
        </w:rPr>
        <w:t>Yes, where the provider acts as the school’s processor and the LLM provider processes personal data on its behalf.</w:t>
      </w:r>
      <w:r>
        <w:rPr>
          <w:b w:val="0"/>
        </w:rPr>
        <w:t xml:space="preserve"> Article 28(4) and (9) require binding written processing terms, including electronic form, or another qualifying legal act, before subprocessing starts. This also applies to other subcontractors processing the school’s personal data.</w:t>
      </w:r>
    </w:p>
    <w:p>
      <w:pPr>
        <w:keepLines/>
      </w:pPr>
      <w:r>
        <w:rPr>
          <w:b w:val="0"/>
        </w:rPr>
      </w:r>
      <w:r>
        <w:rPr>
          <w:b/>
        </w:rPr>
        <w:t>The provider must obtain the controller’s prior specific or general written authorisation.</w:t>
      </w:r>
      <w:r>
        <w:rPr>
          <w:b w:val="0"/>
        </w:rPr>
        <w:t xml:space="preserve"> With general authorisation, it must notify intended additions or replacements and give the controller an opportunity to object. The subprocessor agreement must impose the same data-protection obligations as the school’s DPA, adapted to the outsourced activity: instructions, confidentiality, security, breach and rights assistance, deletion or return, audit access and controls over further subprocessors. The provider remains fully liable to the controller for its subprocessor’s performance of those obligations.</w:t>
      </w:r>
    </w:p>
    <w:p>
      <w:pPr>
        <w:keepLines/>
      </w:pPr>
      <w:r>
        <w:rPr>
          <w:b w:val="0"/>
        </w:rPr>
      </w:r>
      <w:r>
        <w:rPr>
          <w:b/>
        </w:rPr>
        <w:t>An LLM provider’s standard DPA can suffice</w:t>
      </w:r>
      <w:r>
        <w:rPr>
          <w:b w:val="0"/>
        </w:rPr>
        <w:t xml:space="preserve"> if it is binding, covers the actual service and meets these requirements; it need not repeat the school DPA word for word. See Question 14 on electronic acceptance. The school generally contracts with the grading provider, which contracts with its subprocessor; the school need not separately sign every downstream DPA. Where an intermediary supplies the LLM service, the required agreements and authorisations must extend through the processing chain. International transfers must separately satisfy GDPR Chapter V.</w:t>
      </w:r>
    </w:p>
    <w:p>
      <w:pPr>
        <w:keepLines/>
      </w:pPr>
      <w:r>
        <w:rPr>
          <w:b w:val="0"/>
        </w:rPr>
      </w:r>
      <w:r>
        <w:rPr>
          <w:b/>
        </w:rPr>
        <w:t>For LLMs, a no-training setting does not replace a DPA:</w:t>
      </w:r>
      <w:r>
        <w:rPr>
          <w:b w:val="0"/>
        </w:rPr>
        <w:t xml:space="preserve"> inference still processes personal data. Own-purpose model training can make the LLM provider a controller for that activity and needs a separate legal assessment. A locally run model with no vendor processing of personal data does not itself create a subprocessing relationship. Removing student names alone does not establish anonymisation; see Question 13.</w:t>
      </w:r>
    </w:p>
    <w:p>
      <w:pPr>
        <w:spacing w:after="80" w:line="240" w:lineRule="auto"/>
      </w:pPr>
      <w:hyperlink r:id="rId9">
        <w:r>
          <w:rPr>
            <w:color w:val="444444"/>
            <w:sz w:val="17"/>
            <w:u w:val="single"/>
          </w:rPr>
          <w:t>EU GDPR, Articles 4, 28(2)–(4), 28(9) and 44–49</w:t>
        </w:r>
      </w:hyperlink>
    </w:p>
    <w:p>
      <w:pPr>
        <w:spacing w:after="80" w:line="240" w:lineRule="auto"/>
      </w:pPr>
      <w:hyperlink r:id="rId31">
        <w:r>
          <w:rPr>
            <w:color w:val="444444"/>
            <w:sz w:val="17"/>
            <w:u w:val="single"/>
          </w:rPr>
          <w:t>EDPB Guidelines 07/2020, paragraphs 128–129 and section 1.6 on subprocessors</w:t>
        </w:r>
      </w:hyperlink>
    </w:p>
    <w:p>
      <w:pPr>
        <w:spacing w:after="80" w:line="240" w:lineRule="auto"/>
      </w:pPr>
      <w:hyperlink r:id="rId28">
        <w:r>
          <w:rPr>
            <w:color w:val="444444"/>
            <w:sz w:val="17"/>
            <w:u w:val="single"/>
          </w:rPr>
          <w:t>ICO, processor contracts and equivalent obligations for subprocessors</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 Id="rId34" Type="http://schemas.openxmlformats.org/officeDocument/2006/relationships/hyperlink" Target="https://www.medienberatung.schulministerium.nrw.de/de/themen/datenschutz_1/fragen_zur_ki_nutzung_im_bereich_schule/fragen_zur_ki_nutzung_im_bereich_schule.html" TargetMode="External"/><Relationship Id="rId35" Type="http://schemas.openxmlformats.org/officeDocument/2006/relationships/hyperlink" Target="https://www.gov.uk/guidance/data-protection-in-schools/generative-artificial-intelligence-ai-and-data-protection-in-schools" TargetMode="External"/><Relationship Id="rId36" Type="http://schemas.openxmlformats.org/officeDocument/2006/relationships/hyperlink" Target="https://studentprivacy.ed.gov/faq/i-want-use-online-tool-or-application-part-my-course-however-i-am-worried-it-violation-ferpa" TargetMode="External"/><Relationship Id="rId37" Type="http://schemas.openxmlformats.org/officeDocument/2006/relationships/hyperlink" Target="https://www.ecfr.gov/current/title-34/subtitle-A/part-99/subpart-D/section-99.31" TargetMode="External"/><Relationship Id="rId38" Type="http://schemas.openxmlformats.org/officeDocument/2006/relationships/hyperlink" Target="https://ico.org.uk/for-organisations/uk-gdpr-guidance-and-resources/artificial-intelligence/guidance-on-ai-and-data-protection/how-do-we-ensure-lawfulness-in-ai/" TargetMode="External"/><Relationship Id="rId39" Type="http://schemas.openxmlformats.org/officeDocument/2006/relationships/hyperlink" Target="https://studentprivacy.ed.gov/faq/may-educational-agency-or-institution-disclose-personally-identifiable-information-students" TargetMode="External"/><Relationship Id="rId40" Type="http://schemas.openxmlformats.org/officeDocument/2006/relationships/hyperlink" Target="https://ico.org.uk/for-organisations/uk-gdpr-guidance-and-resources/data-sharing/anonymisation/introduction-to-anonymisation/" TargetMode="External"/><Relationship Id="rId41" Type="http://schemas.openxmlformats.org/officeDocument/2006/relationships/hyperlink" Target="https://ico.org.uk/for-organisations/uk-gdpr-guidance-and-resources/data-sharing/anonymisation/how-do-we-ensure-anonymisation-is-effec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