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AI exam grading in Germany: legal and regulatory extraction</w:t>
      </w:r>
    </w:p>
    <w:p>
      <w:pPr>
        <w:pStyle w:val="Subtitle"/>
      </w:pPr>
      <w:r>
        <w:rPr/>
        <w:t>Prepared for Gradias · 11 September 2026</w:t>
      </w:r>
    </w:p>
    <w:p>
      <w:pPr>
        <w:pStyle w:val="Heading1"/>
      </w:pPr>
      <w:r>
        <w:rPr/>
        <w:t>Scope and status</w:t>
      </w:r>
    </w:p>
    <w:p>
      <w:r>
        <w:rPr/>
        <w:t>This report extracts legal and regulatory material from the previously identified FDP and third-party social posts, accessible discussions, and the parliamentary material they reference. It separates political proposals, contributors’ opinions, official guidance and legislation. It is focused on school assessment, especially NRW; it is not a survey of every German state, university examination regulation or professional examination regime, nor an assessment of Gradias’s compliance.</w:t>
      </w:r>
    </w:p>
    <w:p>
      <w:r>
        <w:rPr/>
        <w:t>Social comments are dynamically ranked and sometimes truncated. This is an extraction of material accessible during this session and previously observed in this conversation, not a complete archive of every comment. No social content was published or changed for this research.</w:t>
      </w:r>
    </w:p>
    <w:p>
      <w:pPr>
        <w:pStyle w:val="Heading1"/>
      </w:pPr>
      <w:r>
        <w:rPr/>
        <w:t>1. Material found directly in social discussions</w:t>
      </w:r>
    </w:p>
    <w:p>
      <w:pPr>
        <w:pStyle w:val="Heading2"/>
      </w:pPr>
      <w:r>
        <w:rPr/>
        <w:t>LinkedIn: Hendrik Haverkamp’s post</w:t>
      </w:r>
    </w:p>
    <w:p>
      <w:hyperlink r:id="rId9">
        <w:r>
          <w:rPr>
            <w:color w:val="165D8D"/>
            <w:u w:val="single"/>
          </w:rPr>
          <w:t>Original post and discussion</w:t>
        </w:r>
      </w:hyperlink>
    </w:p>
    <w:p>
      <w:pPr>
        <w:pStyle w:val="ListBullet"/>
      </w:pPr>
      <w:r>
        <w:rPr>
          <w:b/>
        </w:rPr>
        <w:t>Sven Wehser:</w:t>
      </w:r>
      <w:r>
        <w:rPr/>
        <w:t xml:space="preserve"> identifies learning-outcome evaluation as an Annex III high-risk use; mentions risk management, data governance, transparency and demonstrable human oversight. Calling it pre-correction does not settle the classification. He calls for school-level procedures.</w:t>
      </w:r>
    </w:p>
    <w:p>
      <w:pPr>
        <w:pStyle w:val="ListBullet"/>
      </w:pPr>
      <w:r>
        <w:rPr>
          <w:b/>
        </w:rPr>
        <w:t>Dr Sabine Prechter:</w:t>
      </w:r>
      <w:r>
        <w:rPr/>
        <w:t xml:space="preserve"> prioritises pupil data protection, warns about handwriting and high-risk AI, and says an ISB guidance document is being prepared and a legal opinion already exists. She provides no identifiable title or link for that opinion.</w:t>
      </w:r>
    </w:p>
    <w:p>
      <w:pPr>
        <w:pStyle w:val="ListBullet"/>
      </w:pPr>
      <w:r>
        <w:rPr>
          <w:b/>
        </w:rPr>
        <w:t>Waldemar Erdmann:</w:t>
      </w:r>
      <w:r>
        <w:rPr/>
        <w:t xml:space="preserve"> distinguishes typed submissions from handwriting. This is a product distinction, not evidence of a legal exemption.</w:t>
      </w:r>
    </w:p>
    <w:p>
      <w:pPr>
        <w:pStyle w:val="ListBullet"/>
      </w:pPr>
      <w:r>
        <w:rPr>
          <w:b/>
        </w:rPr>
        <w:t>Stephanie Woessner:</w:t>
      </w:r>
      <w:r>
        <w:rPr/>
        <w:t xml:space="preserve"> argues for data sovereignty and control over data use; this is a policy position, not proof that consent is the only lawful basis.</w:t>
      </w:r>
    </w:p>
    <w:p>
      <w:pPr>
        <w:pStyle w:val="ListBullet"/>
      </w:pPr>
      <w:r>
        <w:rPr>
          <w:b/>
        </w:rPr>
        <w:t>kay manteuffel:</w:t>
      </w:r>
      <w:r>
        <w:rPr/>
        <w:t xml:space="preserve"> summarises expert support for human responsibility and data protection, with disagreement over compulsory use.</w:t>
      </w:r>
    </w:p>
    <w:p>
      <w:r>
        <w:rPr/>
        <w:t>The available comment threads were expanded. Prechter’s particular legal-opinion reference remains an unresolved lead. The parliamentary collection linked from the discussion now contains nine submissions, rather than the four discussed by a commenter.</w:t>
      </w:r>
    </w:p>
    <w:p>
      <w:pPr>
        <w:pStyle w:val="Heading2"/>
      </w:pPr>
      <w:r>
        <w:rPr/>
        <w:t>Instagram: 20 March reel</w:t>
      </w:r>
    </w:p>
    <w:p>
      <w:hyperlink r:id="rId10">
        <w:r>
          <w:rPr>
            <w:color w:val="165D8D"/>
            <w:u w:val="single"/>
          </w:rPr>
          <w:t>Reel</w:t>
        </w:r>
      </w:hyperlink>
    </w:p>
    <w:p>
      <w:pPr>
        <w:pStyle w:val="ListBullet"/>
      </w:pPr>
      <w:r>
        <w:rPr>
          <w:b/>
        </w:rPr>
        <w:t>shaddus94:</w:t>
      </w:r>
      <w:r>
        <w:rPr/>
        <w:t xml:space="preserve"> requests GDPR-compliant arrangements with AI suppliers and teacher training. </w:t>
      </w:r>
      <w:hyperlink r:id="rId11">
        <w:r>
          <w:rPr>
            <w:color w:val="165D8D"/>
            <w:u w:val="single"/>
          </w:rPr>
          <w:t>Comment</w:t>
        </w:r>
      </w:hyperlink>
    </w:p>
    <w:p>
      <w:pPr>
        <w:pStyle w:val="ListBullet"/>
      </w:pPr>
      <w:r>
        <w:rPr>
          <w:b/>
        </w:rPr>
        <w:t>Franziska Müller-Rech</w:t>
      </w:r>
      <w:r>
        <w:rPr/>
        <w:t xml:space="preserve">, replying to Katharina Zweig, advocates purpose-specific, restricted, privacy-compliant software to replace uncontrolled teacher use of general chatbots. This is a requested future solution, not regulatory approval. </w:t>
      </w:r>
      <w:hyperlink r:id="rId12">
        <w:r>
          <w:rPr>
            <w:color w:val="165D8D"/>
            <w:u w:val="single"/>
          </w:rPr>
          <w:t>Reply</w:t>
        </w:r>
      </w:hyperlink>
    </w:p>
    <w:p>
      <w:pPr>
        <w:pStyle w:val="ListBullet"/>
      </w:pPr>
      <w:r>
        <w:rPr>
          <w:b/>
        </w:rPr>
        <w:t>kaisert_digitalart:</w:t>
      </w:r>
      <w:r>
        <w:rPr/>
        <w:t xml:space="preserve"> raises data-protection barriers and makes an analogy with automated recruitment. No legal authority is supplied; the recruitment analogy does not establish the rules for grading. </w:t>
      </w:r>
      <w:hyperlink r:id="rId13">
        <w:r>
          <w:rPr>
            <w:color w:val="165D8D"/>
            <w:u w:val="single"/>
          </w:rPr>
          <w:t>Reply</w:t>
        </w:r>
      </w:hyperlink>
    </w:p>
    <w:p>
      <w:pPr>
        <w:pStyle w:val="ListBullet"/>
      </w:pPr>
      <w:r>
        <w:rPr>
          <w:b/>
        </w:rPr>
        <w:t>Daniel Kreft:</w:t>
      </w:r>
      <w:r>
        <w:rPr/>
        <w:t xml:space="preserve"> describes teacher review and suggests internal software would resolve external data concerns. Treat this as a practitioner’s view; internal hosting alone does not resolve all legal requirements.</w:t>
      </w:r>
    </w:p>
    <w:p>
      <w:pPr>
        <w:pStyle w:val="ListBullet"/>
      </w:pPr>
      <w:r>
        <w:rPr>
          <w:b/>
        </w:rPr>
        <w:t>sal1ke:</w:t>
      </w:r>
      <w:r>
        <w:rPr/>
        <w:t xml:space="preserve"> raises a general German data-protection objection, without a provision or source. </w:t>
      </w:r>
      <w:hyperlink r:id="rId14">
        <w:r>
          <w:rPr>
            <w:color w:val="165D8D"/>
            <w:u w:val="single"/>
          </w:rPr>
          <w:t>Previously observed comment</w:t>
        </w:r>
      </w:hyperlink>
    </w:p>
    <w:p>
      <w:r>
        <w:rPr/>
        <w:t>The large discussion showed about 860 comments. Selected relevant threads were expanded; the entire discussion was not retrieved.</w:t>
      </w:r>
    </w:p>
    <w:p>
      <w:pPr>
        <w:pStyle w:val="Heading2"/>
      </w:pPr>
      <w:r>
        <w:rPr/>
        <w:t>Instagram: 14 March reel</w:t>
      </w:r>
    </w:p>
    <w:p>
      <w:r>
        <w:rPr>
          <w:b/>
        </w:rPr>
        <w:t>Tobias Ortelt</w:t>
      </w:r>
      <w:r>
        <w:rPr/>
        <w:t xml:space="preserve"> asserts that the EU AI Act says no. No article or supporting analysis accompanies the assertion. This is too broad: high-risk classification is not itself a prohibition. </w:t>
      </w:r>
      <w:hyperlink r:id="rId15">
        <w:r>
          <w:rPr>
            <w:color w:val="165D8D"/>
            <w:u w:val="single"/>
          </w:rPr>
          <w:t>Previously observed comment</w:t>
        </w:r>
      </w:hyperlink>
    </w:p>
    <w:p>
      <w:r>
        <w:rPr/>
        <w:t>The 14, 16 and 19 March reels could not be freshly retrieved through their normal individual pages during this research. Earlier observations establish their themes, but do not support claiming a complete new review of their comments.</w:t>
      </w:r>
    </w:p>
    <w:p>
      <w:pPr>
        <w:pStyle w:val="Heading2"/>
      </w:pPr>
      <w:r>
        <w:rPr/>
        <w:t>Facebook</w:t>
      </w:r>
    </w:p>
    <w:p>
      <w:r>
        <w:rPr/>
        <w:t>The FDP captions present correction assistance, reduced workload and existing commercial use. They supply no legal authorisation for a particular product. Accessible comments mostly concern reliability, handwriting, fairness and workload. Some longer comments would not expand successfully, so their unseen portions are not characterised here.</w:t>
      </w:r>
    </w:p>
    <w:p>
      <w:r>
        <w:rPr/>
        <w:t xml:space="preserve">On the </w:t>
      </w:r>
      <w:r>
        <w:rPr>
          <w:b/>
        </w:rPr>
        <w:t>News4teachers</w:t>
      </w:r>
      <w:r>
        <w:rPr/>
        <w:t xml:space="preserve"> post, </w:t>
      </w:r>
      <w:r>
        <w:rPr>
          <w:b/>
        </w:rPr>
        <w:t>Gabriele Krichbaum</w:t>
      </w:r>
      <w:r>
        <w:rPr/>
        <w:t xml:space="preserve"> stresses that grades influence promotion, school selection, qualifications and later opportunities. That explains why grading can have significant consequences; her comment supplies no statute or judgment. Other visible comments describe product use or claim greater objectivity, neither of which establishes legality. </w:t>
      </w:r>
      <w:hyperlink r:id="rId16">
        <w:r>
          <w:rPr>
            <w:color w:val="165D8D"/>
            <w:u w:val="single"/>
          </w:rPr>
          <w:t>Discussion</w:t>
        </w:r>
      </w:hyperlink>
    </w:p>
    <w:p>
      <w:r>
        <w:rPr/>
        <w:t>The linked Philologenverband position has a substantive legal section; its parliamentary submission is recorded below.</w:t>
      </w:r>
    </w:p>
    <w:p>
      <w:pPr>
        <w:pStyle w:val="Heading2"/>
      </w:pPr>
      <w:r>
        <w:rPr/>
        <w:t>X and YouTube</w:t>
      </w:r>
    </w:p>
    <w:p>
      <w:r>
        <w:rPr/>
        <w:t xml:space="preserve">The previously observed </w:t>
      </w:r>
      <w:r>
        <w:rPr>
          <w:b/>
        </w:rPr>
        <w:t>X announcement and Wolfgang Buettner reply</w:t>
      </w:r>
      <w:r>
        <w:rPr/>
        <w:t xml:space="preserve"> raise implementation and practitioner concerns without a specific legal authority. </w:t>
      </w:r>
      <w:hyperlink r:id="rId17">
        <w:r>
          <w:rPr>
            <w:color w:val="165D8D"/>
            <w:u w:val="single"/>
          </w:rPr>
          <w:t>Announcement</w:t>
        </w:r>
      </w:hyperlink>
      <w:r>
        <w:rPr/>
        <w:t xml:space="preserve"> · </w:t>
      </w:r>
      <w:hyperlink r:id="rId18">
        <w:r>
          <w:rPr>
            <w:color w:val="165D8D"/>
            <w:u w:val="single"/>
          </w:rPr>
          <w:t>Reply</w:t>
        </w:r>
      </w:hyperlink>
    </w:p>
    <w:p>
      <w:r>
        <w:rPr/>
        <w:t xml:space="preserve">The </w:t>
      </w:r>
      <w:r>
        <w:rPr>
          <w:b/>
        </w:rPr>
        <w:t>official YouTube speech</w:t>
      </w:r>
      <w:r>
        <w:rPr/>
        <w:t xml:space="preserve"> adds these points: AI should perform preliminary correction while the teacher decides finally (approximately 2:25–2:58); the FDP seeks mature privacy-compliant commercial software (3:00–3:12); scientific evaluation and pupil/parent participation are welcomed (5:20–5:31); data protection is presented as an argument for a statewide solution rather than uncontrolled individual tool use (6:26–6:47). These are policy commitments, not enacted permission. The automatic transcript was reviewed; a complete comments transcript was unavailable. </w:t>
      </w:r>
      <w:hyperlink r:id="rId19">
        <w:r>
          <w:rPr>
            <w:color w:val="165D8D"/>
            <w:u w:val="single"/>
          </w:rPr>
          <w:t>Video</w:t>
        </w:r>
      </w:hyperlink>
    </w:p>
    <w:p>
      <w:pPr>
        <w:pStyle w:val="Heading1"/>
      </w:pPr>
      <w:r>
        <w:rPr/>
        <w:t>2. The underlying FDP proposal</w:t>
      </w:r>
    </w:p>
    <w:p>
      <w:r>
        <w:rPr/>
        <w:t>The motion proposes human final responsibility, transparent criteria, understandable feedback, sample checks and additional human review on request. It calls for quality and security standards, data minimisation, clear responsibilities, training, pilots and connections to longer-term learning systems. Its claim that more consistent assessment could reduce disputes is an anticipated benefit, not an established legal guarantee.</w:t>
      </w:r>
    </w:p>
    <w:p>
      <w:r>
        <w:rPr>
          <w:b/>
        </w:rPr>
        <w:t>Status:</w:t>
      </w:r>
      <w:r>
        <w:rPr/>
        <w:t xml:space="preserve"> Drucksache 18/18104 is a parliamentary motion. The motion itself does not change school law or approve an AI supplier. </w:t>
      </w:r>
      <w:hyperlink r:id="rId20">
        <w:r>
          <w:rPr>
            <w:color w:val="165D8D"/>
            <w:u w:val="single"/>
          </w:rPr>
          <w:t>FDP text</w:t>
        </w:r>
      </w:hyperlink>
      <w:r>
        <w:rPr/>
        <w:t xml:space="preserve"> · </w:t>
      </w:r>
      <w:hyperlink r:id="rId21">
        <w:r>
          <w:rPr>
            <w:color w:val="165D8D"/>
            <w:u w:val="single"/>
          </w:rPr>
          <w:t>Official motion</w:t>
        </w:r>
      </w:hyperlink>
    </w:p>
    <w:p>
      <w:pPr>
        <w:pStyle w:val="Heading1"/>
      </w:pPr>
      <w:r>
        <w:rPr/>
        <w:t>3. Parliamentary submissions linked from the debate</w:t>
      </w:r>
    </w:p>
    <w:p>
      <w:r>
        <w:rPr/>
        <w:t xml:space="preserve">These are submissions to a hearing, not court decisions or binding administrative approvals. The </w:t>
      </w:r>
      <w:hyperlink r:id="rId22">
        <w:r>
          <w:rPr>
            <w:color w:val="165D8D"/>
            <w:u w:val="single"/>
          </w:rPr>
          <w:t>Landtag collection</w:t>
        </w:r>
      </w:hyperlink>
      <w:r>
        <w:rPr/>
        <w:t xml:space="preserve"> lists nine documents.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200"/>
      </w:tblGrid>
      <w:tr>
        <w:trPr>
          <w:cantSplit/>
          <w:tblHeader/>
        </w:trPr>
        <w:tc>
          <w:tcPr>
            <w:tcW w:type="dxa" w:w="2438"/>
            <w:vAlign w:val="center"/>
            <w:tcMar>
              <w:top w:w="100" w:type="dxa"/>
              <w:bottom w:w="100" w:type="dxa"/>
              <w:left w:w="110" w:type="dxa"/>
              <w:right w:w="110" w:type="dxa"/>
            </w:tcMar>
            <w:shd w:fill="34424D"/>
          </w:tcPr>
          <w:p>
            <w:pPr>
              <w:keepNext/>
              <w:spacing w:after="0" w:line="250" w:lineRule="auto"/>
            </w:pPr>
            <w:r>
              <w:rPr>
                <w:b/>
                <w:color w:val="FFFFFF"/>
                <w:sz w:val="21"/>
              </w:rPr>
              <w:t>Submission</w:t>
            </w:r>
          </w:p>
        </w:tc>
        <w:tc>
          <w:tcPr>
            <w:tcW w:type="dxa" w:w="7200"/>
            <w:vAlign w:val="center"/>
            <w:tcMar>
              <w:top w:w="100" w:type="dxa"/>
              <w:bottom w:w="100" w:type="dxa"/>
              <w:left w:w="110" w:type="dxa"/>
              <w:right w:w="110" w:type="dxa"/>
            </w:tcMar>
            <w:shd w:fill="34424D"/>
          </w:tcPr>
          <w:p>
            <w:pPr>
              <w:keepNext/>
              <w:spacing w:after="0" w:line="250" w:lineRule="auto"/>
            </w:pPr>
            <w:r>
              <w:rPr>
                <w:b/>
                <w:color w:val="FFFFFF"/>
                <w:sz w:val="21"/>
              </w:rPr>
              <w:t>Legal or regulatory material extracted</w:t>
            </w:r>
          </w:p>
        </w:tc>
      </w:tr>
      <w:tr>
        <w:trPr>
          <w:cantSplit/>
        </w:trPr>
        <w:tc>
          <w:tcPr>
            <w:tcW w:type="dxa" w:w="2438"/>
            <w:vAlign w:val="center"/>
            <w:tcMar>
              <w:top w:w="100" w:type="dxa"/>
              <w:bottom w:w="100" w:type="dxa"/>
              <w:left w:w="110" w:type="dxa"/>
              <w:right w:w="110" w:type="dxa"/>
            </w:tcMar>
            <w:shd w:fill="FFFFFF"/>
          </w:tcPr>
          <w:p>
            <w:pPr>
              <w:keepNext w:val="0"/>
              <w:spacing w:after="0" w:line="250" w:lineRule="auto"/>
            </w:pPr>
            <w:r>
              <w:rPr>
                <w:b/>
                <w:sz w:val="21"/>
              </w:rPr>
              <w:t>Alicia Kloppenburg, Ruhr University Bochum — 18/3853</w:t>
            </w:r>
          </w:p>
        </w:tc>
        <w:tc>
          <w:tcPr>
            <w:tcW w:type="dxa" w:w="7200"/>
            <w:vAlign w:val="center"/>
            <w:tcMar>
              <w:top w:w="100" w:type="dxa"/>
              <w:bottom w:w="100" w:type="dxa"/>
              <w:left w:w="110" w:type="dxa"/>
              <w:right w:w="110" w:type="dxa"/>
            </w:tcMar>
            <w:shd w:fill="FFFFFF"/>
          </w:tcPr>
          <w:p>
            <w:pPr>
              <w:keepNext w:val="0"/>
              <w:spacing w:after="0" w:line="250" w:lineRule="auto"/>
            </w:pPr>
            <w:r>
              <w:rPr>
                <w:sz w:val="21"/>
              </w:rPr>
              <w:t xml:space="preserve">The clearest legal analysis. Cites §57(1) SchulG NRW and §§5(1), 10(1) ADO for teachers’ assessment responsibility; considers complete delegation impermissible and assistance possible. Examines AI Act Article 6/Annex III, limited exceptions, and the risk of a school assuming provider obligations when repurposing a general system. Under GDPR Article 22, substantive independent judgment matters; a cursory check or formal approval is insufficient. Recommends teachers form their assessment before consulting AI to reduce anchoring. Distinguishes individual marks from administrative acts, while considering significant effects possible in either case. Discusses consent difficulties, accountability, retention and school-provider funding under §§92–94 SchulG. </w:t>
            </w:r>
            <w:hyperlink r:id="rId23">
              <w:r>
                <w:rPr>
                  <w:color w:val="165D8D"/>
                  <w:u w:val="single"/>
                  <w:sz w:val="21"/>
                </w:rPr>
                <w:t>13-page opinion, dated 6 June 2026</w:t>
              </w:r>
            </w:hyperlink>
          </w:p>
        </w:tc>
      </w:tr>
      <w:tr>
        <w:trPr>
          <w:cantSplit/>
        </w:trPr>
        <w:tc>
          <w:tcPr>
            <w:tcW w:type="dxa" w:w="2438"/>
            <w:vAlign w:val="center"/>
            <w:tcMar>
              <w:top w:w="100" w:type="dxa"/>
              <w:bottom w:w="100" w:type="dxa"/>
              <w:left w:w="110" w:type="dxa"/>
              <w:right w:w="110" w:type="dxa"/>
            </w:tcMar>
            <w:shd w:fill="F5F7F8"/>
          </w:tcPr>
          <w:p>
            <w:pPr>
              <w:keepNext w:val="0"/>
              <w:spacing w:after="0" w:line="250" w:lineRule="auto"/>
            </w:pPr>
            <w:r>
              <w:rPr>
                <w:b/>
                <w:sz w:val="21"/>
              </w:rPr>
              <w:t>Philologenverband NRW — 18/3786</w:t>
            </w:r>
          </w:p>
        </w:tc>
        <w:tc>
          <w:tcPr>
            <w:tcW w:type="dxa" w:w="7200"/>
            <w:vAlign w:val="center"/>
            <w:tcMar>
              <w:top w:w="100" w:type="dxa"/>
              <w:bottom w:w="100" w:type="dxa"/>
              <w:left w:w="110" w:type="dxa"/>
              <w:right w:w="110" w:type="dxa"/>
            </w:tcMar>
            <w:shd w:fill="F5F7F8"/>
          </w:tcPr>
          <w:p>
            <w:pPr>
              <w:keepNext w:val="0"/>
              <w:spacing w:after="0" w:line="250" w:lineRule="auto"/>
            </w:pPr>
            <w:r>
              <w:rPr>
                <w:sz w:val="21"/>
              </w:rPr>
              <w:t xml:space="preserve">Accepts assistance under appropriate conditions, rejects compulsory standardisation. Requires explainable and reviewable assessment; cites NRW ministry guidance allowing only support and prohibiting transmission of pupil personal data. Warns that formal human final responsibility may be undermined by practical dependence on AI. </w:t>
            </w:r>
            <w:hyperlink r:id="rId24">
              <w:r>
                <w:rPr>
                  <w:color w:val="165D8D"/>
                  <w:u w:val="single"/>
                  <w:sz w:val="21"/>
                </w:rPr>
                <w:t>Submission</w:t>
              </w:r>
            </w:hyperlink>
          </w:p>
        </w:tc>
      </w:tr>
      <w:tr>
        <w:trPr>
          <w:cantSplit/>
        </w:trPr>
        <w:tc>
          <w:tcPr>
            <w:tcW w:type="dxa" w:w="2438"/>
            <w:vAlign w:val="center"/>
            <w:tcMar>
              <w:top w:w="100" w:type="dxa"/>
              <w:bottom w:w="100" w:type="dxa"/>
              <w:left w:w="110" w:type="dxa"/>
              <w:right w:w="110" w:type="dxa"/>
            </w:tcMar>
            <w:shd w:fill="FFFFFF"/>
          </w:tcPr>
          <w:p>
            <w:pPr>
              <w:keepNext w:val="0"/>
              <w:spacing w:after="0" w:line="250" w:lineRule="auto"/>
            </w:pPr>
            <w:r>
              <w:rPr>
                <w:b/>
                <w:sz w:val="21"/>
              </w:rPr>
              <w:t>lehrer nrw — 18/3828</w:t>
            </w:r>
          </w:p>
        </w:tc>
        <w:tc>
          <w:tcPr>
            <w:tcW w:type="dxa" w:w="7200"/>
            <w:vAlign w:val="center"/>
            <w:tcMar>
              <w:top w:w="100" w:type="dxa"/>
              <w:bottom w:w="100" w:type="dxa"/>
              <w:left w:w="110" w:type="dxa"/>
              <w:right w:w="110" w:type="dxa"/>
            </w:tcMar>
            <w:shd w:fill="FFFFFF"/>
          </w:tcPr>
          <w:p>
            <w:pPr>
              <w:keepNext w:val="0"/>
              <w:spacing w:after="0" w:line="250" w:lineRule="auto"/>
            </w:pPr>
            <w:r>
              <w:rPr>
                <w:sz w:val="21"/>
              </w:rPr>
              <w:t xml:space="preserve">Requests voluntary use, clear liability and objection procedures, transparent quality standards and state-controlled privacy safeguards. Flags longitudinal performance profiles and the gap between teacher responsibility and actual control. Its objection to commercial processing is an advocacy position, not a general statutory ban on commercial suppliers. </w:t>
            </w:r>
            <w:hyperlink r:id="rId25">
              <w:r>
                <w:rPr>
                  <w:color w:val="165D8D"/>
                  <w:u w:val="single"/>
                  <w:sz w:val="21"/>
                </w:rPr>
                <w:t>Submission</w:t>
              </w:r>
            </w:hyperlink>
          </w:p>
        </w:tc>
      </w:tr>
      <w:tr>
        <w:trPr>
          <w:cantSplit/>
        </w:trPr>
        <w:tc>
          <w:tcPr>
            <w:tcW w:type="dxa" w:w="2438"/>
            <w:vAlign w:val="center"/>
            <w:tcMar>
              <w:top w:w="100" w:type="dxa"/>
              <w:bottom w:w="100" w:type="dxa"/>
              <w:left w:w="110" w:type="dxa"/>
              <w:right w:w="110" w:type="dxa"/>
            </w:tcMar>
            <w:shd w:fill="F5F7F8"/>
          </w:tcPr>
          <w:p>
            <w:pPr>
              <w:keepNext w:val="0"/>
              <w:spacing w:after="0" w:line="250" w:lineRule="auto"/>
            </w:pPr>
            <w:r>
              <w:rPr>
                <w:b/>
                <w:sz w:val="21"/>
              </w:rPr>
              <w:t>vlbs NRW — 18/3870</w:t>
            </w:r>
          </w:p>
        </w:tc>
        <w:tc>
          <w:tcPr>
            <w:tcW w:type="dxa" w:w="7200"/>
            <w:vAlign w:val="center"/>
            <w:tcMar>
              <w:top w:w="100" w:type="dxa"/>
              <w:bottom w:w="100" w:type="dxa"/>
              <w:left w:w="110" w:type="dxa"/>
              <w:right w:w="110" w:type="dxa"/>
            </w:tcMar>
            <w:shd w:fill="F5F7F8"/>
          </w:tcPr>
          <w:p>
            <w:pPr>
              <w:keepNext w:val="0"/>
              <w:spacing w:after="0" w:line="250" w:lineRule="auto"/>
            </w:pPr>
            <w:r>
              <w:rPr>
                <w:sz w:val="21"/>
              </w:rPr>
              <w:t xml:space="preserve">Discusses school, administrative and service-law responsibility; documentation of criteria, weights, adopted/changed suggestions and human reasons; objections, court review and archiving. Warns about qualification and vocational consequences. Its claims that teachers alone bear liability and that pupil IDs provide anonymisation require qualification; see section 4. </w:t>
            </w:r>
            <w:hyperlink r:id="rId26">
              <w:r>
                <w:rPr>
                  <w:color w:val="165D8D"/>
                  <w:u w:val="single"/>
                  <w:sz w:val="21"/>
                </w:rPr>
                <w:t>Submission</w:t>
              </w:r>
            </w:hyperlink>
          </w:p>
        </w:tc>
      </w:tr>
      <w:tr>
        <w:trPr>
          <w:cantSplit/>
        </w:trPr>
        <w:tc>
          <w:tcPr>
            <w:tcW w:type="dxa" w:w="2438"/>
            <w:vAlign w:val="center"/>
            <w:tcMar>
              <w:top w:w="100" w:type="dxa"/>
              <w:bottom w:w="100" w:type="dxa"/>
              <w:left w:w="110" w:type="dxa"/>
              <w:right w:w="110" w:type="dxa"/>
            </w:tcMar>
            <w:shd w:fill="FFFFFF"/>
          </w:tcPr>
          <w:p>
            <w:pPr>
              <w:keepNext w:val="0"/>
              <w:spacing w:after="0" w:line="250" w:lineRule="auto"/>
            </w:pPr>
            <w:r>
              <w:rPr>
                <w:b/>
                <w:sz w:val="21"/>
              </w:rPr>
              <w:t>VBE NRW — 18/3861</w:t>
            </w:r>
          </w:p>
        </w:tc>
        <w:tc>
          <w:tcPr>
            <w:tcW w:type="dxa" w:w="7200"/>
            <w:vAlign w:val="center"/>
            <w:tcMar>
              <w:top w:w="100" w:type="dxa"/>
              <w:bottom w:w="100" w:type="dxa"/>
              <w:left w:w="110" w:type="dxa"/>
              <w:right w:w="110" w:type="dxa"/>
            </w:tcMar>
            <w:shd w:fill="FFFFFF"/>
          </w:tcPr>
          <w:p>
            <w:pPr>
              <w:keepNext w:val="0"/>
              <w:spacing w:after="0" w:line="250" w:lineRule="auto"/>
            </w:pPr>
            <w:r>
              <w:rPr>
                <w:sz w:val="21"/>
              </w:rPr>
              <w:t xml:space="preserve">Calls for independent teacher review, safeguards against bias, approved and legally secured infrastructure, and no transfer of unresolved system compliance responsibilities to individual schools. Warns about permanent educational profiles. These are proposed safeguards and organisational demands. </w:t>
            </w:r>
            <w:hyperlink r:id="rId27">
              <w:r>
                <w:rPr>
                  <w:color w:val="165D8D"/>
                  <w:u w:val="single"/>
                  <w:sz w:val="21"/>
                </w:rPr>
                <w:t>Submission</w:t>
              </w:r>
            </w:hyperlink>
          </w:p>
        </w:tc>
      </w:tr>
      <w:tr>
        <w:trPr>
          <w:cantSplit/>
        </w:trPr>
        <w:tc>
          <w:tcPr>
            <w:tcW w:type="dxa" w:w="2438"/>
            <w:vAlign w:val="center"/>
            <w:tcMar>
              <w:top w:w="100" w:type="dxa"/>
              <w:bottom w:w="100" w:type="dxa"/>
              <w:left w:w="110" w:type="dxa"/>
              <w:right w:w="110" w:type="dxa"/>
            </w:tcMar>
            <w:shd w:fill="F5F7F8"/>
          </w:tcPr>
          <w:p>
            <w:pPr>
              <w:keepNext w:val="0"/>
              <w:spacing w:after="0" w:line="250" w:lineRule="auto"/>
            </w:pPr>
            <w:r>
              <w:rPr>
                <w:b/>
                <w:sz w:val="21"/>
              </w:rPr>
              <w:t>GEW NRW — 18/3872</w:t>
            </w:r>
          </w:p>
        </w:tc>
        <w:tc>
          <w:tcPr>
            <w:tcW w:type="dxa" w:w="7200"/>
            <w:vAlign w:val="center"/>
            <w:tcMar>
              <w:top w:w="100" w:type="dxa"/>
              <w:bottom w:w="100" w:type="dxa"/>
              <w:left w:w="110" w:type="dxa"/>
              <w:right w:w="110" w:type="dxa"/>
            </w:tcMar>
            <w:shd w:fill="F5F7F8"/>
          </w:tcPr>
          <w:p>
            <w:pPr>
              <w:keepNext w:val="0"/>
              <w:spacing w:after="0" w:line="250" w:lineRule="auto"/>
            </w:pPr>
            <w:r>
              <w:rPr>
                <w:sz w:val="21"/>
              </w:rPr>
              <w:t xml:space="preserve">Questions whether sample checks adequately preserve human responsibility, and whether AI actually reduces legal disputes. Raises processing/storage/third-party access, subject-specific examination rules, and possible copyright issues when textbook content is supplied to models. Requests traceable, reviewable assessments and rejects mandatory routine use. </w:t>
            </w:r>
            <w:hyperlink r:id="rId28">
              <w:r>
                <w:rPr>
                  <w:color w:val="165D8D"/>
                  <w:u w:val="single"/>
                  <w:sz w:val="21"/>
                </w:rPr>
                <w:t>Submission</w:t>
              </w:r>
            </w:hyperlink>
          </w:p>
        </w:tc>
      </w:tr>
      <w:tr>
        <w:trPr>
          <w:cantSplit/>
        </w:trPr>
        <w:tc>
          <w:tcPr>
            <w:tcW w:type="dxa" w:w="2438"/>
            <w:vAlign w:val="center"/>
            <w:tcMar>
              <w:top w:w="100" w:type="dxa"/>
              <w:bottom w:w="100" w:type="dxa"/>
              <w:left w:w="110" w:type="dxa"/>
              <w:right w:w="110" w:type="dxa"/>
            </w:tcMar>
            <w:shd w:fill="FFFFFF"/>
          </w:tcPr>
          <w:p>
            <w:pPr>
              <w:keepNext w:val="0"/>
              <w:spacing w:after="0" w:line="250" w:lineRule="auto"/>
            </w:pPr>
            <w:r>
              <w:rPr>
                <w:b/>
                <w:sz w:val="21"/>
              </w:rPr>
              <w:t>edaira GmbH — 18/3823</w:t>
            </w:r>
          </w:p>
        </w:tc>
        <w:tc>
          <w:tcPr>
            <w:tcW w:type="dxa" w:w="7200"/>
            <w:vAlign w:val="center"/>
            <w:tcMar>
              <w:top w:w="100" w:type="dxa"/>
              <w:bottom w:w="100" w:type="dxa"/>
              <w:left w:w="110" w:type="dxa"/>
              <w:right w:w="110" w:type="dxa"/>
            </w:tcMar>
            <w:shd w:fill="FFFFFF"/>
          </w:tcPr>
          <w:p>
            <w:pPr>
              <w:keepNext w:val="0"/>
              <w:spacing w:after="0" w:line="250" w:lineRule="auto"/>
            </w:pPr>
            <w:r>
              <w:rPr>
                <w:sz w:val="21"/>
              </w:rPr>
              <w:t xml:space="preserve">Supplier advocates a ministry rule clarifying permitted assessment types, central privacy documentation and model instructions. Describes review gates, teacher declarations and AI disclosure on exports. Claims German/EU hosting and absence of pupil personal data ensure compliance; these are supplier assertions, not independent certification. Hosting, clicks and declarations alone cannot establish lawful processing or meaningful review. </w:t>
            </w:r>
            <w:hyperlink r:id="rId29">
              <w:r>
                <w:rPr>
                  <w:color w:val="165D8D"/>
                  <w:u w:val="single"/>
                  <w:sz w:val="21"/>
                </w:rPr>
                <w:t>Submission</w:t>
              </w:r>
            </w:hyperlink>
          </w:p>
        </w:tc>
      </w:tr>
      <w:tr>
        <w:trPr>
          <w:cantSplit/>
        </w:trPr>
        <w:tc>
          <w:tcPr>
            <w:tcW w:type="dxa" w:w="2438"/>
            <w:vAlign w:val="center"/>
            <w:tcMar>
              <w:top w:w="100" w:type="dxa"/>
              <w:bottom w:w="100" w:type="dxa"/>
              <w:left w:w="110" w:type="dxa"/>
              <w:right w:w="110" w:type="dxa"/>
            </w:tcMar>
            <w:shd w:fill="F5F7F8"/>
          </w:tcPr>
          <w:p>
            <w:pPr>
              <w:keepNext w:val="0"/>
              <w:spacing w:after="0" w:line="250" w:lineRule="auto"/>
            </w:pPr>
            <w:r>
              <w:rPr>
                <w:b/>
                <w:sz w:val="21"/>
              </w:rPr>
              <w:t>Claudia Schrader — 18/3857</w:t>
            </w:r>
          </w:p>
        </w:tc>
        <w:tc>
          <w:tcPr>
            <w:tcW w:type="dxa" w:w="7200"/>
            <w:vAlign w:val="center"/>
            <w:tcMar>
              <w:top w:w="100" w:type="dxa"/>
              <w:bottom w:w="100" w:type="dxa"/>
              <w:left w:w="110" w:type="dxa"/>
              <w:right w:w="110" w:type="dxa"/>
            </w:tcMar>
            <w:shd w:fill="F5F7F8"/>
          </w:tcPr>
          <w:p>
            <w:pPr>
              <w:keepNext w:val="0"/>
              <w:spacing w:after="0" w:line="250" w:lineRule="auto"/>
            </w:pPr>
            <w:r>
              <w:rPr>
                <w:sz w:val="21"/>
              </w:rPr>
              <w:t xml:space="preserve">Explicitly does not conduct a legal examination. Identifies unresolved data categories, storage, access, anonymisation/pseudonymisation and documentation questions. Distinguishes formative support from consequential summative assessment. </w:t>
            </w:r>
            <w:hyperlink r:id="rId30">
              <w:r>
                <w:rPr>
                  <w:color w:val="165D8D"/>
                  <w:u w:val="single"/>
                  <w:sz w:val="21"/>
                </w:rPr>
                <w:t>Submission</w:t>
              </w:r>
            </w:hyperlink>
          </w:p>
        </w:tc>
      </w:tr>
      <w:tr>
        <w:trPr>
          <w:cantSplit/>
        </w:trPr>
        <w:tc>
          <w:tcPr>
            <w:tcW w:type="dxa" w:w="2438"/>
            <w:vAlign w:val="center"/>
            <w:tcMar>
              <w:top w:w="100" w:type="dxa"/>
              <w:bottom w:w="100" w:type="dxa"/>
              <w:left w:w="110" w:type="dxa"/>
              <w:right w:w="110" w:type="dxa"/>
            </w:tcMar>
            <w:shd w:fill="FFFFFF"/>
          </w:tcPr>
          <w:p>
            <w:pPr>
              <w:keepNext w:val="0"/>
              <w:spacing w:after="0" w:line="250" w:lineRule="auto"/>
            </w:pPr>
            <w:r>
              <w:rPr>
                <w:b/>
                <w:sz w:val="21"/>
              </w:rPr>
              <w:t>Hendrik Haverkamp / Benedikt Wisniewski — 18/3777</w:t>
            </w:r>
          </w:p>
        </w:tc>
        <w:tc>
          <w:tcPr>
            <w:tcW w:type="dxa" w:w="7200"/>
            <w:vAlign w:val="center"/>
            <w:tcMar>
              <w:top w:w="100" w:type="dxa"/>
              <w:bottom w:w="100" w:type="dxa"/>
              <w:left w:w="110" w:type="dxa"/>
              <w:right w:w="110" w:type="dxa"/>
            </w:tcMar>
            <w:shd w:fill="FFFFFF"/>
          </w:tcPr>
          <w:p>
            <w:pPr>
              <w:keepNext w:val="0"/>
              <w:spacing w:after="0" w:line="250" w:lineRule="auto"/>
            </w:pPr>
            <w:r>
              <w:rPr>
                <w:sz w:val="21"/>
              </w:rPr>
              <w:t xml:space="preserve">Primarily an assessment of research on reliability, validity and fairness. Discusses the motion’s safeguards, but is not a legal clearance. Relevant to evidencing assessment quality rather than establishing permission. </w:t>
            </w:r>
            <w:hyperlink r:id="rId31">
              <w:r>
                <w:rPr>
                  <w:color w:val="165D8D"/>
                  <w:u w:val="single"/>
                  <w:sz w:val="21"/>
                </w:rPr>
                <w:t>Submission</w:t>
              </w:r>
            </w:hyperlink>
          </w:p>
        </w:tc>
      </w:tr>
    </w:tbl>
    <w:p>
      <w:pPr>
        <w:spacing w:after="60" w:before="0" w:line="40" w:lineRule="exact"/>
      </w:pPr>
      <w:r>
        <w:rPr>
          <w:sz w:val="4"/>
        </w:rPr>
      </w:r>
    </w:p>
    <w:p>
      <w:pPr>
        <w:pStyle w:val="Heading1"/>
      </w:pPr>
      <w:r>
        <w:rPr/>
        <w:t>4. Checks against legislation and official guidance</w:t>
      </w:r>
    </w:p>
    <w:p>
      <w:pPr>
        <w:pStyle w:val="Heading2"/>
      </w:pPr>
      <w:r>
        <w:rPr/>
        <w:t>Teacher authority and real review</w:t>
      </w:r>
    </w:p>
    <w:p>
      <w:r>
        <w:rPr/>
        <w:t xml:space="preserve">NRW’s §57(1) assigns assessment to teachers acting within applicable rules. The KMK recommendation recognises possible preliminary correction and feedback assistance while reserving final assessment to examiners and calling for state-level rules. Its description of grading should not be read as making every individual classroom mark a separately appealable administrative act. </w:t>
      </w:r>
      <w:hyperlink r:id="rId32">
        <w:r>
          <w:rPr>
            <w:color w:val="165D8D"/>
            <w:u w:val="single"/>
          </w:rPr>
          <w:t>SchulG NRW</w:t>
        </w:r>
      </w:hyperlink>
      <w:r>
        <w:rPr/>
        <w:t xml:space="preserve"> · </w:t>
      </w:r>
      <w:hyperlink r:id="rId33">
        <w:r>
          <w:rPr>
            <w:color w:val="165D8D"/>
            <w:u w:val="single"/>
          </w:rPr>
          <w:t>KMK recommendation, assessment section, PDF p.9</w:t>
        </w:r>
      </w:hyperlink>
    </w:p>
    <w:p>
      <w:r>
        <w:rPr/>
        <w:t xml:space="preserve">Meaningful review requires competence and authority to change the outcome, rather than token involvement. This supports the concern about teachers merely clicking approval. </w:t>
      </w:r>
      <w:hyperlink r:id="rId34">
        <w:r>
          <w:rPr>
            <w:color w:val="165D8D"/>
            <w:u w:val="single"/>
          </w:rPr>
          <w:t>Spanish data-protection authority’s explanation of the GDPR standard</w:t>
        </w:r>
      </w:hyperlink>
    </w:p>
    <w:p>
      <w:pPr>
        <w:pStyle w:val="Heading2"/>
      </w:pPr>
      <w:r>
        <w:rPr/>
        <w:t>NRW’s specific current correction guidance</w:t>
      </w:r>
    </w:p>
    <w:p>
      <w:r>
        <w:rPr/>
        <w:t xml:space="preserve">The ministry expressly permits supportive correction use, requires the teacher to form their own assessment, and says pupil personal data must not be transmitted. It also describes automated assessment as high risk and subject to strict conditions. This is official guidance, not approval of any named tool. </w:t>
      </w:r>
      <w:hyperlink r:id="rId35">
        <w:r>
          <w:rPr>
            <w:color w:val="165D8D"/>
            <w:u w:val="single"/>
          </w:rPr>
          <w:t>Ministry’s specific answer</w:t>
        </w:r>
      </w:hyperlink>
    </w:p>
    <w:p>
      <w:r>
        <w:rPr/>
        <w:t xml:space="preserve">NRW’s accompanying FAQ distinguishes anonymisation from pseudonymisation: replacing names with pupil numbers does not necessarily remove personal-data status. Anonymisation itself needs a lawful basis; sending identified data to an AI to anonymise it does not solve the initial disclosure issue. </w:t>
      </w:r>
      <w:hyperlink r:id="rId36">
        <w:r>
          <w:rPr>
            <w:color w:val="165D8D"/>
            <w:u w:val="single"/>
          </w:rPr>
          <w:t>NRW AI/data-protection FAQ</w:t>
        </w:r>
      </w:hyperlink>
    </w:p>
    <w:p>
      <w:pPr>
        <w:pStyle w:val="Heading2"/>
      </w:pPr>
      <w:r>
        <w:rPr/>
        <w:t>EU AI Act: classification and dates</w:t>
      </w:r>
    </w:p>
    <w:p>
      <w:r>
        <w:rPr/>
        <w:t xml:space="preserve">Learning-outcome evaluation is listed in Annex III 3(b). Article 6(3) contains limited exceptions where risk and decision influence are sufficiently constrained; human final approval alone does not establish an exception. Typed answers, formative labels and pre-correction labels are not automatic exemptions. High-risk requirements address risk management, documentation, data governance, transparency and oversight; public-service deployers also face impact-assessment duties. </w:t>
      </w:r>
      <w:hyperlink r:id="rId37">
        <w:r>
          <w:rPr>
            <w:color w:val="165D8D"/>
            <w:u w:val="single"/>
          </w:rPr>
          <w:t>AI Act, current consolidated text</w:t>
        </w:r>
      </w:hyperlink>
    </w:p>
    <w:p>
      <w:r>
        <w:rPr>
          <w:b/>
        </w:rPr>
        <w:t>Timing correction:</w:t>
      </w:r>
      <w:r>
        <w:rPr/>
        <w:t xml:space="preserve"> Regulation (EU) 2026/1744 changed the timetable. The relevant Chapter III Sections 1–3 obligations for Annex III systems apply from </w:t>
      </w:r>
      <w:r>
        <w:rPr>
          <w:b/>
        </w:rPr>
        <w:t>2 December 2027</w:t>
      </w:r>
      <w:r>
        <w:rPr/>
        <w:t xml:space="preserve">, with Article 6(5) excepted. The postponement does not suspend GDPR or school law. Older posts and guidance still mentioning August 2026 for this package are outdated. </w:t>
      </w:r>
      <w:hyperlink r:id="rId38">
        <w:r>
          <w:rPr>
            <w:color w:val="165D8D"/>
            <w:u w:val="single"/>
          </w:rPr>
          <w:t>Amending regulation, Article 113 amendment</w:t>
        </w:r>
      </w:hyperlink>
    </w:p>
    <w:p>
      <w:pPr>
        <w:pStyle w:val="Heading2"/>
      </w:pPr>
      <w:r>
        <w:rPr/>
        <w:t>GDPR: separate obligations</w:t>
      </w:r>
    </w:p>
    <w:p>
      <w:r>
        <w:rPr/>
        <w:t>Article 22 restricts solely automated decisions with legal or similarly significant effects, subject to limited exceptions. Other processing still needs a lawful basis and compliance with purpose limitation, minimisation, security and retention. Processor arrangements need Article 28 terms; high-risk processing can require a prior Article 35 impact assessment. International transfers need their own safeguards.</w:t>
      </w:r>
    </w:p>
    <w:p>
      <w:r>
        <w:rPr/>
        <w:t xml:space="preserve">Neither German hosting nor a pupil’s consent automatically resolves all these requirements. Handwriting is not automatically Article 9 biometric data: the specific processing and identification purpose matter. Likewise, performance data are personal data but are not automatically special-category data; their content can reveal protected information. </w:t>
      </w:r>
      <w:hyperlink r:id="rId39">
        <w:r>
          <w:rPr>
            <w:color w:val="165D8D"/>
            <w:u w:val="single"/>
          </w:rPr>
          <w:t>GDPR, Articles 4–6, 9, 22, 28, 35 and Chapter V</w:t>
        </w:r>
      </w:hyperlink>
    </w:p>
    <w:p>
      <w:pPr>
        <w:pStyle w:val="Heading2"/>
      </w:pPr>
      <w:r>
        <w:rPr/>
        <w:t>Liability and state-specific limits</w:t>
      </w:r>
    </w:p>
    <w:p>
      <w:r>
        <w:rPr/>
        <w:t xml:space="preserve">Teacher responsibility for the mark does not mean teachers invariably bear all damages personally. Article 34 of the Basic Law generally places liability for official-duty breaches on the state/public body, with recourse possible for intent or gross negligence. Supplier responsibilities require a separate analysis. </w:t>
      </w:r>
      <w:hyperlink r:id="rId40">
        <w:r>
          <w:rPr>
            <w:color w:val="165D8D"/>
            <w:u w:val="single"/>
          </w:rPr>
          <w:t>Article 34 GG</w:t>
        </w:r>
      </w:hyperlink>
    </w:p>
    <w:p>
      <w:r>
        <w:rPr/>
        <w:t xml:space="preserve">The Baden-Württemberg data-protection authority’s 2024 discussion paper, cited by Kloppenburg, interprets §115b(9) SchG BW as excluding grade-equivalent assessment in the adaptive-learning use it discusses and questions voluntary consent for automated grading in schools. This is a useful state-specific lead, not a verified statement of every state’s current law; the paper’s AI Act date is outdated. </w:t>
      </w:r>
      <w:hyperlink r:id="rId41">
        <w:r>
          <w:rPr>
            <w:color w:val="165D8D"/>
            <w:u w:val="single"/>
          </w:rPr>
          <w:t>LfDI BW discussion paper</w:t>
        </w:r>
      </w:hyperlink>
    </w:p>
    <w:p>
      <w:pPr>
        <w:pStyle w:val="Heading1"/>
      </w:pPr>
      <w:r>
        <w:rPr/>
        <w:t>5. Implications to investigate for Gradias</w:t>
      </w:r>
    </w:p>
    <w:p>
      <w:r>
        <w:rPr/>
        <w:t>These are conclusions for product review, not findings that Gradias has or lacks a particular feature:</w:t>
      </w:r>
    </w:p>
    <w:p>
      <w:pPr>
        <w:ind w:left="283" w:hanging="283"/>
      </w:pPr>
      <w:r>
        <w:rPr/>
        <w:t>1. Define the actual intended use: transcription, feedback drafting, substantive evaluation, proposed marks or final decisions. Assess each workflow, including its real influence on the teacher.</w:t>
      </w:r>
    </w:p>
    <w:p>
      <w:pPr>
        <w:ind w:left="283" w:hanging="283"/>
      </w:pPr>
      <w:r>
        <w:rPr/>
        <w:t>2. Specify what teachers must inspect and record. A checkbox or waiting timer is weak evidence of substantive independent judgment by itself.</w:t>
      </w:r>
    </w:p>
    <w:p>
      <w:pPr>
        <w:ind w:left="283" w:hanging="283"/>
      </w:pPr>
      <w:r>
        <w:rPr/>
        <w:t>3. Map data through scanning, OCR, model calls, storage, logs and support. Test anonymisation claims against realistic reidentification.</w:t>
      </w:r>
    </w:p>
    <w:p>
      <w:pPr>
        <w:ind w:left="283" w:hanging="283"/>
      </w:pPr>
      <w:r>
        <w:rPr/>
        <w:t>4. Separate AI Act classification from GDPR and the relevant state’s school/exam permission. Solving one does not solve the others.</w:t>
      </w:r>
    </w:p>
    <w:p>
      <w:pPr>
        <w:ind w:left="283" w:hanging="283"/>
      </w:pPr>
      <w:r>
        <w:rPr/>
        <w:t>5. Substantiate marketing claims. The debate supports interest in assistance and beta testing; it does not establish official approval, guaranteed legality, objectivity or reduced litigation for Gradias.</w:t>
      </w:r>
    </w:p>
    <w:p>
      <w:pPr>
        <w:pStyle w:val="Heading1"/>
      </w:pPr>
      <w:r>
        <w:rPr/>
        <w:t>6. Source coverage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200"/>
      </w:tblGrid>
      <w:tr>
        <w:trPr>
          <w:cantSplit/>
          <w:tblHeader/>
        </w:trPr>
        <w:tc>
          <w:tcPr>
            <w:tcW w:type="dxa" w:w="2438"/>
            <w:vAlign w:val="center"/>
            <w:tcMar>
              <w:top w:w="100" w:type="dxa"/>
              <w:bottom w:w="100" w:type="dxa"/>
              <w:left w:w="110" w:type="dxa"/>
              <w:right w:w="110" w:type="dxa"/>
            </w:tcMar>
            <w:shd w:fill="34424D"/>
          </w:tcPr>
          <w:p>
            <w:pPr>
              <w:keepNext/>
              <w:spacing w:after="0" w:line="250" w:lineRule="auto"/>
            </w:pPr>
            <w:r>
              <w:rPr>
                <w:b/>
                <w:color w:val="FFFFFF"/>
                <w:sz w:val="21"/>
              </w:rPr>
              <w:t>Source</w:t>
            </w:r>
          </w:p>
        </w:tc>
        <w:tc>
          <w:tcPr>
            <w:tcW w:type="dxa" w:w="7200"/>
            <w:vAlign w:val="center"/>
            <w:tcMar>
              <w:top w:w="100" w:type="dxa"/>
              <w:bottom w:w="100" w:type="dxa"/>
              <w:left w:w="110" w:type="dxa"/>
              <w:right w:w="110" w:type="dxa"/>
            </w:tcMar>
            <w:shd w:fill="34424D"/>
          </w:tcPr>
          <w:p>
            <w:pPr>
              <w:keepNext/>
              <w:spacing w:after="0" w:line="250" w:lineRule="auto"/>
            </w:pPr>
            <w:r>
              <w:rPr>
                <w:b/>
                <w:color w:val="FFFFFF"/>
                <w:sz w:val="21"/>
              </w:rPr>
              <w:t>Coverage</w:t>
            </w:r>
          </w:p>
        </w:tc>
      </w:tr>
      <w:tr>
        <w:trPr>
          <w:cantSplit/>
        </w:trPr>
        <w:tc>
          <w:tcPr>
            <w:tcW w:type="dxa" w:w="2438"/>
            <w:vAlign w:val="center"/>
            <w:tcMar>
              <w:top w:w="100" w:type="dxa"/>
              <w:bottom w:w="100" w:type="dxa"/>
              <w:left w:w="110" w:type="dxa"/>
              <w:right w:w="110" w:type="dxa"/>
            </w:tcMar>
            <w:shd w:fill="FFFFFF"/>
          </w:tcPr>
          <w:p>
            <w:pPr>
              <w:keepNext w:val="0"/>
              <w:spacing w:after="0" w:line="250" w:lineRule="auto"/>
            </w:pPr>
            <w:hyperlink r:id="rId9">
              <w:r>
                <w:rPr>
                  <w:color w:val="165D8D"/>
                  <w:u w:val="single"/>
                  <w:sz w:val="21"/>
                </w:rPr>
                <w:t>LinkedIn Haverkamp</w:t>
              </w:r>
            </w:hyperlink>
          </w:p>
        </w:tc>
        <w:tc>
          <w:tcPr>
            <w:tcW w:type="dxa" w:w="7200"/>
            <w:vAlign w:val="center"/>
            <w:tcMar>
              <w:top w:w="100" w:type="dxa"/>
              <w:bottom w:w="100" w:type="dxa"/>
              <w:left w:w="110" w:type="dxa"/>
              <w:right w:w="110" w:type="dxa"/>
            </w:tcMar>
            <w:shd w:fill="FFFFFF"/>
          </w:tcPr>
          <w:p>
            <w:pPr>
              <w:keepNext w:val="0"/>
              <w:spacing w:after="0" w:line="250" w:lineRule="auto"/>
            </w:pPr>
            <w:r>
              <w:rPr>
                <w:sz w:val="21"/>
              </w:rPr>
              <w:t>Post and available expanded threads reviewed; linked parliamentary collection followed.</w:t>
            </w:r>
          </w:p>
        </w:tc>
      </w:tr>
      <w:tr>
        <w:trPr>
          <w:cantSplit/>
        </w:trPr>
        <w:tc>
          <w:tcPr>
            <w:tcW w:type="dxa" w:w="2438"/>
            <w:vAlign w:val="center"/>
            <w:tcMar>
              <w:top w:w="100" w:type="dxa"/>
              <w:bottom w:w="100" w:type="dxa"/>
              <w:left w:w="110" w:type="dxa"/>
              <w:right w:w="110" w:type="dxa"/>
            </w:tcMar>
            <w:shd w:fill="F5F7F8"/>
          </w:tcPr>
          <w:p>
            <w:pPr>
              <w:keepNext w:val="0"/>
              <w:spacing w:after="0" w:line="250" w:lineRule="auto"/>
            </w:pPr>
            <w:hyperlink r:id="rId10">
              <w:r>
                <w:rPr>
                  <w:color w:val="165D8D"/>
                  <w:u w:val="single"/>
                  <w:sz w:val="21"/>
                </w:rPr>
                <w:t>Instagram 20 March</w:t>
              </w:r>
            </w:hyperlink>
          </w:p>
        </w:tc>
        <w:tc>
          <w:tcPr>
            <w:tcW w:type="dxa" w:w="7200"/>
            <w:vAlign w:val="center"/>
            <w:tcMar>
              <w:top w:w="100" w:type="dxa"/>
              <w:bottom w:w="100" w:type="dxa"/>
              <w:left w:w="110" w:type="dxa"/>
              <w:right w:w="110" w:type="dxa"/>
            </w:tcMar>
            <w:shd w:fill="F5F7F8"/>
          </w:tcPr>
          <w:p>
            <w:pPr>
              <w:keepNext w:val="0"/>
              <w:spacing w:after="0" w:line="250" w:lineRule="auto"/>
            </w:pPr>
            <w:r>
              <w:rPr>
                <w:sz w:val="21"/>
              </w:rPr>
              <w:t>Caption and selected relevant comment/reply threads; incomplete coverage of approximately 860 comments.</w:t>
            </w:r>
          </w:p>
        </w:tc>
      </w:tr>
      <w:tr>
        <w:trPr>
          <w:cantSplit/>
        </w:trPr>
        <w:tc>
          <w:tcPr>
            <w:tcW w:type="dxa" w:w="2438"/>
            <w:vAlign w:val="center"/>
            <w:tcMar>
              <w:top w:w="100" w:type="dxa"/>
              <w:bottom w:w="100" w:type="dxa"/>
              <w:left w:w="110" w:type="dxa"/>
              <w:right w:w="110" w:type="dxa"/>
            </w:tcMar>
            <w:shd w:fill="FFFFFF"/>
          </w:tcPr>
          <w:p>
            <w:pPr>
              <w:keepNext w:val="0"/>
              <w:spacing w:after="0" w:line="250" w:lineRule="auto"/>
            </w:pPr>
            <w:hyperlink r:id="rId42">
              <w:r>
                <w:rPr>
                  <w:color w:val="165D8D"/>
                  <w:u w:val="single"/>
                  <w:sz w:val="21"/>
                </w:rPr>
                <w:t>Instagram 19 March</w:t>
              </w:r>
            </w:hyperlink>
          </w:p>
        </w:tc>
        <w:tc>
          <w:tcPr>
            <w:tcW w:type="dxa" w:w="7200"/>
            <w:vAlign w:val="center"/>
            <w:tcMar>
              <w:top w:w="100" w:type="dxa"/>
              <w:bottom w:w="100" w:type="dxa"/>
              <w:left w:w="110" w:type="dxa"/>
              <w:right w:w="110" w:type="dxa"/>
            </w:tcMar>
            <w:shd w:fill="FFFFFF"/>
          </w:tcPr>
          <w:p>
            <w:pPr>
              <w:keepNext w:val="0"/>
              <w:spacing w:after="0" w:line="250" w:lineRule="auto"/>
            </w:pPr>
            <w:r>
              <w:rPr>
                <w:sz w:val="21"/>
              </w:rPr>
              <w:t>Prior observation; individual page unavailable on fresh retrieval.</w:t>
            </w:r>
          </w:p>
        </w:tc>
      </w:tr>
      <w:tr>
        <w:trPr>
          <w:cantSplit/>
        </w:trPr>
        <w:tc>
          <w:tcPr>
            <w:tcW w:type="dxa" w:w="2438"/>
            <w:vAlign w:val="center"/>
            <w:tcMar>
              <w:top w:w="100" w:type="dxa"/>
              <w:bottom w:w="100" w:type="dxa"/>
              <w:left w:w="110" w:type="dxa"/>
              <w:right w:w="110" w:type="dxa"/>
            </w:tcMar>
            <w:shd w:fill="F5F7F8"/>
          </w:tcPr>
          <w:p>
            <w:pPr>
              <w:keepNext w:val="0"/>
              <w:spacing w:after="0" w:line="250" w:lineRule="auto"/>
            </w:pPr>
            <w:hyperlink r:id="rId43">
              <w:r>
                <w:rPr>
                  <w:color w:val="165D8D"/>
                  <w:u w:val="single"/>
                  <w:sz w:val="21"/>
                </w:rPr>
                <w:t>Instagram 16 March</w:t>
              </w:r>
            </w:hyperlink>
          </w:p>
        </w:tc>
        <w:tc>
          <w:tcPr>
            <w:tcW w:type="dxa" w:w="7200"/>
            <w:vAlign w:val="center"/>
            <w:tcMar>
              <w:top w:w="100" w:type="dxa"/>
              <w:bottom w:w="100" w:type="dxa"/>
              <w:left w:w="110" w:type="dxa"/>
              <w:right w:w="110" w:type="dxa"/>
            </w:tcMar>
            <w:shd w:fill="F5F7F8"/>
          </w:tcPr>
          <w:p>
            <w:pPr>
              <w:keepNext w:val="0"/>
              <w:spacing w:after="0" w:line="250" w:lineRule="auto"/>
            </w:pPr>
            <w:r>
              <w:rPr>
                <w:sz w:val="21"/>
              </w:rPr>
              <w:t>Prior observation; individual page unavailable on fresh retrieval.</w:t>
            </w:r>
          </w:p>
        </w:tc>
      </w:tr>
      <w:tr>
        <w:trPr>
          <w:cantSplit/>
        </w:trPr>
        <w:tc>
          <w:tcPr>
            <w:tcW w:type="dxa" w:w="2438"/>
            <w:vAlign w:val="center"/>
            <w:tcMar>
              <w:top w:w="100" w:type="dxa"/>
              <w:bottom w:w="100" w:type="dxa"/>
              <w:left w:w="110" w:type="dxa"/>
              <w:right w:w="110" w:type="dxa"/>
            </w:tcMar>
            <w:shd w:fill="FFFFFF"/>
          </w:tcPr>
          <w:p>
            <w:pPr>
              <w:keepNext w:val="0"/>
              <w:spacing w:after="0" w:line="250" w:lineRule="auto"/>
            </w:pPr>
            <w:hyperlink r:id="rId44">
              <w:r>
                <w:rPr>
                  <w:color w:val="165D8D"/>
                  <w:u w:val="single"/>
                  <w:sz w:val="21"/>
                </w:rPr>
                <w:t>Instagram 14 March</w:t>
              </w:r>
            </w:hyperlink>
          </w:p>
        </w:tc>
        <w:tc>
          <w:tcPr>
            <w:tcW w:type="dxa" w:w="7200"/>
            <w:vAlign w:val="center"/>
            <w:tcMar>
              <w:top w:w="100" w:type="dxa"/>
              <w:bottom w:w="100" w:type="dxa"/>
              <w:left w:w="110" w:type="dxa"/>
              <w:right w:w="110" w:type="dxa"/>
            </w:tcMar>
            <w:shd w:fill="FFFFFF"/>
          </w:tcPr>
          <w:p>
            <w:pPr>
              <w:keepNext w:val="0"/>
              <w:spacing w:after="0" w:line="250" w:lineRule="auto"/>
            </w:pPr>
            <w:r>
              <w:rPr>
                <w:sz w:val="21"/>
              </w:rPr>
              <w:t>Previously observed AI Act objection retained; individual page unavailable.</w:t>
            </w:r>
          </w:p>
        </w:tc>
      </w:tr>
      <w:tr>
        <w:trPr>
          <w:cantSplit/>
        </w:trPr>
        <w:tc>
          <w:tcPr>
            <w:tcW w:type="dxa" w:w="2438"/>
            <w:vAlign w:val="center"/>
            <w:tcMar>
              <w:top w:w="100" w:type="dxa"/>
              <w:bottom w:w="100" w:type="dxa"/>
              <w:left w:w="110" w:type="dxa"/>
              <w:right w:w="110" w:type="dxa"/>
            </w:tcMar>
            <w:shd w:fill="F5F7F8"/>
          </w:tcPr>
          <w:p>
            <w:pPr>
              <w:keepNext w:val="0"/>
              <w:spacing w:after="0" w:line="250" w:lineRule="auto"/>
            </w:pPr>
            <w:hyperlink r:id="rId45">
              <w:r>
                <w:rPr>
                  <w:color w:val="165D8D"/>
                  <w:u w:val="single"/>
                  <w:sz w:val="21"/>
                </w:rPr>
                <w:t>Facebook FDP 20 March</w:t>
              </w:r>
            </w:hyperlink>
          </w:p>
        </w:tc>
        <w:tc>
          <w:tcPr>
            <w:tcW w:type="dxa" w:w="7200"/>
            <w:vAlign w:val="center"/>
            <w:tcMar>
              <w:top w:w="100" w:type="dxa"/>
              <w:bottom w:w="100" w:type="dxa"/>
              <w:left w:w="110" w:type="dxa"/>
              <w:right w:w="110" w:type="dxa"/>
            </w:tcMar>
            <w:shd w:fill="F5F7F8"/>
          </w:tcPr>
          <w:p>
            <w:pPr>
              <w:keepNext w:val="0"/>
              <w:spacing w:after="0" w:line="250" w:lineRule="auto"/>
            </w:pPr>
            <w:r>
              <w:rPr>
                <w:sz w:val="21"/>
              </w:rPr>
              <w:t>Caption and loaded comments reviewed; some long text/replies inaccessible.</w:t>
            </w:r>
          </w:p>
        </w:tc>
      </w:tr>
      <w:tr>
        <w:trPr>
          <w:cantSplit/>
        </w:trPr>
        <w:tc>
          <w:tcPr>
            <w:tcW w:type="dxa" w:w="2438"/>
            <w:vAlign w:val="center"/>
            <w:tcMar>
              <w:top w:w="100" w:type="dxa"/>
              <w:bottom w:w="100" w:type="dxa"/>
              <w:left w:w="110" w:type="dxa"/>
              <w:right w:w="110" w:type="dxa"/>
            </w:tcMar>
            <w:shd w:fill="FFFFFF"/>
          </w:tcPr>
          <w:p>
            <w:pPr>
              <w:keepNext w:val="0"/>
              <w:spacing w:after="0" w:line="250" w:lineRule="auto"/>
            </w:pPr>
            <w:hyperlink r:id="rId46">
              <w:r>
                <w:rPr>
                  <w:color w:val="165D8D"/>
                  <w:u w:val="single"/>
                  <w:sz w:val="21"/>
                </w:rPr>
                <w:t>Facebook FDP 26 March</w:t>
              </w:r>
            </w:hyperlink>
          </w:p>
        </w:tc>
        <w:tc>
          <w:tcPr>
            <w:tcW w:type="dxa" w:w="7200"/>
            <w:vAlign w:val="center"/>
            <w:tcMar>
              <w:top w:w="100" w:type="dxa"/>
              <w:bottom w:w="100" w:type="dxa"/>
              <w:left w:w="110" w:type="dxa"/>
              <w:right w:w="110" w:type="dxa"/>
            </w:tcMar>
            <w:shd w:fill="FFFFFF"/>
          </w:tcPr>
          <w:p>
            <w:pPr>
              <w:keepNext w:val="0"/>
              <w:spacing w:after="0" w:line="250" w:lineRule="auto"/>
            </w:pPr>
            <w:r>
              <w:rPr>
                <w:sz w:val="21"/>
              </w:rPr>
              <w:t>Loaded comments reviewed; no specific legal authority found in retrieved text.</w:t>
            </w:r>
          </w:p>
        </w:tc>
      </w:tr>
      <w:tr>
        <w:trPr>
          <w:cantSplit/>
        </w:trPr>
        <w:tc>
          <w:tcPr>
            <w:tcW w:type="dxa" w:w="2438"/>
            <w:vAlign w:val="center"/>
            <w:tcMar>
              <w:top w:w="100" w:type="dxa"/>
              <w:bottom w:w="100" w:type="dxa"/>
              <w:left w:w="110" w:type="dxa"/>
              <w:right w:w="110" w:type="dxa"/>
            </w:tcMar>
            <w:shd w:fill="F5F7F8"/>
          </w:tcPr>
          <w:p>
            <w:pPr>
              <w:keepNext w:val="0"/>
              <w:spacing w:after="0" w:line="250" w:lineRule="auto"/>
            </w:pPr>
            <w:hyperlink r:id="rId47">
              <w:r>
                <w:rPr>
                  <w:color w:val="165D8D"/>
                  <w:u w:val="single"/>
                  <w:sz w:val="21"/>
                </w:rPr>
                <w:t>Facebook FDP 16 March</w:t>
              </w:r>
            </w:hyperlink>
          </w:p>
        </w:tc>
        <w:tc>
          <w:tcPr>
            <w:tcW w:type="dxa" w:w="7200"/>
            <w:vAlign w:val="center"/>
            <w:tcMar>
              <w:top w:w="100" w:type="dxa"/>
              <w:bottom w:w="100" w:type="dxa"/>
              <w:left w:w="110" w:type="dxa"/>
              <w:right w:w="110" w:type="dxa"/>
            </w:tcMar>
            <w:shd w:fill="F5F7F8"/>
          </w:tcPr>
          <w:p>
            <w:pPr>
              <w:keepNext w:val="0"/>
              <w:spacing w:after="0" w:line="250" w:lineRule="auto"/>
            </w:pPr>
            <w:r>
              <w:rPr>
                <w:sz w:val="21"/>
              </w:rPr>
              <w:t>Multiple comment batches reviewed; some text truncated and replies incomplete.</w:t>
            </w:r>
          </w:p>
        </w:tc>
      </w:tr>
      <w:tr>
        <w:trPr>
          <w:cantSplit/>
        </w:trPr>
        <w:tc>
          <w:tcPr>
            <w:tcW w:type="dxa" w:w="2438"/>
            <w:vAlign w:val="center"/>
            <w:tcMar>
              <w:top w:w="100" w:type="dxa"/>
              <w:bottom w:w="100" w:type="dxa"/>
              <w:left w:w="110" w:type="dxa"/>
              <w:right w:w="110" w:type="dxa"/>
            </w:tcMar>
            <w:shd w:fill="FFFFFF"/>
          </w:tcPr>
          <w:p>
            <w:pPr>
              <w:keepNext w:val="0"/>
              <w:spacing w:after="0" w:line="250" w:lineRule="auto"/>
            </w:pPr>
            <w:hyperlink r:id="rId16">
              <w:r>
                <w:rPr>
                  <w:color w:val="165D8D"/>
                  <w:u w:val="single"/>
                  <w:sz w:val="21"/>
                </w:rPr>
                <w:t>Facebook News4teachers</w:t>
              </w:r>
            </w:hyperlink>
          </w:p>
        </w:tc>
        <w:tc>
          <w:tcPr>
            <w:tcW w:type="dxa" w:w="7200"/>
            <w:vAlign w:val="center"/>
            <w:tcMar>
              <w:top w:w="100" w:type="dxa"/>
              <w:bottom w:w="100" w:type="dxa"/>
              <w:left w:w="110" w:type="dxa"/>
              <w:right w:w="110" w:type="dxa"/>
            </w:tcMar>
            <w:shd w:fill="FFFFFF"/>
          </w:tcPr>
          <w:p>
            <w:pPr>
              <w:keepNext w:val="0"/>
              <w:spacing w:after="0" w:line="250" w:lineRule="auto"/>
            </w:pPr>
            <w:r>
              <w:rPr>
                <w:sz w:val="21"/>
              </w:rPr>
              <w:t>Post and available top-level comments; complete reply coverage not established.</w:t>
            </w:r>
          </w:p>
        </w:tc>
      </w:tr>
      <w:tr>
        <w:trPr>
          <w:cantSplit/>
        </w:trPr>
        <w:tc>
          <w:tcPr>
            <w:tcW w:type="dxa" w:w="2438"/>
            <w:vAlign w:val="center"/>
            <w:tcMar>
              <w:top w:w="100" w:type="dxa"/>
              <w:bottom w:w="100" w:type="dxa"/>
              <w:left w:w="110" w:type="dxa"/>
              <w:right w:w="110" w:type="dxa"/>
            </w:tcMar>
            <w:shd w:fill="F5F7F8"/>
          </w:tcPr>
          <w:p>
            <w:pPr>
              <w:keepNext w:val="0"/>
              <w:spacing w:after="0" w:line="250" w:lineRule="auto"/>
            </w:pPr>
            <w:hyperlink r:id="rId17">
              <w:r>
                <w:rPr>
                  <w:color w:val="165D8D"/>
                  <w:u w:val="single"/>
                  <w:sz w:val="21"/>
                </w:rPr>
                <w:t>X FDP</w:t>
              </w:r>
            </w:hyperlink>
          </w:p>
        </w:tc>
        <w:tc>
          <w:tcPr>
            <w:tcW w:type="dxa" w:w="7200"/>
            <w:vAlign w:val="center"/>
            <w:tcMar>
              <w:top w:w="100" w:type="dxa"/>
              <w:bottom w:w="100" w:type="dxa"/>
              <w:left w:w="110" w:type="dxa"/>
              <w:right w:w="110" w:type="dxa"/>
            </w:tcMar>
            <w:shd w:fill="F5F7F8"/>
          </w:tcPr>
          <w:p>
            <w:pPr>
              <w:keepNext w:val="0"/>
              <w:spacing w:after="0" w:line="250" w:lineRule="auto"/>
            </w:pPr>
            <w:r>
              <w:rPr>
                <w:sz w:val="21"/>
              </w:rPr>
              <w:t>Previously observed announcement/reply; not newly exhaustively retrieved.</w:t>
            </w:r>
          </w:p>
        </w:tc>
      </w:tr>
      <w:tr>
        <w:trPr>
          <w:cantSplit/>
        </w:trPr>
        <w:tc>
          <w:tcPr>
            <w:tcW w:type="dxa" w:w="2438"/>
            <w:vAlign w:val="center"/>
            <w:tcMar>
              <w:top w:w="100" w:type="dxa"/>
              <w:bottom w:w="100" w:type="dxa"/>
              <w:left w:w="110" w:type="dxa"/>
              <w:right w:w="110" w:type="dxa"/>
            </w:tcMar>
            <w:shd w:fill="FFFFFF"/>
          </w:tcPr>
          <w:p>
            <w:pPr>
              <w:keepNext w:val="0"/>
              <w:spacing w:after="0" w:line="250" w:lineRule="auto"/>
            </w:pPr>
            <w:hyperlink r:id="rId19">
              <w:r>
                <w:rPr>
                  <w:color w:val="165D8D"/>
                  <w:u w:val="single"/>
                  <w:sz w:val="21"/>
                </w:rPr>
                <w:t>YouTube FDP</w:t>
              </w:r>
            </w:hyperlink>
          </w:p>
        </w:tc>
        <w:tc>
          <w:tcPr>
            <w:tcW w:type="dxa" w:w="7200"/>
            <w:vAlign w:val="center"/>
            <w:tcMar>
              <w:top w:w="100" w:type="dxa"/>
              <w:bottom w:w="100" w:type="dxa"/>
              <w:left w:w="110" w:type="dxa"/>
              <w:right w:w="110" w:type="dxa"/>
            </w:tcMar>
            <w:shd w:fill="FFFFFF"/>
          </w:tcPr>
          <w:p>
            <w:pPr>
              <w:keepNext w:val="0"/>
              <w:spacing w:after="0" w:line="250" w:lineRule="auto"/>
            </w:pPr>
            <w:r>
              <w:rPr>
                <w:sz w:val="21"/>
              </w:rPr>
              <w:t>Full automatic speech transcript reviewed; comments not fully retrieved.</w:t>
            </w:r>
          </w:p>
        </w:tc>
      </w:tr>
    </w:tbl>
    <w:p>
      <w:pPr>
        <w:spacing w:after="60" w:before="0" w:line="40" w:lineRule="exact"/>
      </w:pPr>
      <w:r>
        <w:rPr>
          <w:sz w:val="4"/>
        </w:rPr>
      </w:r>
    </w:p>
    <w:p>
      <w:r>
        <w:rPr/>
        <w:t>Further leads: identify the ISB opinion mentioned by Prechter; verify individual state/examination rules for intended deployments; obtain product-specific analysis of Gradias’s data flow and classification.</w:t>
      </w:r>
    </w:p>
    <w:sectPr w:rsidR="00FC693F" w:rsidRPr="0006063C" w:rsidSect="00034616">
      <w:footerReference w:type="default" r:id="rId48"/>
      <w:pgSz w:w="11906" w:h="16838"/>
      <w:pgMar w:top="1020" w:right="1134" w:bottom="1020"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300"/>
    </w:pPr>
    <w:rPr>
      <w:rFonts w:asciiTheme="majorHAnsi" w:eastAsiaTheme="majorEastAsia" w:hAnsiTheme="majorHAnsi" w:cstheme="majorBidi" w:ascii="Calibri" w:hAnsi="Calibr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ind w:left="283" w:hanging="17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ind w:left="283" w:hanging="17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posts/hendrik-haverkamp-64132b222_korrigiert-k%C3%BCnstliche-intelligenz-klassenarbeiten-activity-7465303054419099648-zg9w/" TargetMode="External"/><Relationship Id="rId10" Type="http://schemas.openxmlformats.org/officeDocument/2006/relationships/hyperlink" Target="https://www.instagram.com/reel/DWG1OyejDVn/" TargetMode="External"/><Relationship Id="rId11" Type="http://schemas.openxmlformats.org/officeDocument/2006/relationships/hyperlink" Target="https://www.instagram.com/p/DWG1OyejDVn/c/17931234477213174/" TargetMode="External"/><Relationship Id="rId12" Type="http://schemas.openxmlformats.org/officeDocument/2006/relationships/hyperlink" Target="https://www.instagram.com/p/DWG1OyejDVn/c/18114140392591264/" TargetMode="External"/><Relationship Id="rId13" Type="http://schemas.openxmlformats.org/officeDocument/2006/relationships/hyperlink" Target="https://www.instagram.com/p/DWG1OyejDVn/c/17890769256441963/" TargetMode="External"/><Relationship Id="rId14" Type="http://schemas.openxmlformats.org/officeDocument/2006/relationships/hyperlink" Target="https://www.instagram.com/p/DWG1OyejDVn/c/17912750643346153/" TargetMode="External"/><Relationship Id="rId15" Type="http://schemas.openxmlformats.org/officeDocument/2006/relationships/hyperlink" Target="https://www.instagram.com/p/DV2xHurEbGP/c/18060624416690223/" TargetMode="External"/><Relationship Id="rId16" Type="http://schemas.openxmlformats.org/officeDocument/2006/relationships/hyperlink" Target="https://www.facebook.com/News4teachers/posts/die-fdp-im-nordrhein-westf%C3%A4lischen-landtag-will-korrekturen-von-klassenarbeiten-/1771020134095209/" TargetMode="External"/><Relationship Id="rId17" Type="http://schemas.openxmlformats.org/officeDocument/2006/relationships/hyperlink" Target="https://x.com/FDPFraktionNRW/status/2032713970696462698" TargetMode="External"/><Relationship Id="rId18" Type="http://schemas.openxmlformats.org/officeDocument/2006/relationships/hyperlink" Target="https://x.com/wbuett/status/2032792858059485686" TargetMode="External"/><Relationship Id="rId19" Type="http://schemas.openxmlformats.org/officeDocument/2006/relationships/hyperlink" Target="https://www.youtube.com/watch?v=ti8Rkhzg7JA" TargetMode="External"/><Relationship Id="rId20" Type="http://schemas.openxmlformats.org/officeDocument/2006/relationships/hyperlink" Target="https://fdp.fraktion.nrw/initiative/ki-korrektur-zum-standard-machen-lehrkraefte-entlasten-feedback-verbessern" TargetMode="External"/><Relationship Id="rId21" Type="http://schemas.openxmlformats.org/officeDocument/2006/relationships/hyperlink" Target="https://www.landtag.nrw.de/portal/WWW/dokumentenarchiv/Dokument/MMD18-18104.pdf" TargetMode="External"/><Relationship Id="rId22" Type="http://schemas.openxmlformats.org/officeDocument/2006/relationships/hyperlink" Target="https://www.landtag.nrw.de/home/dokumente/dokumentensuche/parlamentsdokumente/aktuelle-dokumente.html?_eventId_sendform=&amp;dokNum=Drs+18%2F18104&amp;dokTyp=ST&amp;formId=searchByItem&amp;wp=18" TargetMode="External"/><Relationship Id="rId23" Type="http://schemas.openxmlformats.org/officeDocument/2006/relationships/hyperlink" Target="https://www.landtag.nrw.de/portal/WWW/dokumentenarchiv/Dokument/MMST18-3853.pdf" TargetMode="External"/><Relationship Id="rId24" Type="http://schemas.openxmlformats.org/officeDocument/2006/relationships/hyperlink" Target="https://www.landtag.nrw.de/portal/WWW/dokumentenarchiv/Dokument/MMST18-3786.pdf" TargetMode="External"/><Relationship Id="rId25" Type="http://schemas.openxmlformats.org/officeDocument/2006/relationships/hyperlink" Target="https://www.landtag.nrw.de/portal/WWW/dokumentenarchiv/Dokument/MMST18-3828.pdf" TargetMode="External"/><Relationship Id="rId26" Type="http://schemas.openxmlformats.org/officeDocument/2006/relationships/hyperlink" Target="https://www.landtag.nrw.de/portal/WWW/dokumentenarchiv/Dokument/MMST18-3870.pdf" TargetMode="External"/><Relationship Id="rId27" Type="http://schemas.openxmlformats.org/officeDocument/2006/relationships/hyperlink" Target="https://www.landtag.nrw.de/portal/WWW/dokumentenarchiv/Dokument/MMST18-3861.pdf" TargetMode="External"/><Relationship Id="rId28" Type="http://schemas.openxmlformats.org/officeDocument/2006/relationships/hyperlink" Target="https://www.landtag.nrw.de/portal/WWW/dokumentenarchiv/Dokument/MMST18-3872.pdf" TargetMode="External"/><Relationship Id="rId29" Type="http://schemas.openxmlformats.org/officeDocument/2006/relationships/hyperlink" Target="https://www.landtag.nrw.de/portal/WWW/dokumentenarchiv/Dokument/MMST18-3823.pdf" TargetMode="External"/><Relationship Id="rId30" Type="http://schemas.openxmlformats.org/officeDocument/2006/relationships/hyperlink" Target="https://www.landtag.nrw.de/portal/WWW/dokumentenarchiv/Dokument/MMST18-3857.pdf" TargetMode="External"/><Relationship Id="rId31" Type="http://schemas.openxmlformats.org/officeDocument/2006/relationships/hyperlink" Target="https://www.landtag.nrw.de/portal/WWW/dokumentenarchiv/Dokument/MMST18-3777.pdf" TargetMode="External"/><Relationship Id="rId32" Type="http://schemas.openxmlformats.org/officeDocument/2006/relationships/hyperlink" Target="https://recht.nrw.de/lrgv/gesetz/01082025-schulgesetz-fuer-das-land-nordrhein-westfalen-schulgesetz-nrw-schulg/" TargetMode="External"/><Relationship Id="rId33" Type="http://schemas.openxmlformats.org/officeDocument/2006/relationships/hyperlink" Target="https://www.kmk.org/fileadmin/veroeffentlichungen_beschluesse/2024/2024_10_10-Handlungsempfehlung-KI.pdf" TargetMode="External"/><Relationship Id="rId34" Type="http://schemas.openxmlformats.org/officeDocument/2006/relationships/hyperlink" Target="https://www.aepd.es/en/press-and-communication/blog/evaluating-human-intervention-in-automated-decisions" TargetMode="External"/><Relationship Id="rId35" Type="http://schemas.openxmlformats.org/officeDocument/2006/relationships/hyperlink" Target="https://www.schulministerium.nrw/node/26651" TargetMode="External"/><Relationship Id="rId36" Type="http://schemas.openxmlformats.org/officeDocument/2006/relationships/hyperlink" Target="https://www.medienberatung.schulministerium.nrw.de/de/themen/datenschutz_1/fragen_zur_ki_nutzung_im_bereich_schule/fragen_zur_ki_nutzung_im_bereich_schule.html" TargetMode="External"/><Relationship Id="rId37" Type="http://schemas.openxmlformats.org/officeDocument/2006/relationships/hyperlink" Target="https://eur-lex.europa.eu/eli/reg/2024/1689/2026-07-27/eng" TargetMode="External"/><Relationship Id="rId38" Type="http://schemas.openxmlformats.org/officeDocument/2006/relationships/hyperlink" Target="https://eur-lex.europa.eu/eli/reg/2026/1744/oj/eng" TargetMode="External"/><Relationship Id="rId39" Type="http://schemas.openxmlformats.org/officeDocument/2006/relationships/hyperlink" Target="https://eur-lex.europa.eu/eli/reg/2016/679/" TargetMode="External"/><Relationship Id="rId40" Type="http://schemas.openxmlformats.org/officeDocument/2006/relationships/hyperlink" Target="https://www.gesetze-im-internet.de/gg/art_34.html" TargetMode="External"/><Relationship Id="rId41" Type="http://schemas.openxmlformats.org/officeDocument/2006/relationships/hyperlink" Target="https://www.baden-wuerttemberg.datenschutz.de/rechtsgrundlagen-datenschutz-ki/" TargetMode="External"/><Relationship Id="rId42" Type="http://schemas.openxmlformats.org/officeDocument/2006/relationships/hyperlink" Target="https://www.instagram.com/reel/DWEwaf6j1X9/" TargetMode="External"/><Relationship Id="rId43" Type="http://schemas.openxmlformats.org/officeDocument/2006/relationships/hyperlink" Target="https://www.instagram.com/reel/DV8WhcLCLss/" TargetMode="External"/><Relationship Id="rId44" Type="http://schemas.openxmlformats.org/officeDocument/2006/relationships/hyperlink" Target="https://www.instagram.com/reel/DV2xHurEbGP/" TargetMode="External"/><Relationship Id="rId45" Type="http://schemas.openxmlformats.org/officeDocument/2006/relationships/hyperlink" Target="https://www.facebook.com/reel/2034939510786461/" TargetMode="External"/><Relationship Id="rId46" Type="http://schemas.openxmlformats.org/officeDocument/2006/relationships/hyperlink" Target="https://www.facebook.com/reel/1322048906430988/" TargetMode="External"/><Relationship Id="rId47" Type="http://schemas.openxmlformats.org/officeDocument/2006/relationships/hyperlink" Target="https://www.facebook.com/reel/1671222030963808/" TargetMode="External"/><Relationship Id="rId4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exam grading in Germany: legal and regulatory extraction</dc:title>
  <dc:subject>Verbatim Word version of the research report with source hyperlinks</dc:subject>
  <dc:creator>Gradias</dc:creator>
  <cp:keywords>AI grading, Germany, school assessment, legal, regulatory</cp:keywords>
  <dc:description>generated by python-docx</dc:description>
  <cp:lastModifiedBy/>
  <cp:revision>1</cp:revision>
  <dcterms:created xsi:type="dcterms:W3CDTF">2013-12-23T23:15:00Z</dcterms:created>
  <dcterms:modified xsi:type="dcterms:W3CDTF">2013-12-23T23:15:00Z</dcterms:modified>
  <cp:category/>
</cp:coreProperties>
</file>