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软雅黑"/>
          <w:b/>
          <w:sz w:val="44"/>
        </w:rPr>
        <w:t>NEC-HUB 整站体验评审与量化优化清单</w:t>
      </w:r>
    </w:p>
    <w:p>
      <w:pPr>
        <w:jc w:val="center"/>
      </w:pPr>
      <w:r>
        <w:rPr>
          <w:rFonts w:ascii="Calibri" w:hAnsi="Calibri" w:eastAsia="微软雅黑"/>
          <w:sz w:val="28"/>
        </w:rPr>
        <w:t>（首页 / 硬件评审 / MES 库位 / 合同审批）</w:t>
      </w:r>
    </w:p>
    <w:p/>
    <w:p>
      <w:pPr>
        <w:jc w:val="center"/>
      </w:pPr>
      <w:r>
        <w:rPr>
          <w:rFonts w:ascii="Calibri" w:hAnsi="Calibri" w:eastAsia="微软雅黑"/>
          <w:sz w:val="21"/>
        </w:rPr>
        <w:t>版本：V1.0    日期：2026-10-14    状态：硬件评审章完成，其余章节待合并补评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F3B63"/>
        </w:rPr>
        <w:t>评审口径与量化说明</w:t>
      </w:r>
    </w:p>
    <w:p>
      <w:r>
        <w:rPr>
          <w:b/>
          <w:sz w:val="21"/>
        </w:rPr>
        <w:t>优先级定义：</w:t>
      </w:r>
    </w:p>
    <w:p>
      <w:r>
        <w:rPr>
          <w:b w:val="0"/>
          <w:sz w:val="21"/>
        </w:rPr>
        <w:t>P0 — 阻塞使用的硬伤，不修复则核心流程无法顺利完成；建议立即排期。</w:t>
      </w:r>
    </w:p>
    <w:p>
      <w:r>
        <w:rPr>
          <w:b w:val="0"/>
          <w:sz w:val="21"/>
        </w:rPr>
        <w:t>P1 — 一致性/联动/导航层问题，显著影响效率与正确性，建议本轮迭代修复。</w:t>
      </w:r>
    </w:p>
    <w:p>
      <w:r>
        <w:rPr>
          <w:b w:val="0"/>
          <w:sz w:val="21"/>
        </w:rPr>
        <w:t>P2 — 体验与权限打磨项，可排入后续迭代。</w:t>
      </w:r>
    </w:p>
    <w:p>
      <w:r>
        <w:rPr>
          <w:b w:val="0"/>
          <w:sz w:val="21"/>
        </w:rPr>
        <w:t>D — 数据联动类需求，涉及跨模块数据回写，需单独评估依赖后再排期。</w:t>
      </w:r>
    </w:p>
    <w:p/>
    <w:p>
      <w:r>
        <w:rPr>
          <w:b/>
          <w:sz w:val="21"/>
        </w:rPr>
        <w:t>量化口径：</w:t>
      </w:r>
    </w:p>
    <w:p>
      <w:r>
        <w:rPr>
          <w:b w:val="0"/>
          <w:sz w:val="21"/>
        </w:rPr>
        <w:t>每项给出“预估工时（人日）”，按一名熟悉本项目技术栈的前端全栈工程师独立完成的估算，含自测不含联调排期等待；实际排期请结合人力与依赖项再压缩或放宽。</w:t>
      </w:r>
    </w:p>
    <w:p>
      <w:r>
        <w:rPr>
          <w:b w:val="0"/>
          <w:sz w:val="21"/>
        </w:rPr>
        <w:t>每项给出“验收标准”，作为完成定义（DoD），测试/验收时逐条核对。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F3B63"/>
        </w:rPr>
        <w:t>第一章  硬件评审页（本次评审）</w:t>
      </w:r>
    </w:p>
    <w:p>
      <w:r>
        <w:rPr>
          <w:b w:val="0"/>
          <w:sz w:val="21"/>
        </w:rPr>
        <w:t>评审对象：nec-hub「硬件评审」提交页（/apps/hardware-review）。页面骨架完整（表单字段齐、有参数模板与批量导入能力），核心问题集中在：流程不可见、表单无状态管理、进阶功能裸奔给所有用户。共 13 项，其中数据联动项 D-13 含 3 个子项。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794"/>
            <w:shd w:val="clear" w:fill="D9E2F3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794"/>
            <w:shd w:val="clear" w:fill="D9E2F3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381"/>
            <w:shd w:val="clear" w:fill="D9E2F3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041"/>
            <w:shd w:val="clear" w:fill="D9E2F3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2948"/>
            <w:shd w:val="clear" w:fill="D9E2F3"/>
          </w:tcPr>
          <w:p>
            <w:r>
              <w:rPr>
                <w:b/>
                <w:sz w:val="18"/>
              </w:rPr>
              <w:t>优化建议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  <w:sz w:val="18"/>
              </w:rPr>
              <w:t>预估工时(人日)</w:t>
            </w:r>
          </w:p>
        </w:tc>
        <w:tc>
          <w:tcPr>
            <w:tcW w:type="dxa" w:w="2608"/>
            <w:shd w:val="clear" w:fill="D9E2F3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P0-01</w:t>
            </w:r>
          </w:p>
        </w:tc>
        <w:tc>
          <w:tcPr>
            <w:tcW w:type="dxa" w:w="794"/>
            <w:shd w:val="clear" w:fill="F4CCC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「硬件评审流程」卡片为空：卡片名叫"流程"，点进去直接就是表单，用户看不到评审有几步、谁审、要多久。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提交人对评审周期与责任方零预期，易反复催问；流程透明度缺失。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表单上方加流程步骤条：提交 → 形式审查 → 专业评审 → 结论（通过/有条件通过/驳回），每步标注责任角色与 SLA（如形式审查 1 个工作日）。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步骤条在表单页首屏可见；每步显示角色与 SLA；当前步骤可随单状态高亮。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P0-02</w:t>
            </w:r>
          </w:p>
        </w:tc>
        <w:tc>
          <w:tcPr>
            <w:tcW w:type="dxa" w:w="794"/>
            <w:shd w:val="clear" w:fill="F4CCC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「提交」按钮与表单脱节：按钮悬在空卡片顶部，长表单提交时不在视野内；且无草稿能力，误刷新全丢。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长表单填写成本高，误操作导致全部丢失，直接阻塞使用。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表单底部加固定操作栏：保存草稿 + 提交评审双按钮；草稿本地+服务端双写，支持断点续填。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滚动至任意位置均可在底部固定栏提交/存草稿；草稿可恢复、可多份；刷新/重进不丢数据。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P0-03</w:t>
            </w:r>
          </w:p>
        </w:tc>
        <w:tc>
          <w:tcPr>
            <w:tcW w:type="dxa" w:w="794"/>
            <w:shd w:val="clear" w:fill="F4CCCC"/>
          </w:tcPr>
          <w:p>
            <w:r>
              <w:rPr>
                <w:sz w:val="17"/>
              </w:rPr>
              <w:t>P0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提交后无反馈闭环：看不到评审单号、预计完成时间、查询入口。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提交人无法跟踪进度，重复提交或线下追问。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提交成功页三件套：单号（建议规则 HR-2026-001，与项目编号 PRJ- 区分）、状态查询链接、评审人信息。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提交成功即展示三件套；单号全局唯一可检索；状态页信息与评审端一致。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P1-04</w:t>
            </w:r>
          </w:p>
        </w:tc>
        <w:tc>
          <w:tcPr>
            <w:tcW w:type="dxa" w:w="794"/>
            <w:shd w:val="clear" w:fill="FCE5CD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必填标记不统一：硬件类型、规格参数未标必填，而二者恰是评审路由关键（类型决定评审人分配，参数是评审主体）。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缺类型/参数的评审单无法正确路由，评审人被分错或打回重填。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硬件类型、规格参数改为必填（红星标记），提交前校验拦截。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两项缺失时提交被拦截并定位到缺失字段；与既有必填项视觉一致。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P1-05</w:t>
            </w:r>
          </w:p>
        </w:tc>
        <w:tc>
          <w:tcPr>
            <w:tcW w:type="dxa" w:w="794"/>
            <w:shd w:val="clear" w:fill="FCE5CD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项目编号纯手填：仅 placeholder 示例（PRJ-2026-001），无格式校验、无查重、不关联已有项目。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手填串号、虚构编号，评审与任务排期/赛季目标数据断裂。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改为下拉选择已有项目，自动带出编号；同时保留格式校验与查重兜底。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只能选已有项目或按规则新建；编号自动带出不可手改；与任务排期数据可互相跳转。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P1-06</w:t>
            </w:r>
          </w:p>
        </w:tc>
        <w:tc>
          <w:tcPr>
            <w:tcW w:type="dxa" w:w="794"/>
            <w:shd w:val="clear" w:fill="FCE5CD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硬件类型与参数模板不联动："按类型填充常用参数"是弱化文字链接，藏在表格右上角。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参数填写随意，评审口径不一致，评审人来回补问。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选完类型自动预填常用参数行，链接升级为按钮并保留"追加填充"；内置模板：主控板（主控芯片/工作电压/功耗/通信接口/工作温度）、激光雷达（量程/精度/视场角/点频/接口）、驱动电机（额定功率/电压/转速/扭矩/绝缘等级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切换类型即预填对应模板；已有手填行不被覆盖（追加模式）；模板可维护。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P1-07</w:t>
            </w:r>
          </w:p>
        </w:tc>
        <w:tc>
          <w:tcPr>
            <w:tcW w:type="dxa" w:w="794"/>
            <w:shd w:val="clear" w:fill="FCE5CD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上传文件无后续管理：只有上传入口，无已传文件的预览、替换、删除、版本记录。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驳回后改版（V1.0→V1.1）无法并存可查，评审追溯困难。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附件区加版本管理：预览、替换、删除、版本历史（V1.0/V1.1 并存，标注当前生效版）。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同一资料可多版本并存；每版可下载预览；评审单上标注当前生效版本。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P1-08</w:t>
            </w:r>
          </w:p>
        </w:tc>
        <w:tc>
          <w:tcPr>
            <w:tcW w:type="dxa" w:w="794"/>
            <w:shd w:val="clear" w:fill="FCE5CD"/>
          </w:tcPr>
          <w:p>
            <w:r>
              <w:rPr>
                <w:sz w:val="17"/>
              </w:rPr>
              <w:t>P1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一级导航溢出：11 个导航项 + 灰色角标，"硬件评审"截断为"硬件评"，无横向滚动视觉提示。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导航项不可达/不可读，信息架构失控。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按角标逻辑收拢为三组下拉：工作台（我的首页/我的任务/报销/任务排期/赛季目标）、资源（应用广场/Skill中心/资料页）、评审（图纸评审/开源仓库/硬件评审）；"评审"角标保留，"资源"角标去掉。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三组下拉在 1280px 宽度下无截断；任意导航项两次点击内可达；角标与分组一致。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P2-09</w:t>
            </w:r>
          </w:p>
        </w:tc>
        <w:tc>
          <w:tcPr>
            <w:tcW w:type="dxa" w:w="794"/>
            <w:shd w:val="clear" w:fill="FFF2CC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「批量导入」暴露技术术语：名称|文件token|链接格式面向开发者，普通提交人看到"token"会懵。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普通用户误用/困惑；技术字段裸奔有安全风险。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折叠为"高级导入（维护者）"，按角色显隐；普通用户仅保留拖拽上传。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0.5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非维护者角色看不到批量导入入口；维护者导入功能不受影响。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P2-10</w:t>
            </w:r>
          </w:p>
        </w:tc>
        <w:tc>
          <w:tcPr>
            <w:tcW w:type="dxa" w:w="794"/>
            <w:shd w:val="clear" w:fill="FFF2CC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单文件 ≤10MB 对硬件格式偏小：STEP/点云易超；且无格式校验提示。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大文件上传失败无引导，反复试错。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放宽至 50MB 走分片上传，或上传区直接引导"超大文件传网盘贴链接"；补格式校验提示（DXF 版本、STEP AP203/214）。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2.0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50MB 内文件稳定上传；超限给出明确引导文案；不符合版本要求的文件在上传前被提示。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P2-11</w:t>
            </w:r>
          </w:p>
        </w:tc>
        <w:tc>
          <w:tcPr>
            <w:tcW w:type="dxa" w:w="794"/>
            <w:shd w:val="clear" w:fill="FFF2CC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评审标准不公开：提交人不知道按什么清单被审。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提交质量参差，评审一轮通过率低的隐性原因。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公示《硬件评审检查表》（原理图完整性/电源设计/接口防护/EMC 预留/可制造性），挂在流程步骤条下方，提交前可自查。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检查表在表单页可见可展开；条目与评审人实际使用的清单一致。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P2-12</w:t>
            </w:r>
          </w:p>
        </w:tc>
        <w:tc>
          <w:tcPr>
            <w:tcW w:type="dxa" w:w="794"/>
            <w:shd w:val="clear" w:fill="FFF2CC"/>
          </w:tcPr>
          <w:p>
            <w:r>
              <w:rPr>
                <w:sz w:val="17"/>
              </w:rPr>
              <w:t>P2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「代他人提交」缺选人机制：点开之后如何选目标人、权限边界均不可见。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代提交功能形同虚设，或越权代提。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加人员搜索 + 说明文案（谁能代谁提：如组长可代组员、管理员可代全员）。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可搜索选择目标人；无权限时给出边界说明；被代提人可在本人列表中看到该单。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D-13a</w:t>
            </w:r>
          </w:p>
        </w:tc>
        <w:tc>
          <w:tcPr>
            <w:tcW w:type="dxa" w:w="794"/>
            <w:shd w:val="clear" w:fill="D9EAD3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数据联动①：项目编号 ↔ 任务排期/赛季目标数据未打通。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评审与排期两套数据，项目状态需人工对齐。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项目编号与任务排期联动，评审状态回写至排期视图。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排期页可查看关联评审单及状态；状态变更自动回写。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D-13b</w:t>
            </w:r>
          </w:p>
        </w:tc>
        <w:tc>
          <w:tcPr>
            <w:tcW w:type="dxa" w:w="794"/>
            <w:shd w:val="clear" w:fill="D9EAD3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数据联动②：硬件评审单 ↔ 图纸评审单未关联（同一块板的原理图与 PCB 各自过审）。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同一硬件的多类评审单孤立，无法总览整体进度。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评审单间建立关联（同一硬件聚合展示图纸评审 + 硬件评审状态）。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1.0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从硬件评审单可跳转/查看关联图纸评审单及其状态。</w:t>
            </w:r>
          </w:p>
        </w:tc>
      </w:tr>
      <w:tr>
        <w:tc>
          <w:tcPr>
            <w:tcW w:type="dxa" w:w="794"/>
          </w:tcPr>
          <w:p>
            <w:r>
              <w:rPr>
                <w:b/>
                <w:sz w:val="17"/>
              </w:rPr>
              <w:t>D-13c</w:t>
            </w:r>
          </w:p>
        </w:tc>
        <w:tc>
          <w:tcPr>
            <w:tcW w:type="dxa" w:w="794"/>
            <w:shd w:val="clear" w:fill="D9EAD3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2381"/>
          </w:tcPr>
          <w:p>
            <w:r>
              <w:rPr>
                <w:sz w:val="17"/>
              </w:rPr>
              <w:t>数据联动③：评审结论 ↔ SKU 字段表未回写（评审状态、版本号）。</w:t>
            </w:r>
          </w:p>
        </w:tc>
        <w:tc>
          <w:tcPr>
            <w:tcW w:type="dxa" w:w="2041"/>
          </w:tcPr>
          <w:p>
            <w:r>
              <w:rPr>
                <w:sz w:val="17"/>
              </w:rPr>
              <w:t>SKU 台账中评审状态需人工维护，易滞后出错。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评审结论（状态/版本号）自动回写 SKU 字段表，作为后续 SKU 台账的回流字段。</w:t>
            </w:r>
          </w:p>
        </w:tc>
        <w:tc>
          <w:tcPr>
            <w:tcW w:type="dxa" w:w="1020"/>
          </w:tcPr>
          <w:p>
            <w:r>
              <w:rPr>
                <w:sz w:val="17"/>
              </w:rPr>
              <w:t>1.5</w:t>
            </w:r>
          </w:p>
        </w:tc>
        <w:tc>
          <w:tcPr>
            <w:tcW w:type="dxa" w:w="2608"/>
          </w:tcPr>
          <w:p>
            <w:r>
              <w:rPr>
                <w:sz w:val="17"/>
              </w:rPr>
              <w:t>评审结论变更后 SKU 字段表自动更新；字段口径与 SKU 台账设计一致。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F3B63"/>
        </w:rPr>
        <w:t>工时与优先级汇总（硬件评审章）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条目数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  <w:t>预估工时合计（人日）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4.5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8.3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21.8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F3B63"/>
        </w:rPr>
        <w:t>第二章  待合并与待补评章节</w:t>
      </w:r>
    </w:p>
    <w:p>
      <w:r>
        <w:rPr>
          <w:b/>
          <w:sz w:val="21"/>
        </w:rPr>
        <w:t>以下内容在合并为整站文档前需补齐：</w:t>
      </w:r>
    </w:p>
    <w:p>
      <w:pPr>
        <w:pStyle w:val="ListBullet"/>
      </w:pPr>
      <w:r>
        <w:rPr>
          <w:b/>
        </w:rPr>
        <w:t>首页评审：</w:t>
      </w:r>
      <w:r>
        <w:t>此前已完成评审，格式与本清单一致；需找到前次评审记录后合并入第二章。</w:t>
      </w:r>
    </w:p>
    <w:p>
      <w:pPr>
        <w:pStyle w:val="ListBullet"/>
      </w:pPr>
      <w:r>
        <w:rPr>
          <w:b/>
        </w:rPr>
        <w:t>MES 库位评审：</w:t>
      </w:r>
      <w:r>
        <w:t>同上，待合并。</w:t>
      </w:r>
    </w:p>
    <w:p>
      <w:pPr>
        <w:pStyle w:val="ListBullet"/>
      </w:pPr>
      <w:r>
        <w:rPr>
          <w:b/>
        </w:rPr>
        <w:t>合同审批评审：</w:t>
      </w:r>
      <w:r>
        <w:t>同上（本清单的量化格式即沿用该次的约定），待合并。</w:t>
      </w:r>
    </w:p>
    <w:p>
      <w:pPr>
        <w:pStyle w:val="ListBullet"/>
      </w:pPr>
      <w:r>
        <w:rPr>
          <w:b/>
        </w:rPr>
        <w:t>硬件评审页截图下半部分：</w:t>
      </w:r>
      <w:r>
        <w:t>设计说明以下区域（说明编辑器/抄送人/通知设置等）未在截图中显示，待用户补充全图后追加评审条目。</w:t>
      </w:r>
    </w:p>
    <w:p/>
    <w:p>
      <w:r>
        <w:rPr>
          <w:b w:val="0"/>
          <w:sz w:val="21"/>
        </w:rPr>
        <w:t>说明：本章节占位条目不计入工时汇总；合并后需重新编排编号并出 V2.0。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