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DF3AC5">
      <w:pPr>
        <w:ind w:firstLine="0" w:firstLineChars="0"/>
      </w:pPr>
    </w:p>
    <w:p w14:paraId="7C088BF6">
      <w:pPr>
        <w:ind w:firstLine="0" w:firstLineChars="0"/>
      </w:pPr>
    </w:p>
    <w:p w14:paraId="16E202DD">
      <w:pPr>
        <w:ind w:firstLine="0" w:firstLineChars="0"/>
      </w:pPr>
    </w:p>
    <w:p w14:paraId="1F46043B">
      <w:pPr>
        <w:ind w:firstLine="0" w:firstLineChars="0"/>
      </w:pPr>
    </w:p>
    <w:p w14:paraId="66056924">
      <w:pPr>
        <w:spacing w:after="480"/>
        <w:ind w:firstLine="0" w:firstLineChars="0"/>
        <w:jc w:val="center"/>
      </w:pPr>
      <w:r>
        <w:rPr>
          <w:rFonts w:hint="eastAsia" w:ascii="Times New Roman" w:hAnsi="Times New Roman" w:eastAsia="楷体"/>
          <w:b w:val="0"/>
          <w:color w:val="000000"/>
          <w:sz w:val="28"/>
        </w:rPr>
        <w:t>NEC 新能源开发者社区</w:t>
      </w:r>
    </w:p>
    <w:p w14:paraId="0B0E649B">
      <w:pPr>
        <w:spacing w:after="160"/>
        <w:ind w:firstLine="0" w:firstLineChars="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常州工NEC开源开发</w:t>
      </w:r>
      <w:bookmarkStart w:id="49" w:name="_GoBack"/>
      <w:bookmarkEnd w:id="49"/>
      <w:r>
        <w:rPr>
          <w:rFonts w:ascii="Times New Roman" w:hAnsi="Times New Roman" w:eastAsia="黑体"/>
          <w:b/>
          <w:color w:val="000000"/>
          <w:sz w:val="36"/>
        </w:rPr>
        <w:t>者手册</w:t>
      </w:r>
    </w:p>
    <w:p w14:paraId="1717C6EC">
      <w:pPr>
        <w:spacing w:after="720"/>
        <w:ind w:firstLine="0" w:firstLineChars="0"/>
        <w:jc w:val="center"/>
      </w:pPr>
      <w:r>
        <w:rPr>
          <w:rFonts w:hint="eastAsia" w:ascii="Times New Roman" w:hAnsi="Times New Roman" w:eastAsia="楷体"/>
          <w:b w:val="0"/>
          <w:color w:val="000000"/>
          <w:sz w:val="24"/>
        </w:rPr>
        <w:t>New Energy Coder Club</w:t>
      </w:r>
      <w:r>
        <w:rPr>
          <w:rFonts w:ascii="Times New Roman" w:hAnsi="Times New Roman" w:eastAsia="楷体"/>
          <w:b w:val="0"/>
          <w:color w:val="000000"/>
          <w:sz w:val="24"/>
        </w:rPr>
        <w:t xml:space="preserve"> Open Source Developer Handbook</w:t>
      </w:r>
    </w:p>
    <w:tbl>
      <w:tblPr>
        <w:tblStyle w:val="34"/>
        <w:tblW w:w="9069" w:type="dxa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3"/>
        <w:gridCol w:w="6426"/>
      </w:tblGrid>
      <w:tr w14:paraId="4121F7F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643" w:type="dxa"/>
            <w:vAlign w:val="center"/>
          </w:tcPr>
          <w:p w14:paraId="25EE9132">
            <w:pPr>
              <w:snapToGrid w:val="0"/>
              <w:spacing w:before="20" w:after="20" w:line="276" w:lineRule="auto"/>
              <w:ind w:left="0" w:right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主导部门</w:t>
            </w:r>
          </w:p>
        </w:tc>
        <w:tc>
          <w:tcPr>
            <w:tcW w:w="6426" w:type="dxa"/>
            <w:vAlign w:val="center"/>
          </w:tcPr>
          <w:p w14:paraId="7AB2E0E4">
            <w:pPr>
              <w:snapToGrid w:val="0"/>
              <w:spacing w:before="20" w:after="20" w:line="276" w:lineRule="auto"/>
              <w:ind w:left="0" w:right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NEC开源社区管理委员会</w:t>
            </w:r>
          </w:p>
        </w:tc>
      </w:tr>
      <w:tr w14:paraId="0575EA2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643" w:type="dxa"/>
            <w:vAlign w:val="center"/>
          </w:tcPr>
          <w:p w14:paraId="10F769C3">
            <w:pPr>
              <w:snapToGrid w:val="0"/>
              <w:spacing w:before="20" w:after="20" w:line="276" w:lineRule="auto"/>
              <w:ind w:left="0" w:right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支持部门</w:t>
            </w:r>
          </w:p>
        </w:tc>
        <w:tc>
          <w:tcPr>
            <w:tcW w:w="6426" w:type="dxa"/>
            <w:vAlign w:val="center"/>
          </w:tcPr>
          <w:p w14:paraId="443AB3D8">
            <w:pPr>
              <w:snapToGrid w:val="0"/>
              <w:spacing w:before="20" w:after="20" w:line="276" w:lineRule="auto"/>
              <w:ind w:left="0" w:right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指导教师团队</w:t>
            </w:r>
          </w:p>
        </w:tc>
      </w:tr>
      <w:tr w14:paraId="60C0600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643" w:type="dxa"/>
            <w:vAlign w:val="center"/>
          </w:tcPr>
          <w:p w14:paraId="6168118B">
            <w:pPr>
              <w:snapToGrid w:val="0"/>
              <w:spacing w:before="20" w:after="20" w:line="276" w:lineRule="auto"/>
              <w:ind w:left="0" w:right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审批</w:t>
            </w:r>
          </w:p>
        </w:tc>
        <w:tc>
          <w:tcPr>
            <w:tcW w:w="6426" w:type="dxa"/>
            <w:vAlign w:val="center"/>
          </w:tcPr>
          <w:p w14:paraId="71D5447F">
            <w:pPr>
              <w:snapToGrid w:val="0"/>
              <w:spacing w:before="20" w:after="20" w:line="276" w:lineRule="auto"/>
              <w:ind w:left="0" w:right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管理委员会</w:t>
            </w:r>
          </w:p>
        </w:tc>
      </w:tr>
      <w:tr w14:paraId="129274A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643" w:type="dxa"/>
            <w:vAlign w:val="center"/>
          </w:tcPr>
          <w:p w14:paraId="1931E9CA">
            <w:pPr>
              <w:snapToGrid w:val="0"/>
              <w:spacing w:before="20" w:after="20" w:line="276" w:lineRule="auto"/>
              <w:ind w:left="0" w:right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版本</w:t>
            </w:r>
          </w:p>
        </w:tc>
        <w:tc>
          <w:tcPr>
            <w:tcW w:w="6426" w:type="dxa"/>
            <w:vAlign w:val="center"/>
          </w:tcPr>
          <w:p w14:paraId="5086A3FE">
            <w:pPr>
              <w:snapToGrid w:val="0"/>
              <w:spacing w:before="20" w:after="20" w:line="276" w:lineRule="auto"/>
              <w:ind w:left="0" w:right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V1.0</w:t>
            </w:r>
          </w:p>
        </w:tc>
      </w:tr>
      <w:tr w14:paraId="4CDE41D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643" w:type="dxa"/>
            <w:vAlign w:val="center"/>
          </w:tcPr>
          <w:p w14:paraId="12167A1A">
            <w:pPr>
              <w:snapToGrid w:val="0"/>
              <w:spacing w:before="20" w:after="20" w:line="276" w:lineRule="auto"/>
              <w:ind w:left="0" w:right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生效日期</w:t>
            </w:r>
          </w:p>
        </w:tc>
        <w:tc>
          <w:tcPr>
            <w:tcW w:w="6426" w:type="dxa"/>
            <w:vAlign w:val="center"/>
          </w:tcPr>
          <w:p w14:paraId="3BC4A636">
            <w:pPr>
              <w:snapToGrid w:val="0"/>
              <w:spacing w:before="20" w:after="20" w:line="276" w:lineRule="auto"/>
              <w:ind w:left="0" w:right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2026-10-01</w:t>
            </w:r>
          </w:p>
        </w:tc>
      </w:tr>
    </w:tbl>
    <w:p w14:paraId="4E88782B">
      <w:pPr>
        <w:ind w:firstLine="0" w:firstLineChars="0"/>
      </w:pPr>
    </w:p>
    <w:p w14:paraId="57E7BA62">
      <w:pPr>
        <w:ind w:firstLine="0" w:firstLineChars="0"/>
      </w:pPr>
    </w:p>
    <w:p w14:paraId="5B3F7308">
      <w:pPr>
        <w:spacing w:before="600"/>
        <w:ind w:firstLine="0" w:firstLineChars="0"/>
        <w:jc w:val="center"/>
        <w:rPr>
          <w:rFonts w:ascii="Times New Roman" w:hAnsi="Times New Roman" w:eastAsia="宋体"/>
          <w:b w:val="0"/>
          <w:color w:val="000000"/>
          <w:sz w:val="21"/>
        </w:rPr>
      </w:pPr>
    </w:p>
    <w:p w14:paraId="63812CD6">
      <w:pPr>
        <w:spacing w:before="600"/>
        <w:ind w:firstLine="0" w:firstLineChars="0"/>
        <w:jc w:val="center"/>
        <w:rPr>
          <w:rFonts w:ascii="Times New Roman" w:hAnsi="Times New Roman" w:eastAsia="宋体"/>
          <w:b w:val="0"/>
          <w:color w:val="000000"/>
          <w:sz w:val="21"/>
        </w:rPr>
      </w:pPr>
    </w:p>
    <w:p w14:paraId="6754D6FF">
      <w:pPr>
        <w:spacing w:before="600"/>
        <w:ind w:firstLine="0" w:firstLineChars="0"/>
        <w:jc w:val="center"/>
        <w:rPr>
          <w:rFonts w:ascii="Times New Roman" w:hAnsi="Times New Roman" w:eastAsia="宋体"/>
          <w:b w:val="0"/>
          <w:color w:val="000000"/>
          <w:sz w:val="21"/>
        </w:rPr>
      </w:pPr>
    </w:p>
    <w:p w14:paraId="2B44D5C0">
      <w:pPr>
        <w:spacing w:before="600"/>
        <w:ind w:firstLine="0" w:firstLineChars="0"/>
        <w:jc w:val="center"/>
        <w:rPr>
          <w:rFonts w:ascii="Times New Roman" w:hAnsi="Times New Roman" w:eastAsia="宋体"/>
          <w:b w:val="0"/>
          <w:color w:val="000000"/>
          <w:sz w:val="21"/>
        </w:rPr>
      </w:pPr>
    </w:p>
    <w:p w14:paraId="2C79C7E4">
      <w:pPr>
        <w:spacing w:before="600"/>
        <w:ind w:firstLine="0" w:firstLineChars="0"/>
        <w:jc w:val="center"/>
        <w:rPr>
          <w:rFonts w:ascii="Times New Roman" w:hAnsi="Times New Roman" w:eastAsia="宋体"/>
          <w:b w:val="0"/>
          <w:color w:val="000000"/>
          <w:sz w:val="21"/>
        </w:rPr>
      </w:pPr>
    </w:p>
    <w:p w14:paraId="43AF6F00">
      <w:pPr>
        <w:spacing w:before="600"/>
        <w:ind w:firstLine="0" w:firstLineChars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版本号：V1.0</w:t>
      </w:r>
    </w:p>
    <w:p w14:paraId="0D5E22AF">
      <w:r>
        <w:br w:type="page"/>
      </w:r>
    </w:p>
    <w:p w14:paraId="6729D2BE">
      <w:pPr>
        <w:spacing w:after="240"/>
        <w:ind w:firstLine="0" w:firstLineChars="0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目录</w:t>
      </w:r>
    </w:p>
    <w:p w14:paraId="28694931">
      <w:pPr>
        <w:pStyle w:val="26"/>
        <w:tabs>
          <w:tab w:val="right" w:leader="dot" w:pos="9072"/>
        </w:tabs>
      </w:pPr>
      <w:r>
        <w:fldChar w:fldCharType="begin"/>
        <w:instrText xml:space="preserve"> TOC \o "1-2" \h \z \u </w:instrText>
        <w:fldChar w:fldCharType="separate"/>
        <w:fldChar w:fldCharType="begin"/>
        <w:instrText xml:space="preserve"> HYPERLINK \l "_LarkToc00001" </w:instrText>
        <w:fldChar w:fldCharType="separate"/>
        <w:t>前言</w:t>
        <w:tab/>
        <w:fldChar w:fldCharType="begin"/>
        <w:instrText xml:space="preserve"> PAGEREF _LarkToc00001 \h </w:instrText>
        <w:fldChar w:fldCharType="separate"/>
        <w:t>1</w:t>
        <w:fldChar w:fldCharType="end"/>
        <w:fldChar w:fldCharType="end"/>
      </w:r>
    </w:p>
    <w:p w14:paraId="351754F9">
      <w:pPr>
        <w:pStyle w:val="26"/>
        <w:tabs>
          <w:tab w:val="right" w:leader="dot" w:pos="9072"/>
        </w:tabs>
      </w:pPr>
      <w:r>
        <w:fldChar w:fldCharType="begin"/>
        <w:instrText xml:space="preserve"> HYPERLINK \l "_LarkToc00002" </w:instrText>
        <w:fldChar w:fldCharType="separate"/>
        <w:t>声明</w:t>
        <w:tab/>
        <w:fldChar w:fldCharType="begin"/>
        <w:instrText xml:space="preserve"> PAGEREF _LarkToc00002 \h </w:instrText>
        <w:fldChar w:fldCharType="separate"/>
        <w:t>1</w:t>
        <w:fldChar w:fldCharType="end"/>
        <w:fldChar w:fldCharType="end"/>
      </w:r>
    </w:p>
    <w:p w14:paraId="3419B8E4">
      <w:pPr>
        <w:pStyle w:val="26"/>
        <w:tabs>
          <w:tab w:val="right" w:leader="dot" w:pos="9072"/>
        </w:tabs>
      </w:pPr>
      <w:r>
        <w:fldChar w:fldCharType="begin"/>
        <w:instrText xml:space="preserve"> HYPERLINK \l "_LarkToc00003" </w:instrText>
        <w:fldChar w:fldCharType="separate"/>
        <w:t>第一章 组织介绍</w:t>
        <w:tab/>
        <w:fldChar w:fldCharType="begin"/>
        <w:instrText xml:space="preserve"> PAGEREF _LarkToc00003 \h </w:instrText>
        <w:fldChar w:fldCharType="separate"/>
        <w:t>2</w:t>
        <w:fldChar w:fldCharType="end"/>
        <w:fldChar w:fldCharType="end"/>
      </w:r>
    </w:p>
    <w:p w14:paraId="32B59D66">
      <w:pPr>
        <w:pStyle w:val="29"/>
        <w:tabs>
          <w:tab w:val="right" w:leader="dot" w:pos="9072"/>
        </w:tabs>
      </w:pPr>
      <w:r>
        <w:fldChar w:fldCharType="begin"/>
        <w:instrText xml:space="preserve"> HYPERLINK \l "_LarkToc00004" </w:instrText>
        <w:fldChar w:fldCharType="separate"/>
        <w:t>1.1 NEC开源社区的事业</w:t>
        <w:tab/>
        <w:fldChar w:fldCharType="begin"/>
        <w:instrText xml:space="preserve"> PAGEREF _LarkToc00004 \h </w:instrText>
        <w:fldChar w:fldCharType="separate"/>
        <w:t>2</w:t>
        <w:fldChar w:fldCharType="end"/>
        <w:fldChar w:fldCharType="end"/>
      </w:r>
    </w:p>
    <w:p w14:paraId="51E8231C">
      <w:pPr>
        <w:pStyle w:val="29"/>
        <w:tabs>
          <w:tab w:val="right" w:leader="dot" w:pos="9072"/>
        </w:tabs>
      </w:pPr>
      <w:r>
        <w:fldChar w:fldCharType="begin"/>
        <w:instrText xml:space="preserve"> HYPERLINK \l "_LarkToc00005" </w:instrText>
        <w:fldChar w:fldCharType="separate"/>
        <w:t>1.2 NEC开源社区的文化</w:t>
        <w:tab/>
        <w:fldChar w:fldCharType="begin"/>
        <w:instrText xml:space="preserve"> PAGEREF _LarkToc00005 \h </w:instrText>
        <w:fldChar w:fldCharType="separate"/>
        <w:t>3</w:t>
        <w:fldChar w:fldCharType="end"/>
        <w:fldChar w:fldCharType="end"/>
      </w:r>
    </w:p>
    <w:p w14:paraId="10C62C22">
      <w:pPr>
        <w:pStyle w:val="26"/>
        <w:tabs>
          <w:tab w:val="right" w:leader="dot" w:pos="9072"/>
        </w:tabs>
      </w:pPr>
      <w:r>
        <w:fldChar w:fldCharType="begin"/>
        <w:instrText xml:space="preserve"> HYPERLINK \l "_LarkToc00006" </w:instrText>
        <w:fldChar w:fldCharType="separate"/>
        <w:t>第二章 成员身份与转变管理</w:t>
        <w:tab/>
        <w:fldChar w:fldCharType="begin"/>
        <w:instrText xml:space="preserve"> PAGEREF _LarkToc00006 \h </w:instrText>
        <w:fldChar w:fldCharType="separate"/>
        <w:t>4</w:t>
        <w:fldChar w:fldCharType="end"/>
        <w:fldChar w:fldCharType="end"/>
      </w:r>
    </w:p>
    <w:p w14:paraId="0A91558D">
      <w:pPr>
        <w:pStyle w:val="29"/>
        <w:tabs>
          <w:tab w:val="right" w:leader="dot" w:pos="9072"/>
        </w:tabs>
      </w:pPr>
      <w:r>
        <w:fldChar w:fldCharType="begin"/>
        <w:instrText xml:space="preserve"> HYPERLINK \l "_LarkToc00007" </w:instrText>
        <w:fldChar w:fldCharType="separate"/>
        <w:t>2.1 身份体系总览</w:t>
        <w:tab/>
        <w:fldChar w:fldCharType="begin"/>
        <w:instrText xml:space="preserve"> PAGEREF _LarkToc00007 \h </w:instrText>
        <w:fldChar w:fldCharType="separate"/>
        <w:t>4</w:t>
        <w:fldChar w:fldCharType="end"/>
        <w:fldChar w:fldCharType="end"/>
      </w:r>
    </w:p>
    <w:p w14:paraId="4E0DC683">
      <w:pPr>
        <w:pStyle w:val="29"/>
        <w:tabs>
          <w:tab w:val="right" w:leader="dot" w:pos="9072"/>
        </w:tabs>
      </w:pPr>
      <w:r>
        <w:fldChar w:fldCharType="begin"/>
        <w:instrText xml:space="preserve"> HYPERLINK \l "_LarkToc00008" </w:instrText>
        <w:fldChar w:fldCharType="separate"/>
        <w:t>2.2 加入与招募</w:t>
        <w:tab/>
        <w:fldChar w:fldCharType="begin"/>
        <w:instrText xml:space="preserve"> PAGEREF _LarkToc00008 \h </w:instrText>
        <w:fldChar w:fldCharType="separate"/>
        <w:t>5</w:t>
        <w:fldChar w:fldCharType="end"/>
        <w:fldChar w:fldCharType="end"/>
      </w:r>
    </w:p>
    <w:p w14:paraId="7291C1E5">
      <w:pPr>
        <w:pStyle w:val="29"/>
        <w:tabs>
          <w:tab w:val="right" w:leader="dot" w:pos="9072"/>
        </w:tabs>
      </w:pPr>
      <w:r>
        <w:fldChar w:fldCharType="begin"/>
        <w:instrText xml:space="preserve"> HYPERLINK \l "_LarkToc00009" </w:instrText>
        <w:fldChar w:fldCharType="separate"/>
        <w:t>2.3 身份转变</w:t>
        <w:tab/>
        <w:fldChar w:fldCharType="begin"/>
        <w:instrText xml:space="preserve"> PAGEREF _LarkToc00009 \h </w:instrText>
        <w:fldChar w:fldCharType="separate"/>
        <w:t>6</w:t>
        <w:fldChar w:fldCharType="end"/>
        <w:fldChar w:fldCharType="end"/>
      </w:r>
    </w:p>
    <w:p w14:paraId="11289DBE">
      <w:pPr>
        <w:pStyle w:val="29"/>
        <w:tabs>
          <w:tab w:val="right" w:leader="dot" w:pos="9072"/>
        </w:tabs>
      </w:pPr>
      <w:r>
        <w:fldChar w:fldCharType="begin"/>
        <w:instrText xml:space="preserve"> HYPERLINK \l "_LarkToc00010" </w:instrText>
        <w:fldChar w:fldCharType="separate"/>
        <w:t>2.4 身份降级与退出</w:t>
        <w:tab/>
        <w:fldChar w:fldCharType="begin"/>
        <w:instrText xml:space="preserve"> PAGEREF _LarkToc00010 \h </w:instrText>
        <w:fldChar w:fldCharType="separate"/>
        <w:t>7</w:t>
        <w:fldChar w:fldCharType="end"/>
        <w:fldChar w:fldCharType="end"/>
      </w:r>
    </w:p>
    <w:p w14:paraId="2DB3435D">
      <w:pPr>
        <w:pStyle w:val="29"/>
        <w:tabs>
          <w:tab w:val="right" w:leader="dot" w:pos="9072"/>
        </w:tabs>
      </w:pPr>
      <w:r>
        <w:fldChar w:fldCharType="begin"/>
        <w:instrText xml:space="preserve"> HYPERLINK \l "_LarkToc00011" </w:instrText>
        <w:fldChar w:fldCharType="separate"/>
        <w:t>2.5 组会考勤制度</w:t>
        <w:tab/>
        <w:fldChar w:fldCharType="begin"/>
        <w:instrText xml:space="preserve"> PAGEREF _LarkToc00011 \h </w:instrText>
        <w:fldChar w:fldCharType="separate"/>
        <w:t>7</w:t>
        <w:fldChar w:fldCharType="end"/>
        <w:fldChar w:fldCharType="end"/>
      </w:r>
    </w:p>
    <w:p w14:paraId="7ABAD34D">
      <w:pPr>
        <w:pStyle w:val="29"/>
        <w:tabs>
          <w:tab w:val="right" w:leader="dot" w:pos="9072"/>
        </w:tabs>
      </w:pPr>
      <w:r>
        <w:fldChar w:fldCharType="begin"/>
        <w:instrText xml:space="preserve"> HYPERLINK \l "_LarkToc00012" </w:instrText>
        <w:fldChar w:fldCharType="separate"/>
        <w:t>2.6 权限矩阵</w:t>
        <w:tab/>
        <w:fldChar w:fldCharType="begin"/>
        <w:instrText xml:space="preserve"> PAGEREF _LarkToc00012 \h </w:instrText>
        <w:fldChar w:fldCharType="separate"/>
        <w:t>8</w:t>
        <w:fldChar w:fldCharType="end"/>
        <w:fldChar w:fldCharType="end"/>
      </w:r>
    </w:p>
    <w:p w14:paraId="424D8F00">
      <w:pPr>
        <w:pStyle w:val="29"/>
        <w:tabs>
          <w:tab w:val="right" w:leader="dot" w:pos="9072"/>
        </w:tabs>
      </w:pPr>
      <w:r>
        <w:fldChar w:fldCharType="begin"/>
        <w:instrText xml:space="preserve"> HYPERLINK \l "_LarkToc00013" </w:instrText>
        <w:fldChar w:fldCharType="separate"/>
        <w:t>2.7 贡献评估</w:t>
        <w:tab/>
        <w:fldChar w:fldCharType="begin"/>
        <w:instrText xml:space="preserve"> PAGEREF _LarkToc00013 \h </w:instrText>
        <w:fldChar w:fldCharType="separate"/>
        <w:t>8</w:t>
        <w:fldChar w:fldCharType="end"/>
        <w:fldChar w:fldCharType="end"/>
      </w:r>
    </w:p>
    <w:p w14:paraId="4C2B7B38">
      <w:pPr>
        <w:pStyle w:val="26"/>
        <w:tabs>
          <w:tab w:val="right" w:leader="dot" w:pos="9072"/>
        </w:tabs>
      </w:pPr>
      <w:r>
        <w:fldChar w:fldCharType="begin"/>
        <w:instrText xml:space="preserve"> HYPERLINK \l "_LarkToc00014" </w:instrText>
        <w:fldChar w:fldCharType="separate"/>
        <w:t>第三章 开源相关限制</w:t>
        <w:tab/>
        <w:fldChar w:fldCharType="begin"/>
        <w:instrText xml:space="preserve"> PAGEREF _LarkToc00014 \h </w:instrText>
        <w:fldChar w:fldCharType="separate"/>
        <w:t>9</w:t>
        <w:fldChar w:fldCharType="end"/>
        <w:fldChar w:fldCharType="end"/>
      </w:r>
    </w:p>
    <w:p w14:paraId="2CA5C72E">
      <w:pPr>
        <w:pStyle w:val="29"/>
        <w:tabs>
          <w:tab w:val="right" w:leader="dot" w:pos="9072"/>
        </w:tabs>
      </w:pPr>
      <w:r>
        <w:fldChar w:fldCharType="begin"/>
        <w:instrText xml:space="preserve"> HYPERLINK \l "_LarkToc00015" </w:instrText>
        <w:fldChar w:fldCharType="separate"/>
        <w:t>3.1 开源协议与许可证</w:t>
        <w:tab/>
        <w:fldChar w:fldCharType="begin"/>
        <w:instrText xml:space="preserve"> PAGEREF _LarkToc00015 \h </w:instrText>
        <w:fldChar w:fldCharType="separate"/>
        <w:t>9</w:t>
        <w:fldChar w:fldCharType="end"/>
        <w:fldChar w:fldCharType="end"/>
      </w:r>
    </w:p>
    <w:p w14:paraId="007084C3">
      <w:pPr>
        <w:pStyle w:val="29"/>
        <w:tabs>
          <w:tab w:val="right" w:leader="dot" w:pos="9072"/>
        </w:tabs>
      </w:pPr>
      <w:r>
        <w:fldChar w:fldCharType="begin"/>
        <w:instrText xml:space="preserve"> HYPERLINK \l "_LarkToc00016" </w:instrText>
        <w:fldChar w:fldCharType="separate"/>
        <w:t>3.2 代码与数据保密边界</w:t>
        <w:tab/>
        <w:fldChar w:fldCharType="begin"/>
        <w:instrText xml:space="preserve"> PAGEREF _LarkToc00016 \h </w:instrText>
        <w:fldChar w:fldCharType="separate"/>
        <w:t>9</w:t>
        <w:fldChar w:fldCharType="end"/>
        <w:fldChar w:fldCharType="end"/>
      </w:r>
    </w:p>
    <w:p w14:paraId="6FCCB8D0">
      <w:pPr>
        <w:pStyle w:val="29"/>
        <w:tabs>
          <w:tab w:val="right" w:leader="dot" w:pos="9072"/>
        </w:tabs>
      </w:pPr>
      <w:r>
        <w:fldChar w:fldCharType="begin"/>
        <w:instrText xml:space="preserve"> HYPERLINK \l "_LarkToc00017" </w:instrText>
        <w:fldChar w:fldCharType="separate"/>
        <w:t>3.3 发布与外部行为限制</w:t>
        <w:tab/>
        <w:fldChar w:fldCharType="begin"/>
        <w:instrText xml:space="preserve"> PAGEREF _LarkToc00017 \h </w:instrText>
        <w:fldChar w:fldCharType="separate"/>
        <w:t>10</w:t>
        <w:fldChar w:fldCharType="end"/>
        <w:fldChar w:fldCharType="end"/>
      </w:r>
    </w:p>
    <w:p w14:paraId="4FEE2248">
      <w:pPr>
        <w:pStyle w:val="29"/>
        <w:tabs>
          <w:tab w:val="right" w:leader="dot" w:pos="9072"/>
        </w:tabs>
      </w:pPr>
      <w:r>
        <w:fldChar w:fldCharType="begin"/>
        <w:instrText xml:space="preserve"> HYPERLINK \l "_LarkToc00018" </w:instrText>
        <w:fldChar w:fldCharType="separate"/>
        <w:t>3.4 知识产权与署名</w:t>
        <w:tab/>
        <w:fldChar w:fldCharType="begin"/>
        <w:instrText xml:space="preserve"> PAGEREF _LarkToc00018 \h </w:instrText>
        <w:fldChar w:fldCharType="separate"/>
        <w:t>10</w:t>
        <w:fldChar w:fldCharType="end"/>
        <w:fldChar w:fldCharType="end"/>
      </w:r>
    </w:p>
    <w:p w14:paraId="75454CB7">
      <w:pPr>
        <w:pStyle w:val="26"/>
        <w:tabs>
          <w:tab w:val="right" w:leader="dot" w:pos="9072"/>
        </w:tabs>
      </w:pPr>
      <w:r>
        <w:fldChar w:fldCharType="begin"/>
        <w:instrText xml:space="preserve"> HYPERLINK \l "_LarkToc00019" </w:instrText>
        <w:fldChar w:fldCharType="separate"/>
        <w:t>第四章 CLI 使用规范</w:t>
        <w:tab/>
        <w:fldChar w:fldCharType="begin"/>
        <w:instrText xml:space="preserve"> PAGEREF _LarkToc00019 \h </w:instrText>
        <w:fldChar w:fldCharType="separate"/>
        <w:t>11</w:t>
        <w:fldChar w:fldCharType="end"/>
        <w:fldChar w:fldCharType="end"/>
      </w:r>
    </w:p>
    <w:p w14:paraId="08D1CD96">
      <w:pPr>
        <w:pStyle w:val="29"/>
        <w:tabs>
          <w:tab w:val="right" w:leader="dot" w:pos="9072"/>
        </w:tabs>
      </w:pPr>
      <w:r>
        <w:fldChar w:fldCharType="begin"/>
        <w:instrText xml:space="preserve"> HYPERLINK \l "_LarkToc00020" </w:instrText>
        <w:fldChar w:fldCharType="separate"/>
        <w:t>4.1 环境与工具</w:t>
        <w:tab/>
        <w:fldChar w:fldCharType="begin"/>
        <w:instrText xml:space="preserve"> PAGEREF _LarkToc00020 \h </w:instrText>
        <w:fldChar w:fldCharType="separate"/>
        <w:t>11</w:t>
        <w:fldChar w:fldCharType="end"/>
        <w:fldChar w:fldCharType="end"/>
      </w:r>
    </w:p>
    <w:p w14:paraId="18CA6352">
      <w:pPr>
        <w:pStyle w:val="29"/>
        <w:tabs>
          <w:tab w:val="right" w:leader="dot" w:pos="9072"/>
        </w:tabs>
      </w:pPr>
      <w:r>
        <w:fldChar w:fldCharType="begin"/>
        <w:instrText xml:space="preserve"> HYPERLINK \l "_LarkToc00021" </w:instrText>
        <w:fldChar w:fldCharType="separate"/>
        <w:t>4.2 Git 常用命令规范</w:t>
        <w:tab/>
        <w:fldChar w:fldCharType="begin"/>
        <w:instrText xml:space="preserve"> PAGEREF _LarkToc00021 \h </w:instrText>
        <w:fldChar w:fldCharType="separate"/>
        <w:t>11</w:t>
        <w:fldChar w:fldCharType="end"/>
        <w:fldChar w:fldCharType="end"/>
      </w:r>
    </w:p>
    <w:p w14:paraId="36976190">
      <w:pPr>
        <w:pStyle w:val="29"/>
        <w:tabs>
          <w:tab w:val="right" w:leader="dot" w:pos="9072"/>
        </w:tabs>
      </w:pPr>
      <w:r>
        <w:fldChar w:fldCharType="begin"/>
        <w:instrText xml:space="preserve"> HYPERLINK \l "_LarkToc00022" </w:instrText>
        <w:fldChar w:fldCharType="separate"/>
        <w:t>4.3 分支与提交规范</w:t>
        <w:tab/>
        <w:fldChar w:fldCharType="begin"/>
        <w:instrText xml:space="preserve"> PAGEREF _LarkToc00022 \h </w:instrText>
        <w:fldChar w:fldCharType="separate"/>
        <w:t>12</w:t>
        <w:fldChar w:fldCharType="end"/>
        <w:fldChar w:fldCharType="end"/>
      </w:r>
    </w:p>
    <w:p w14:paraId="75ADE551">
      <w:pPr>
        <w:pStyle w:val="29"/>
        <w:tabs>
          <w:tab w:val="right" w:leader="dot" w:pos="9072"/>
        </w:tabs>
      </w:pPr>
      <w:r>
        <w:fldChar w:fldCharType="begin"/>
        <w:instrText xml:space="preserve"> HYPERLINK \l "_LarkToc00023" </w:instrText>
        <w:fldChar w:fldCharType="separate"/>
        <w:t>4.4 仓库操作限制</w:t>
        <w:tab/>
        <w:fldChar w:fldCharType="begin"/>
        <w:instrText xml:space="preserve"> PAGEREF _LarkToc00023 \h </w:instrText>
        <w:fldChar w:fldCharType="separate"/>
        <w:t>12</w:t>
        <w:fldChar w:fldCharType="end"/>
        <w:fldChar w:fldCharType="end"/>
      </w:r>
    </w:p>
    <w:p w14:paraId="3F45E520">
      <w:pPr>
        <w:pStyle w:val="26"/>
        <w:tabs>
          <w:tab w:val="right" w:leader="dot" w:pos="9072"/>
        </w:tabs>
      </w:pPr>
      <w:r>
        <w:fldChar w:fldCharType="begin"/>
        <w:instrText xml:space="preserve"> HYPERLINK \l "_LarkToc00024" </w:instrText>
        <w:fldChar w:fldCharType="separate"/>
        <w:t>第五章 代码贡献规范</w:t>
        <w:tab/>
        <w:fldChar w:fldCharType="begin"/>
        <w:instrText xml:space="preserve"> PAGEREF _LarkToc00024 \h </w:instrText>
        <w:fldChar w:fldCharType="separate"/>
        <w:t>12</w:t>
        <w:fldChar w:fldCharType="end"/>
        <w:fldChar w:fldCharType="end"/>
      </w:r>
    </w:p>
    <w:p w14:paraId="7B818B0A">
      <w:pPr>
        <w:pStyle w:val="29"/>
        <w:tabs>
          <w:tab w:val="right" w:leader="dot" w:pos="9072"/>
        </w:tabs>
      </w:pPr>
      <w:r>
        <w:fldChar w:fldCharType="begin"/>
        <w:instrText xml:space="preserve"> HYPERLINK \l "_LarkToc00025" </w:instrText>
        <w:fldChar w:fldCharType="separate"/>
        <w:t>5.1 代码贡献流程</w:t>
        <w:tab/>
        <w:fldChar w:fldCharType="begin"/>
        <w:instrText xml:space="preserve"> PAGEREF _LarkToc00025 \h </w:instrText>
        <w:fldChar w:fldCharType="separate"/>
        <w:t>12</w:t>
        <w:fldChar w:fldCharType="end"/>
        <w:fldChar w:fldCharType="end"/>
      </w:r>
    </w:p>
    <w:p w14:paraId="7F5070F1">
      <w:pPr>
        <w:pStyle w:val="29"/>
        <w:tabs>
          <w:tab w:val="right" w:leader="dot" w:pos="9072"/>
        </w:tabs>
      </w:pPr>
      <w:r>
        <w:fldChar w:fldCharType="begin"/>
        <w:instrText xml:space="preserve"> HYPERLINK \l "_LarkToc00026" </w:instrText>
        <w:fldChar w:fldCharType="separate"/>
        <w:t>5.2 Issue 规范</w:t>
        <w:tab/>
        <w:fldChar w:fldCharType="begin"/>
        <w:instrText xml:space="preserve"> PAGEREF _LarkToc00026 \h </w:instrText>
        <w:fldChar w:fldCharType="separate"/>
        <w:t>13</w:t>
        <w:fldChar w:fldCharType="end"/>
        <w:fldChar w:fldCharType="end"/>
      </w:r>
    </w:p>
    <w:p w14:paraId="4867CAD3">
      <w:pPr>
        <w:pStyle w:val="29"/>
        <w:tabs>
          <w:tab w:val="right" w:leader="dot" w:pos="9072"/>
        </w:tabs>
      </w:pPr>
      <w:r>
        <w:fldChar w:fldCharType="begin"/>
        <w:instrText xml:space="preserve"> HYPERLINK \l "_LarkToc00027" </w:instrText>
        <w:fldChar w:fldCharType="separate"/>
        <w:t>5.3 代码质量要求</w:t>
        <w:tab/>
        <w:fldChar w:fldCharType="begin"/>
        <w:instrText xml:space="preserve"> PAGEREF _LarkToc00027 \h </w:instrText>
        <w:fldChar w:fldCharType="separate"/>
        <w:t>13</w:t>
        <w:fldChar w:fldCharType="end"/>
        <w:fldChar w:fldCharType="end"/>
      </w:r>
    </w:p>
    <w:p w14:paraId="7014D14E">
      <w:pPr>
        <w:pStyle w:val="29"/>
        <w:tabs>
          <w:tab w:val="right" w:leader="dot" w:pos="9072"/>
        </w:tabs>
      </w:pPr>
      <w:r>
        <w:fldChar w:fldCharType="begin"/>
        <w:instrText xml:space="preserve"> HYPERLINK \l "_LarkToc00028" </w:instrText>
        <w:fldChar w:fldCharType="separate"/>
        <w:t>5.4 代码评审（Code Review）规范</w:t>
        <w:tab/>
        <w:fldChar w:fldCharType="begin"/>
        <w:instrText xml:space="preserve"> PAGEREF _LarkToc00028 \h </w:instrText>
        <w:fldChar w:fldCharType="separate"/>
        <w:t>13</w:t>
        <w:fldChar w:fldCharType="end"/>
        <w:fldChar w:fldCharType="end"/>
      </w:r>
    </w:p>
    <w:p w14:paraId="6A654702">
      <w:pPr>
        <w:pStyle w:val="29"/>
        <w:tabs>
          <w:tab w:val="right" w:leader="dot" w:pos="9072"/>
        </w:tabs>
      </w:pPr>
      <w:r>
        <w:fldChar w:fldCharType="begin"/>
        <w:instrText xml:space="preserve"> HYPERLINK \l "_LarkToc00029" </w:instrText>
        <w:fldChar w:fldCharType="separate"/>
        <w:t>5.5 安全要求</w:t>
        <w:tab/>
        <w:fldChar w:fldCharType="begin"/>
        <w:instrText xml:space="preserve"> PAGEREF _LarkToc00029 \h </w:instrText>
        <w:fldChar w:fldCharType="separate"/>
        <w:t>14</w:t>
        <w:fldChar w:fldCharType="end"/>
        <w:fldChar w:fldCharType="end"/>
      </w:r>
    </w:p>
    <w:p w14:paraId="2E0F4DD1">
      <w:pPr>
        <w:pStyle w:val="26"/>
        <w:tabs>
          <w:tab w:val="right" w:leader="dot" w:pos="9072"/>
        </w:tabs>
      </w:pPr>
      <w:r>
        <w:fldChar w:fldCharType="begin"/>
        <w:instrText xml:space="preserve"> HYPERLINK \l "_LarkToc00030" </w:instrText>
        <w:fldChar w:fldCharType="separate"/>
        <w:t>第六章 协作贡献规范</w:t>
        <w:tab/>
        <w:fldChar w:fldCharType="begin"/>
        <w:instrText xml:space="preserve"> PAGEREF _LarkToc00030 \h </w:instrText>
        <w:fldChar w:fldCharType="separate"/>
        <w:t>14</w:t>
        <w:fldChar w:fldCharType="end"/>
        <w:fldChar w:fldCharType="end"/>
      </w:r>
    </w:p>
    <w:p w14:paraId="6ADE42FD">
      <w:pPr>
        <w:pStyle w:val="29"/>
        <w:tabs>
          <w:tab w:val="right" w:leader="dot" w:pos="9072"/>
        </w:tabs>
      </w:pPr>
      <w:r>
        <w:fldChar w:fldCharType="begin"/>
        <w:instrText xml:space="preserve"> HYPERLINK \l "_LarkToc00031" </w:instrText>
        <w:fldChar w:fldCharType="separate"/>
        <w:t>6.1 文档贡献</w:t>
        <w:tab/>
        <w:fldChar w:fldCharType="begin"/>
        <w:instrText xml:space="preserve"> PAGEREF _LarkToc00031 \h </w:instrText>
        <w:fldChar w:fldCharType="separate"/>
        <w:t>14</w:t>
        <w:fldChar w:fldCharType="end"/>
        <w:fldChar w:fldCharType="end"/>
      </w:r>
    </w:p>
    <w:p w14:paraId="1E5D62C0">
      <w:pPr>
        <w:pStyle w:val="29"/>
        <w:tabs>
          <w:tab w:val="right" w:leader="dot" w:pos="9072"/>
        </w:tabs>
      </w:pPr>
      <w:r>
        <w:fldChar w:fldCharType="begin"/>
        <w:instrText xml:space="preserve"> HYPERLINK \l "_LarkToc00032" </w:instrText>
        <w:fldChar w:fldCharType="separate"/>
        <w:t>6.2 组会与汇报</w:t>
        <w:tab/>
        <w:fldChar w:fldCharType="begin"/>
        <w:instrText xml:space="preserve"> PAGEREF _LarkToc00032 \h </w:instrText>
        <w:fldChar w:fldCharType="separate"/>
        <w:t>15</w:t>
        <w:fldChar w:fldCharType="end"/>
        <w:fldChar w:fldCharType="end"/>
      </w:r>
    </w:p>
    <w:p w14:paraId="77637DC9">
      <w:pPr>
        <w:pStyle w:val="29"/>
        <w:tabs>
          <w:tab w:val="right" w:leader="dot" w:pos="9072"/>
        </w:tabs>
      </w:pPr>
      <w:r>
        <w:fldChar w:fldCharType="begin"/>
        <w:instrText xml:space="preserve"> HYPERLINK \l "_LarkToc00033" </w:instrText>
        <w:fldChar w:fldCharType="separate"/>
        <w:t>6.3 带教与培训</w:t>
        <w:tab/>
        <w:fldChar w:fldCharType="begin"/>
        <w:instrText xml:space="preserve"> PAGEREF _LarkToc00033 \h </w:instrText>
        <w:fldChar w:fldCharType="separate"/>
        <w:t>15</w:t>
        <w:fldChar w:fldCharType="end"/>
        <w:fldChar w:fldCharType="end"/>
      </w:r>
    </w:p>
    <w:p w14:paraId="620B6564">
      <w:pPr>
        <w:pStyle w:val="29"/>
        <w:tabs>
          <w:tab w:val="right" w:leader="dot" w:pos="9072"/>
        </w:tabs>
      </w:pPr>
      <w:r>
        <w:fldChar w:fldCharType="begin"/>
        <w:instrText xml:space="preserve"> HYPERLINK \l "_LarkToc00034" </w:instrText>
        <w:fldChar w:fldCharType="separate"/>
        <w:t>6.4 社区运营</w:t>
        <w:tab/>
        <w:fldChar w:fldCharType="begin"/>
        <w:instrText xml:space="preserve"> PAGEREF _LarkToc00034 \h </w:instrText>
        <w:fldChar w:fldCharType="separate"/>
        <w:t>15</w:t>
        <w:fldChar w:fldCharType="end"/>
        <w:fldChar w:fldCharType="end"/>
      </w:r>
    </w:p>
    <w:p w14:paraId="34AEAC16">
      <w:pPr>
        <w:pStyle w:val="29"/>
        <w:tabs>
          <w:tab w:val="right" w:leader="dot" w:pos="9072"/>
        </w:tabs>
      </w:pPr>
      <w:r>
        <w:fldChar w:fldCharType="begin"/>
        <w:instrText xml:space="preserve"> HYPERLINK \l "_LarkToc00035" </w:instrText>
        <w:fldChar w:fldCharType="separate"/>
        <w:t>6.5 协作礼仪与行为准则</w:t>
        <w:tab/>
        <w:fldChar w:fldCharType="begin"/>
        <w:instrText xml:space="preserve"> PAGEREF _LarkToc00035 \h </w:instrText>
        <w:fldChar w:fldCharType="separate"/>
        <w:t>15</w:t>
        <w:fldChar w:fldCharType="end"/>
        <w:fldChar w:fldCharType="end"/>
      </w:r>
    </w:p>
    <w:p w14:paraId="03D1D10A">
      <w:pPr>
        <w:pStyle w:val="26"/>
        <w:tabs>
          <w:tab w:val="right" w:leader="dot" w:pos="9072"/>
        </w:tabs>
      </w:pPr>
      <w:r>
        <w:fldChar w:fldCharType="begin"/>
        <w:instrText xml:space="preserve"> HYPERLINK \l "_LarkToc00036" </w:instrText>
        <w:fldChar w:fldCharType="separate"/>
        <w:t>第七章 项目制与沟通管理</w:t>
        <w:tab/>
        <w:fldChar w:fldCharType="begin"/>
        <w:instrText xml:space="preserve"> PAGEREF _LarkToc00036 \h </w:instrText>
        <w:fldChar w:fldCharType="separate"/>
        <w:t>16</w:t>
        <w:fldChar w:fldCharType="end"/>
        <w:fldChar w:fldCharType="end"/>
      </w:r>
    </w:p>
    <w:p w14:paraId="067FD892">
      <w:pPr>
        <w:pStyle w:val="29"/>
        <w:tabs>
          <w:tab w:val="right" w:leader="dot" w:pos="9072"/>
        </w:tabs>
      </w:pPr>
      <w:r>
        <w:fldChar w:fldCharType="begin"/>
        <w:instrText xml:space="preserve"> HYPERLINK \l "_LarkToc00037" </w:instrText>
        <w:fldChar w:fldCharType="separate"/>
        <w:t>7.1 项目制划分</w:t>
        <w:tab/>
        <w:fldChar w:fldCharType="begin"/>
        <w:instrText xml:space="preserve"> PAGEREF _LarkToc00037 \h </w:instrText>
        <w:fldChar w:fldCharType="separate"/>
        <w:t>16</w:t>
        <w:fldChar w:fldCharType="end"/>
        <w:fldChar w:fldCharType="end"/>
      </w:r>
    </w:p>
    <w:p w14:paraId="077A4B4A">
      <w:pPr>
        <w:pStyle w:val="29"/>
        <w:tabs>
          <w:tab w:val="right" w:leader="dot" w:pos="9072"/>
        </w:tabs>
      </w:pPr>
      <w:r>
        <w:fldChar w:fldCharType="begin"/>
        <w:instrText xml:space="preserve"> HYPERLINK \l "_LarkToc00038" </w:instrText>
        <w:fldChar w:fldCharType="separate"/>
        <w:t>7.2 组会制度</w:t>
        <w:tab/>
        <w:fldChar w:fldCharType="begin"/>
        <w:instrText xml:space="preserve"> PAGEREF _LarkToc00038 \h </w:instrText>
        <w:fldChar w:fldCharType="separate"/>
        <w:t>16</w:t>
        <w:fldChar w:fldCharType="end"/>
        <w:fldChar w:fldCharType="end"/>
      </w:r>
    </w:p>
    <w:p w14:paraId="0B6C345A">
      <w:pPr>
        <w:pStyle w:val="29"/>
        <w:tabs>
          <w:tab w:val="right" w:leader="dot" w:pos="9072"/>
        </w:tabs>
      </w:pPr>
      <w:r>
        <w:fldChar w:fldCharType="begin"/>
        <w:instrText xml:space="preserve"> HYPERLINK \l "_LarkToc00039" </w:instrText>
        <w:fldChar w:fldCharType="separate"/>
        <w:t>7.3 沟通渠道</w:t>
        <w:tab/>
        <w:fldChar w:fldCharType="begin"/>
        <w:instrText xml:space="preserve"> PAGEREF _LarkToc00039 \h </w:instrText>
        <w:fldChar w:fldCharType="separate"/>
        <w:t>16</w:t>
        <w:fldChar w:fldCharType="end"/>
        <w:fldChar w:fldCharType="end"/>
      </w:r>
    </w:p>
    <w:p w14:paraId="71F76B5C">
      <w:pPr>
        <w:pStyle w:val="26"/>
        <w:tabs>
          <w:tab w:val="right" w:leader="dot" w:pos="9072"/>
        </w:tabs>
      </w:pPr>
      <w:r>
        <w:fldChar w:fldCharType="begin"/>
        <w:instrText xml:space="preserve"> HYPERLINK \l "_LarkToc00040" </w:instrText>
        <w:fldChar w:fldCharType="separate"/>
        <w:t>第八章 激励与负向事件管理</w:t>
        <w:tab/>
        <w:fldChar w:fldCharType="begin"/>
        <w:instrText xml:space="preserve"> PAGEREF _LarkToc00040 \h </w:instrText>
        <w:fldChar w:fldCharType="separate"/>
        <w:t>17</w:t>
        <w:fldChar w:fldCharType="end"/>
        <w:fldChar w:fldCharType="end"/>
      </w:r>
    </w:p>
    <w:p w14:paraId="6BB0BFA9">
      <w:pPr>
        <w:pStyle w:val="29"/>
        <w:tabs>
          <w:tab w:val="right" w:leader="dot" w:pos="9072"/>
        </w:tabs>
      </w:pPr>
      <w:r>
        <w:fldChar w:fldCharType="begin"/>
        <w:instrText xml:space="preserve"> HYPERLINK \l "_LarkToc00041" </w:instrText>
        <w:fldChar w:fldCharType="separate"/>
        <w:t>8.1 激励措施</w:t>
        <w:tab/>
        <w:fldChar w:fldCharType="begin"/>
        <w:instrText xml:space="preserve"> PAGEREF _LarkToc00041 \h </w:instrText>
        <w:fldChar w:fldCharType="separate"/>
        <w:t>17</w:t>
        <w:fldChar w:fldCharType="end"/>
        <w:fldChar w:fldCharType="end"/>
      </w:r>
    </w:p>
    <w:p w14:paraId="6EA18483">
      <w:pPr>
        <w:pStyle w:val="29"/>
        <w:tabs>
          <w:tab w:val="right" w:leader="dot" w:pos="9072"/>
        </w:tabs>
      </w:pPr>
      <w:r>
        <w:fldChar w:fldCharType="begin"/>
        <w:instrText xml:space="preserve"> HYPERLINK \l "_LarkToc00042" </w:instrText>
        <w:fldChar w:fldCharType="separate"/>
        <w:t>8.2 负向事件类型</w:t>
        <w:tab/>
        <w:fldChar w:fldCharType="begin"/>
        <w:instrText xml:space="preserve"> PAGEREF _LarkToc00042 \h </w:instrText>
        <w:fldChar w:fldCharType="separate"/>
        <w:t>17</w:t>
        <w:fldChar w:fldCharType="end"/>
        <w:fldChar w:fldCharType="end"/>
      </w:r>
    </w:p>
    <w:p w14:paraId="45BEA452">
      <w:pPr>
        <w:pStyle w:val="29"/>
        <w:tabs>
          <w:tab w:val="right" w:leader="dot" w:pos="9072"/>
        </w:tabs>
      </w:pPr>
      <w:r>
        <w:fldChar w:fldCharType="begin"/>
        <w:instrText xml:space="preserve"> HYPERLINK \l "_LarkToc00043" </w:instrText>
        <w:fldChar w:fldCharType="separate"/>
        <w:t>8.3 处分类型与问责</w:t>
        <w:tab/>
        <w:fldChar w:fldCharType="begin"/>
        <w:instrText xml:space="preserve"> PAGEREF _LarkToc00043 \h </w:instrText>
        <w:fldChar w:fldCharType="separate"/>
        <w:t>18</w:t>
        <w:fldChar w:fldCharType="end"/>
        <w:fldChar w:fldCharType="end"/>
      </w:r>
    </w:p>
    <w:p w14:paraId="04ABAC65">
      <w:pPr>
        <w:pStyle w:val="29"/>
        <w:tabs>
          <w:tab w:val="right" w:leader="dot" w:pos="9072"/>
        </w:tabs>
      </w:pPr>
      <w:r>
        <w:fldChar w:fldCharType="begin"/>
        <w:instrText xml:space="preserve"> HYPERLINK \l "_LarkToc00044" </w:instrText>
        <w:fldChar w:fldCharType="separate"/>
        <w:t>8.4 申诉机制</w:t>
        <w:tab/>
        <w:fldChar w:fldCharType="begin"/>
        <w:instrText xml:space="preserve"> PAGEREF _LarkToc00044 \h </w:instrText>
        <w:fldChar w:fldCharType="separate"/>
        <w:t>18</w:t>
        <w:fldChar w:fldCharType="end"/>
        <w:fldChar w:fldCharType="end"/>
      </w:r>
    </w:p>
    <w:p w14:paraId="242935C0">
      <w:pPr>
        <w:pStyle w:val="26"/>
        <w:tabs>
          <w:tab w:val="right" w:leader="dot" w:pos="9072"/>
        </w:tabs>
      </w:pPr>
      <w:r>
        <w:fldChar w:fldCharType="begin"/>
        <w:instrText xml:space="preserve"> HYPERLINK \l "_LarkToc00045" </w:instrText>
        <w:fldChar w:fldCharType="separate"/>
        <w:t>第九章 生效、变更与确认</w:t>
        <w:tab/>
        <w:fldChar w:fldCharType="begin"/>
        <w:instrText xml:space="preserve"> PAGEREF _LarkToc00045 \h </w:instrText>
        <w:fldChar w:fldCharType="separate"/>
        <w:t>19</w:t>
        <w:fldChar w:fldCharType="end"/>
        <w:fldChar w:fldCharType="end"/>
      </w:r>
    </w:p>
    <w:p w14:paraId="03AA9994">
      <w:pPr>
        <w:pStyle w:val="29"/>
        <w:tabs>
          <w:tab w:val="right" w:leader="dot" w:pos="9072"/>
        </w:tabs>
      </w:pPr>
      <w:r>
        <w:fldChar w:fldCharType="begin"/>
        <w:instrText xml:space="preserve"> HYPERLINK \l "_LarkToc00046" </w:instrText>
        <w:fldChar w:fldCharType="separate"/>
        <w:t>9.1 生效</w:t>
        <w:tab/>
        <w:fldChar w:fldCharType="begin"/>
        <w:instrText xml:space="preserve"> PAGEREF _LarkToc00046 \h </w:instrText>
        <w:fldChar w:fldCharType="separate"/>
        <w:t>19</w:t>
        <w:fldChar w:fldCharType="end"/>
        <w:fldChar w:fldCharType="end"/>
      </w:r>
    </w:p>
    <w:p w14:paraId="4121C630">
      <w:pPr>
        <w:pStyle w:val="29"/>
        <w:tabs>
          <w:tab w:val="right" w:leader="dot" w:pos="9072"/>
        </w:tabs>
      </w:pPr>
      <w:r>
        <w:fldChar w:fldCharType="begin"/>
        <w:instrText xml:space="preserve"> HYPERLINK \l "_LarkToc00047" </w:instrText>
        <w:fldChar w:fldCharType="separate"/>
        <w:t>9.2 变更</w:t>
        <w:tab/>
        <w:fldChar w:fldCharType="begin"/>
        <w:instrText xml:space="preserve"> PAGEREF _LarkToc00047 \h </w:instrText>
        <w:fldChar w:fldCharType="separate"/>
        <w:t>19</w:t>
        <w:fldChar w:fldCharType="end"/>
        <w:fldChar w:fldCharType="end"/>
      </w:r>
    </w:p>
    <w:p w14:paraId="422E3BD3">
      <w:pPr>
        <w:pStyle w:val="29"/>
        <w:tabs>
          <w:tab w:val="right" w:leader="dot" w:pos="9072"/>
        </w:tabs>
      </w:pPr>
      <w:r>
        <w:fldChar w:fldCharType="begin"/>
        <w:instrText xml:space="preserve"> HYPERLINK \l "_LarkToc00048" </w:instrText>
        <w:fldChar w:fldCharType="separate"/>
        <w:t>9.3 其他</w:t>
        <w:tab/>
        <w:fldChar w:fldCharType="begin"/>
        <w:instrText xml:space="preserve"> PAGEREF _LarkToc00048 \h </w:instrText>
        <w:fldChar w:fldCharType="separate"/>
        <w:t>19</w:t>
        <w:fldChar w:fldCharType="end"/>
        <w:fldChar w:fldCharType="end"/>
      </w:r>
    </w:p>
    <w:p w14:paraId="31B261C3">
      <w:pPr>
        <w:pStyle w:val="26"/>
        <w:tabs>
          <w:tab w:val="right" w:leader="dot" w:pos="9072"/>
        </w:tabs>
      </w:pPr>
      <w:r>
        <w:fldChar w:fldCharType="begin"/>
        <w:instrText xml:space="preserve"> HYPERLINK \l "_LarkToc00049" </w:instrText>
        <w:fldChar w:fldCharType="separate"/>
        <w:t>开发者承诺书</w:t>
        <w:tab/>
        <w:fldChar w:fldCharType="begin"/>
        <w:instrText xml:space="preserve"> PAGEREF _LarkToc00049 \h </w:instrText>
        <w:fldChar w:fldCharType="separate"/>
        <w:t>19</w:t>
        <w:fldChar w:fldCharType="end"/>
        <w:fldChar w:fldCharType="end"/>
        <w:fldChar w:fldCharType="end"/>
      </w:r>
    </w:p>
    <w:p w14:paraId="0A0A267A">
      <w:pPr>
        <w:sectPr>
          <w:headerReference r:id="rId5" w:type="default"/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13C12058">
      <w:pPr>
        <w:pStyle w:val="3"/>
      </w:pPr>
      <w:bookmarkStart w:id="0" w:name="_LarkToc00001"/>
      <w:r>
        <w:rPr>
          <w:rFonts w:ascii="Times New Roman" w:hAnsi="Times New Roman" w:eastAsia="黑体"/>
          <w:b/>
          <w:color w:val="000000"/>
          <w:sz w:val="32"/>
        </w:rPr>
        <w:t>前言</w:t>
      </w:r>
      <w:bookmarkEnd w:id="0"/>
    </w:p>
    <w:p w14:paraId="04377816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亲爱的开发者：</w:t>
      </w:r>
    </w:p>
    <w:p w14:paraId="7D2A272B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当您读到这本《常州工NEC开源开发者手册》（以下简称“本手册”）的时候，意味着您已成为常州工NEC开源社区的一员。NEC开源社区管理委员会（以下简称“管理委员会”）代表全体成员欢迎您的到来。</w:t>
      </w:r>
    </w:p>
    <w:p w14:paraId="03C265DF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本手册依据《常州工NEC开源社区章程》及社区相关规定制定。本手册包含社区介绍、成员身份与转变、开源相关限制、CLI使用规范、代码贡献规范、协作贡献规范、项目制与组会制度、激励与负向事件管理等方面的信息，明确成员与社区之间的权利和义务，规范成员应遵守的条款，指导成员按社区认同的方式参与开源共建，以确保社区项目可持续地健康发展并提高协作效率，请大家仔细阅读。</w:t>
      </w:r>
    </w:p>
    <w:p w14:paraId="7655CD50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本手册适用于常州工NEC开源社区全体成员，包括实习生（Watcher）、试用期（Committer）、正式成员（Developer）与核心成员（Maintainer）；参与社区开源项目的校内外协作者参照本手册的约束性规定执行，具体以社区解释为准。</w:t>
      </w:r>
    </w:p>
    <w:p w14:paraId="00BB2CE1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本手册经社区管理委员会审议通过后发布，对全体成员具有约束力。</w:t>
      </w:r>
    </w:p>
    <w:p w14:paraId="1EF456E9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本手册所提及的所有条款和政策信息，社区有权根据实际运营情况和项目发展不时进行修改调整，具体调整以管理委员会通告为准。如您对本手册的社区政策和相关流程存在任何疑问，请与您所在项目的负责人或管理委员会联系。本手册所载内容如有与国家法律法规相冲突或法律法规有更新的，参照国家法律法规执行。管理委员会保留本手册内容的最终解释权。</w:t>
      </w:r>
    </w:p>
    <w:p w14:paraId="3567457A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本手册所涉及的内容，仅供社区内部使用。未经管理委员会书面同意，不得将手册内容提供给社区以外的人员。</w:t>
      </w:r>
    </w:p>
    <w:p w14:paraId="4032DEEC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祝您在常州工NEC开源社区协作愉快，不断进步！</w:t>
      </w:r>
    </w:p>
    <w:p w14:paraId="36ECFF47">
      <w:pPr>
        <w:spacing w:before="240"/>
        <w:ind w:firstLine="0" w:firstLineChars="0"/>
        <w:jc w:val="right"/>
      </w:pPr>
      <w:r>
        <w:rPr>
          <w:rFonts w:ascii="Times New Roman" w:hAnsi="Times New Roman" w:eastAsia="宋体"/>
          <w:b w:val="0"/>
          <w:color w:val="000000"/>
          <w:sz w:val="24"/>
        </w:rPr>
        <w:t>常州工NEC开源社区管理委员会</w:t>
      </w:r>
    </w:p>
    <w:p w14:paraId="46570E3F">
      <w:pPr>
        <w:pStyle w:val="3"/>
      </w:pPr>
      <w:bookmarkStart w:id="1" w:name="_LarkToc00002"/>
      <w:r>
        <w:rPr>
          <w:rFonts w:ascii="Times New Roman" w:hAnsi="Times New Roman" w:eastAsia="黑体"/>
          <w:b/>
          <w:color w:val="000000"/>
          <w:sz w:val="32"/>
        </w:rPr>
        <w:t>声明</w:t>
      </w:r>
      <w:bookmarkEnd w:id="1"/>
    </w:p>
    <w:p w14:paraId="47D4633A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我们将遵守开源精神及适用的国家法律法规，如《中华人民共和国著作权法》《中华人民共和国数据安全法》《中华人民共和国个人信息保护法》等，承诺不从事如下活动：抄袭他人代码或成果、伪造贡献记录、贩卖或非法交易社区数据（含个人信息）、窃取未开源技术资料、侵犯第三方知识产权等非法活动。</w:t>
      </w:r>
    </w:p>
    <w:p w14:paraId="5694A284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我们尊重开源许可证与上游项目版权。所有代码贡献按项目约定许可证授权，不进行许可证污染，不擅自变更项目开源协议。</w:t>
      </w:r>
    </w:p>
    <w:p w14:paraId="437481E6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我们尊重每一个成员的意愿，禁止骚扰、虐待和歧视，营造平等、开放、包容的协作环境。成员在加入、培训、晋升与日常协作中不因种族、国籍、民族、宗教信仰、性别、年龄、身体或精神状况、婚姻状况等因素受到歧视，也不允许对以上个人特质做出歧视性行为或发表歧视性言论。</w:t>
      </w:r>
    </w:p>
    <w:p w14:paraId="1983ED10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我们尊重成员的合法表达权利，努力创造开放式的沟通环境，鼓励成员与管理委员会自由地谈论自己的想法、顾虑或问题，鼓励成员相互沟通、分享建议。</w:t>
      </w:r>
    </w:p>
    <w:p w14:paraId="37098351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我们依法保障成员的个人信息合法权益，按照《中华人民共和国个人信息保护法》等相关法律法规规定处理成员个人信息。</w:t>
      </w:r>
    </w:p>
    <w:p w14:paraId="67ECE6E1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我们鼓励成员真实、客观地贡献与反馈，反对任何形式的虚假贡献、刷量行为和恶意投诉。</w:t>
      </w:r>
    </w:p>
    <w:p w14:paraId="00EE0BA4">
      <w:pPr>
        <w:pStyle w:val="3"/>
      </w:pPr>
      <w:bookmarkStart w:id="2" w:name="_LarkToc00003"/>
      <w:r>
        <w:rPr>
          <w:rFonts w:ascii="Times New Roman" w:hAnsi="Times New Roman" w:eastAsia="黑体"/>
          <w:b/>
          <w:color w:val="000000"/>
          <w:sz w:val="32"/>
        </w:rPr>
        <w:t>第一章 组织介绍</w:t>
      </w:r>
      <w:bookmarkEnd w:id="2"/>
    </w:p>
    <w:p w14:paraId="351EE2A3">
      <w:pPr>
        <w:pStyle w:val="4"/>
      </w:pPr>
      <w:bookmarkStart w:id="3" w:name="_LarkToc00004"/>
      <w:r>
        <w:rPr>
          <w:rFonts w:ascii="Times New Roman" w:hAnsi="Times New Roman" w:eastAsia="黑体"/>
          <w:b/>
          <w:color w:val="000000"/>
          <w:sz w:val="28"/>
        </w:rPr>
        <w:t>1.1 NEC开源社区的事业</w:t>
      </w:r>
      <w:bookmarkEnd w:id="3"/>
    </w:p>
    <w:p w14:paraId="29BD87E6">
      <w:pPr>
        <w:pStyle w:val="5"/>
      </w:pPr>
      <w:r>
        <w:rPr>
          <w:rFonts w:ascii="Times New Roman" w:hAnsi="Times New Roman" w:eastAsia="黑体"/>
          <w:b/>
          <w:color w:val="000000"/>
          <w:sz w:val="24"/>
        </w:rPr>
        <w:t>1.1.1 社区定位</w:t>
      </w:r>
    </w:p>
    <w:p w14:paraId="5D6FE608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常州工NEC开源社区（以下简称“社区”）是常州工学院学生机器人创新团队NEC发起并运营的开源开发者组织，面向全国大学生机器人大赛（China University Robot Competition，CURC）ROBOCON赛项以及机器人、嵌入式、软件等方向的开源项目，开展代码开发、文档共建与技术协作。</w:t>
      </w:r>
    </w:p>
    <w:p w14:paraId="055960A0">
      <w:pPr>
        <w:pStyle w:val="5"/>
      </w:pPr>
      <w:r>
        <w:rPr>
          <w:rFonts w:ascii="Times New Roman" w:hAnsi="Times New Roman" w:eastAsia="黑体"/>
          <w:b/>
          <w:color w:val="000000"/>
          <w:sz w:val="24"/>
        </w:rPr>
        <w:t>1.1.2 赛事背景</w:t>
      </w:r>
    </w:p>
    <w:p w14:paraId="7A26B5AA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CURC-ROBOCON是全国大学生机器人大赛（CURC）下设赛项之一，由全国大学生机器人大赛组委会主办，自2002年起每年举办一届，是国内技术挑战性最强、参与高校最广的大学生机器人赛事之一，赛事的冠军队代表中国参加亚太大学生机器人大赛（ABU ROBOCON）。社区围绕赛事持续沉淀技术积累，以开源方式反哺成员成长。</w:t>
      </w:r>
    </w:p>
    <w:p w14:paraId="5F01A0CA">
      <w:pPr>
        <w:pStyle w:val="5"/>
      </w:pPr>
      <w:r>
        <w:rPr>
          <w:rFonts w:ascii="Times New Roman" w:hAnsi="Times New Roman" w:eastAsia="黑体"/>
          <w:b/>
          <w:color w:val="000000"/>
          <w:sz w:val="24"/>
        </w:rPr>
        <w:t>1.1.3 社区使命</w:t>
      </w:r>
    </w:p>
    <w:p w14:paraId="6CCF8453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以开源方式沉淀技术积累，以项目制培养工程能力，以开放协作促进共同成长。社区的每一个仓库、每一行代码、每一份文档，都是成员共同的技术资产。</w:t>
      </w:r>
    </w:p>
    <w:p w14:paraId="5CF0092F">
      <w:pPr>
        <w:pStyle w:val="4"/>
      </w:pPr>
      <w:bookmarkStart w:id="4" w:name="_LarkToc00005"/>
      <w:r>
        <w:rPr>
          <w:rFonts w:ascii="Times New Roman" w:hAnsi="Times New Roman" w:eastAsia="黑体"/>
          <w:b/>
          <w:color w:val="000000"/>
          <w:sz w:val="28"/>
        </w:rPr>
        <w:t>1.2 NEC开源社区的文化</w:t>
      </w:r>
      <w:bookmarkEnd w:id="4"/>
    </w:p>
    <w:p w14:paraId="694C93E2">
      <w:pPr>
        <w:pStyle w:val="5"/>
      </w:pPr>
      <w:r>
        <w:rPr>
          <w:rFonts w:ascii="Times New Roman" w:hAnsi="Times New Roman" w:eastAsia="黑体"/>
          <w:b/>
          <w:color w:val="000000"/>
          <w:sz w:val="24"/>
        </w:rPr>
        <w:t>1.2.1 核心价值观</w:t>
      </w:r>
    </w:p>
    <w:p w14:paraId="5C791C6C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开放共享，精益求精，真诚协作，奖惩分明。</w:t>
      </w:r>
    </w:p>
    <w:p w14:paraId="220F391A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开放共享：</w:t>
      </w:r>
    </w:p>
    <w:p w14:paraId="46F9CAE2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1) 代码与知识默认开放，能公开的尽量公开；</w:t>
      </w:r>
    </w:p>
    <w:p w14:paraId="4DA23AE2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2) 主动分享所学，教会别人才是真掌握；</w:t>
      </w:r>
    </w:p>
    <w:p w14:paraId="3BF5D1AA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3) 尊重上游与社区贡献，注明来源。</w:t>
      </w:r>
    </w:p>
    <w:p w14:paraId="4EBD09F9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精益求精：</w:t>
      </w:r>
    </w:p>
    <w:p w14:paraId="22BAC4EA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1) 每周一问：“我们今天做的事，有没有比上周更好的方法”；</w:t>
      </w:r>
    </w:p>
    <w:p w14:paraId="6179D2EA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2) 允许试错：创新失败不追责，但需分享“这次我们学到了什么”；</w:t>
      </w:r>
    </w:p>
    <w:p w14:paraId="28B28FF9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3) 代码与文档追求可读、可维护、可复现。</w:t>
      </w:r>
    </w:p>
    <w:p w14:paraId="5AC429BB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真诚协作：</w:t>
      </w:r>
    </w:p>
    <w:p w14:paraId="42480826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1) 当面反馈：有问题第一时间找当事人沟通，而非背后议论；</w:t>
      </w:r>
    </w:p>
    <w:p w14:paraId="289EF32A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2) 主动求助：遇到困难时坦率开口，不因面子耽误进度；</w:t>
      </w:r>
    </w:p>
    <w:p w14:paraId="43CBC582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3) 看见即回应：伙伴需要支持时，看见就是责任。</w:t>
      </w:r>
    </w:p>
    <w:p w14:paraId="4441976E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奖惩分明：</w:t>
      </w:r>
    </w:p>
    <w:p w14:paraId="378F7FDD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1) 标准前置：项目启动时即明确“做成什么样算合格，做到什么程度算优秀”；</w:t>
      </w:r>
    </w:p>
    <w:p w14:paraId="00D9259F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2) 主动认领：奖励不搞平均主义，谁贡献大谁站出来认领；</w:t>
      </w:r>
    </w:p>
    <w:p w14:paraId="28A3F374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3) 接受反馈：对评定有异议时，有明确的申诉通道和复议机制。</w:t>
      </w:r>
    </w:p>
    <w:p w14:paraId="0BB81836">
      <w:pPr>
        <w:pStyle w:val="5"/>
      </w:pPr>
      <w:r>
        <w:rPr>
          <w:rFonts w:ascii="Times New Roman" w:hAnsi="Times New Roman" w:eastAsia="黑体"/>
          <w:b/>
          <w:color w:val="000000"/>
          <w:sz w:val="24"/>
        </w:rPr>
        <w:t>1.2.2 成员精神</w:t>
      </w:r>
    </w:p>
    <w:p w14:paraId="45691040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多本领，敢决策，能扛事，高机动，能补位。</w:t>
      </w:r>
    </w:p>
    <w:p w14:paraId="6955EA72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多本领：</w:t>
      </w:r>
    </w:p>
    <w:p w14:paraId="153C8044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1) 每学期掌握一项与项目相关的新技能；</w:t>
      </w:r>
    </w:p>
    <w:p w14:paraId="1BA283C1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2) 主动分享所学，教会别人才是真掌握；</w:t>
      </w:r>
    </w:p>
    <w:p w14:paraId="6B9B32FF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3) 跨界学习：写代码的同学懂点硬件，做硬件的同学懂点工具链。</w:t>
      </w:r>
    </w:p>
    <w:p w14:paraId="7FC87575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敢决策：</w:t>
      </w:r>
    </w:p>
    <w:p w14:paraId="215662C0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1) 职权范围内的事，不等指示自己拍板；</w:t>
      </w:r>
    </w:p>
    <w:p w14:paraId="18D522FC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2) 决策前主动征求相关方意见；</w:t>
      </w:r>
    </w:p>
    <w:p w14:paraId="24039B33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3) 决策后敢于承担结果，不推诿不甩锅。</w:t>
      </w:r>
    </w:p>
    <w:p w14:paraId="6F917F2E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能扛事：</w:t>
      </w:r>
    </w:p>
    <w:p w14:paraId="096B1A06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1) 遇到难题时第一反应是“我来想办法”；</w:t>
      </w:r>
    </w:p>
    <w:p w14:paraId="449BB762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2) 不把问题上交，带着方案向上沟通；</w:t>
      </w:r>
    </w:p>
    <w:p w14:paraId="0BE8BE7D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3) 项目延期了主动复盘，而不是等问责。</w:t>
      </w:r>
    </w:p>
    <w:p w14:paraId="275B98E1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高机动：</w:t>
      </w:r>
    </w:p>
    <w:p w14:paraId="7212CF40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1) 接到任务24小时内必有反馈；</w:t>
      </w:r>
    </w:p>
    <w:p w14:paraId="0AE6B974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2) 计划赶不上变化时，快速调整而非固守原方案；</w:t>
      </w:r>
    </w:p>
    <w:p w14:paraId="67AC044E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3) 主动发现流程卡点，推动优化而非抱怨。</w:t>
      </w:r>
    </w:p>
    <w:p w14:paraId="1B7481E1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能补位：</w:t>
      </w:r>
    </w:p>
    <w:p w14:paraId="07027EDF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1) 看到伙伴忙不过来时，主动问一句“需要搭把手吗”；</w:t>
      </w:r>
    </w:p>
    <w:p w14:paraId="5F52848F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2) 发现空白地带，不等待分工先顶上；</w:t>
      </w:r>
    </w:p>
    <w:p w14:paraId="255874B0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3) 功劳面前退一步，责任面前进一步。</w:t>
      </w:r>
    </w:p>
    <w:p w14:paraId="4011E2C7">
      <w:pPr>
        <w:pStyle w:val="5"/>
      </w:pPr>
      <w:r>
        <w:rPr>
          <w:rFonts w:ascii="Times New Roman" w:hAnsi="Times New Roman" w:eastAsia="黑体"/>
          <w:b/>
          <w:color w:val="000000"/>
          <w:sz w:val="24"/>
        </w:rPr>
        <w:t>1.2.3 伙伴文化</w:t>
      </w:r>
    </w:p>
    <w:p w14:paraId="364C532A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成员伙伴——营造开放、包容的共创氛围；</w:t>
      </w:r>
    </w:p>
    <w:p w14:paraId="49ABBEFA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项目伙伴——以项目为纽带长期协作，共同成长；</w:t>
      </w:r>
    </w:p>
    <w:p w14:paraId="5E5974B6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赛事伙伴——围绕CURC-ROBOCON并肩作战，赛训结合；</w:t>
      </w:r>
    </w:p>
    <w:p w14:paraId="7A409129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校际伙伴——与兄弟高校开源社区开放交流，共建共享。</w:t>
      </w:r>
    </w:p>
    <w:p w14:paraId="0E5F5484">
      <w:pPr>
        <w:pStyle w:val="3"/>
      </w:pPr>
      <w:bookmarkStart w:id="5" w:name="_LarkToc00006"/>
      <w:r>
        <w:rPr>
          <w:rFonts w:ascii="Times New Roman" w:hAnsi="Times New Roman" w:eastAsia="黑体"/>
          <w:b/>
          <w:color w:val="000000"/>
          <w:sz w:val="32"/>
        </w:rPr>
        <w:t>第二章 成员身份与转变管理</w:t>
      </w:r>
      <w:bookmarkEnd w:id="5"/>
    </w:p>
    <w:p w14:paraId="1BA069E1">
      <w:pPr>
        <w:pStyle w:val="4"/>
      </w:pPr>
      <w:bookmarkStart w:id="6" w:name="_LarkToc00007"/>
      <w:r>
        <w:rPr>
          <w:rFonts w:ascii="Times New Roman" w:hAnsi="Times New Roman" w:eastAsia="黑体"/>
          <w:b/>
          <w:color w:val="000000"/>
          <w:sz w:val="28"/>
        </w:rPr>
        <w:t>2.1 身份体系总览</w:t>
      </w:r>
      <w:bookmarkEnd w:id="6"/>
    </w:p>
    <w:p w14:paraId="27D7A07D">
      <w:pPr>
        <w:pStyle w:val="5"/>
      </w:pPr>
      <w:r>
        <w:rPr>
          <w:rFonts w:ascii="Times New Roman" w:hAnsi="Times New Roman" w:eastAsia="黑体"/>
          <w:b/>
          <w:color w:val="000000"/>
          <w:sz w:val="24"/>
        </w:rPr>
        <w:t>2.1.1 四级身份</w:t>
      </w:r>
    </w:p>
    <w:p w14:paraId="6EF2FE36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社区成员按照“实习生（Watcher）—试用期（Committer）—正式成员（Developer）”三个类别建立基础通道，另设核心成员（Maintainer）通道。四类身份构成社区完整的成员体系，身份决定了成员的权限、职责与发展路径。</w:t>
      </w:r>
    </w:p>
    <w:p w14:paraId="5E799789">
      <w:pPr>
        <w:keepNext/>
        <w:spacing w:before="120" w:after="80"/>
        <w:ind w:firstLine="0" w:firstLineChars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表2-1 成员身份一览表</w:t>
      </w:r>
    </w:p>
    <w:tbl>
      <w:tblPr>
        <w:tblStyle w:val="34"/>
        <w:tblW w:w="9072" w:type="dxa"/>
        <w:tblInd w:w="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4"/>
        <w:gridCol w:w="1190"/>
        <w:gridCol w:w="1360"/>
        <w:gridCol w:w="2778"/>
        <w:gridCol w:w="2097"/>
      </w:tblGrid>
      <w:tr w14:paraId="557F476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644" w:type="dxa"/>
            <w:shd w:val="clear" w:color="auto" w:fill="D9D9D9"/>
            <w:vAlign w:val="center"/>
          </w:tcPr>
          <w:p w14:paraId="24710A0C">
            <w:pPr>
              <w:spacing w:before="20" w:after="20" w:line="276" w:lineRule="auto"/>
              <w:ind w:left="0" w:right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身份</w:t>
            </w:r>
          </w:p>
        </w:tc>
        <w:tc>
          <w:tcPr>
            <w:tcW w:w="1191" w:type="dxa"/>
            <w:shd w:val="clear" w:color="auto" w:fill="D9D9D9"/>
            <w:vAlign w:val="center"/>
          </w:tcPr>
          <w:p w14:paraId="6AEB47D5">
            <w:pPr>
              <w:spacing w:before="20" w:after="20" w:line="276" w:lineRule="auto"/>
              <w:ind w:left="0" w:right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定位</w:t>
            </w:r>
          </w:p>
        </w:tc>
        <w:tc>
          <w:tcPr>
            <w:tcW w:w="1361" w:type="dxa"/>
            <w:shd w:val="clear" w:color="auto" w:fill="D9D9D9"/>
            <w:vAlign w:val="center"/>
          </w:tcPr>
          <w:p w14:paraId="3E4685AC">
            <w:pPr>
              <w:spacing w:before="20" w:after="20" w:line="276" w:lineRule="auto"/>
              <w:ind w:left="0" w:right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来源</w:t>
            </w:r>
          </w:p>
        </w:tc>
        <w:tc>
          <w:tcPr>
            <w:tcW w:w="2778" w:type="dxa"/>
            <w:shd w:val="clear" w:color="auto" w:fill="D9D9D9"/>
            <w:vAlign w:val="center"/>
          </w:tcPr>
          <w:p w14:paraId="58990A61">
            <w:pPr>
              <w:spacing w:before="20" w:after="20" w:line="276" w:lineRule="auto"/>
              <w:ind w:left="0" w:right="0" w:firstLine="0" w:firstLineChars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核心职责</w:t>
            </w:r>
          </w:p>
        </w:tc>
        <w:tc>
          <w:tcPr>
            <w:tcW w:w="2098" w:type="dxa"/>
            <w:shd w:val="clear" w:color="auto" w:fill="D9D9D9"/>
            <w:vAlign w:val="center"/>
          </w:tcPr>
          <w:p w14:paraId="43114588">
            <w:pPr>
              <w:spacing w:before="20" w:after="20" w:line="276" w:lineRule="auto"/>
              <w:ind w:left="0" w:right="0" w:firstLine="0" w:firstLineChars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基本权限</w:t>
            </w:r>
          </w:p>
        </w:tc>
      </w:tr>
      <w:tr w14:paraId="2728CED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44" w:type="dxa"/>
            <w:vAlign w:val="center"/>
          </w:tcPr>
          <w:p w14:paraId="6E08A947">
            <w:pPr>
              <w:spacing w:before="20" w:after="20" w:line="276" w:lineRule="auto"/>
              <w:ind w:left="0" w:right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实习生（Watcher）</w:t>
            </w:r>
          </w:p>
        </w:tc>
        <w:tc>
          <w:tcPr>
            <w:tcW w:w="1191" w:type="dxa"/>
            <w:vAlign w:val="center"/>
          </w:tcPr>
          <w:p w14:paraId="38ECDE34">
            <w:pPr>
              <w:spacing w:before="20" w:after="20" w:line="276" w:lineRule="auto"/>
              <w:ind w:left="0" w:right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观察学习者</w:t>
            </w:r>
          </w:p>
        </w:tc>
        <w:tc>
          <w:tcPr>
            <w:tcW w:w="1361" w:type="dxa"/>
            <w:vAlign w:val="center"/>
          </w:tcPr>
          <w:p w14:paraId="1A92DFA6">
            <w:pPr>
              <w:spacing w:before="20" w:after="20" w:line="276" w:lineRule="auto"/>
              <w:ind w:left="0" w:right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通过加入流程的新成员</w:t>
            </w:r>
          </w:p>
        </w:tc>
        <w:tc>
          <w:tcPr>
            <w:tcW w:w="2778" w:type="dxa"/>
            <w:vAlign w:val="center"/>
          </w:tcPr>
          <w:p w14:paraId="4A3EB054">
            <w:pPr>
              <w:spacing w:before="20" w:after="20" w:line="276" w:lineRule="auto"/>
              <w:ind w:left="0" w:right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熟悉社区与项目、学习工具链、参与培训与组会、认领入门任务</w:t>
            </w:r>
          </w:p>
        </w:tc>
        <w:tc>
          <w:tcPr>
            <w:tcW w:w="2098" w:type="dxa"/>
            <w:vAlign w:val="center"/>
          </w:tcPr>
          <w:p w14:paraId="064C1B10">
            <w:pPr>
              <w:spacing w:before="20" w:after="20" w:line="276" w:lineRule="auto"/>
              <w:ind w:left="0" w:right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仓库只读、参与讨论、提交Issue</w:t>
            </w:r>
          </w:p>
        </w:tc>
      </w:tr>
      <w:tr w14:paraId="4E9589A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44" w:type="dxa"/>
            <w:vAlign w:val="center"/>
          </w:tcPr>
          <w:p w14:paraId="7866A563">
            <w:pPr>
              <w:spacing w:before="20" w:after="20" w:line="276" w:lineRule="auto"/>
              <w:ind w:left="0" w:right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试用期（Committer）</w:t>
            </w:r>
          </w:p>
        </w:tc>
        <w:tc>
          <w:tcPr>
            <w:tcW w:w="1191" w:type="dxa"/>
            <w:vAlign w:val="center"/>
          </w:tcPr>
          <w:p w14:paraId="29F75A46">
            <w:pPr>
              <w:spacing w:before="20" w:after="20" w:line="276" w:lineRule="auto"/>
              <w:ind w:left="0" w:right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提交者</w:t>
            </w:r>
          </w:p>
        </w:tc>
        <w:tc>
          <w:tcPr>
            <w:tcW w:w="1361" w:type="dxa"/>
            <w:vAlign w:val="center"/>
          </w:tcPr>
          <w:p w14:paraId="1C8842F3">
            <w:pPr>
              <w:spacing w:before="20" w:after="20" w:line="276" w:lineRule="auto"/>
              <w:ind w:left="0" w:right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Watcher转正</w:t>
            </w:r>
          </w:p>
        </w:tc>
        <w:tc>
          <w:tcPr>
            <w:tcW w:w="2778" w:type="dxa"/>
            <w:vAlign w:val="center"/>
          </w:tcPr>
          <w:p w14:paraId="39882382">
            <w:pPr>
              <w:spacing w:before="20" w:after="20" w:line="276" w:lineRule="auto"/>
              <w:ind w:left="0" w:right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承担分支开发与提交、修复问题、撰写文档</w:t>
            </w:r>
          </w:p>
        </w:tc>
        <w:tc>
          <w:tcPr>
            <w:tcW w:w="2098" w:type="dxa"/>
            <w:vAlign w:val="center"/>
          </w:tcPr>
          <w:p w14:paraId="325452C9">
            <w:pPr>
              <w:spacing w:before="20" w:after="20" w:line="276" w:lineRule="auto"/>
              <w:ind w:left="0" w:right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仓库分支写权限、提交PR、参与评审讨论</w:t>
            </w:r>
          </w:p>
        </w:tc>
      </w:tr>
      <w:tr w14:paraId="71E7E90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44" w:type="dxa"/>
            <w:vAlign w:val="center"/>
          </w:tcPr>
          <w:p w14:paraId="486A3362">
            <w:pPr>
              <w:spacing w:before="20" w:after="20" w:line="276" w:lineRule="auto"/>
              <w:ind w:left="0" w:right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正式成员（Developer）</w:t>
            </w:r>
          </w:p>
        </w:tc>
        <w:tc>
          <w:tcPr>
            <w:tcW w:w="1191" w:type="dxa"/>
            <w:vAlign w:val="center"/>
          </w:tcPr>
          <w:p w14:paraId="6C4D0F23">
            <w:pPr>
              <w:spacing w:before="20" w:after="20" w:line="276" w:lineRule="auto"/>
              <w:ind w:left="0" w:right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开发者</w:t>
            </w:r>
          </w:p>
        </w:tc>
        <w:tc>
          <w:tcPr>
            <w:tcW w:w="1361" w:type="dxa"/>
            <w:vAlign w:val="center"/>
          </w:tcPr>
          <w:p w14:paraId="199DF901">
            <w:pPr>
              <w:spacing w:before="20" w:after="20" w:line="276" w:lineRule="auto"/>
              <w:ind w:left="0" w:right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Committer晋升</w:t>
            </w:r>
          </w:p>
        </w:tc>
        <w:tc>
          <w:tcPr>
            <w:tcW w:w="2778" w:type="dxa"/>
            <w:vAlign w:val="center"/>
          </w:tcPr>
          <w:p w14:paraId="277FA227">
            <w:pPr>
              <w:spacing w:before="20" w:after="20" w:line="276" w:lineRule="auto"/>
              <w:ind w:left="0" w:right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主导模块开发、评审他人代码、带教新人、参与赛事项目</w:t>
            </w:r>
          </w:p>
        </w:tc>
        <w:tc>
          <w:tcPr>
            <w:tcW w:w="2098" w:type="dxa"/>
            <w:vAlign w:val="center"/>
          </w:tcPr>
          <w:p w14:paraId="2D461299">
            <w:pPr>
              <w:spacing w:before="20" w:after="20" w:line="276" w:lineRule="auto"/>
              <w:ind w:left="0" w:right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合并所在项目PR、参与CURC-ROBOCON赛事、项目级投票</w:t>
            </w:r>
          </w:p>
        </w:tc>
      </w:tr>
      <w:tr w14:paraId="4923C27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44" w:type="dxa"/>
            <w:vAlign w:val="center"/>
          </w:tcPr>
          <w:p w14:paraId="4D7A1F6A">
            <w:pPr>
              <w:spacing w:before="20" w:after="20" w:line="276" w:lineRule="auto"/>
              <w:ind w:left="0" w:right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核心成员（Maintainer）</w:t>
            </w:r>
          </w:p>
        </w:tc>
        <w:tc>
          <w:tcPr>
            <w:tcW w:w="1191" w:type="dxa"/>
            <w:vAlign w:val="center"/>
          </w:tcPr>
          <w:p w14:paraId="5255A976">
            <w:pPr>
              <w:spacing w:before="20" w:after="20" w:line="276" w:lineRule="auto"/>
              <w:ind w:left="0" w:right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维护者</w:t>
            </w:r>
          </w:p>
        </w:tc>
        <w:tc>
          <w:tcPr>
            <w:tcW w:w="1361" w:type="dxa"/>
            <w:vAlign w:val="center"/>
          </w:tcPr>
          <w:p w14:paraId="2D9CBF5D">
            <w:pPr>
              <w:spacing w:before="20" w:after="20" w:line="276" w:lineRule="auto"/>
              <w:ind w:left="0" w:right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Developer中选拔任命</w:t>
            </w:r>
          </w:p>
        </w:tc>
        <w:tc>
          <w:tcPr>
            <w:tcW w:w="2778" w:type="dxa"/>
            <w:vAlign w:val="center"/>
          </w:tcPr>
          <w:p w14:paraId="6F36A23B">
            <w:pPr>
              <w:spacing w:before="20" w:after="20" w:line="276" w:lineRule="auto"/>
              <w:ind w:left="0" w:right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维护仓库与发布、制定项目方向、社区治理</w:t>
            </w:r>
          </w:p>
        </w:tc>
        <w:tc>
          <w:tcPr>
            <w:tcW w:w="2098" w:type="dxa"/>
            <w:vAlign w:val="center"/>
          </w:tcPr>
          <w:p w14:paraId="37B041D4">
            <w:pPr>
              <w:spacing w:before="20" w:after="20" w:line="276" w:lineRule="auto"/>
              <w:ind w:left="0" w:right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全部权限、管理委员会决策与最终裁定</w:t>
            </w:r>
          </w:p>
        </w:tc>
      </w:tr>
    </w:tbl>
    <w:p w14:paraId="1E00A366">
      <w:pPr>
        <w:pStyle w:val="5"/>
      </w:pPr>
      <w:r>
        <w:rPr>
          <w:rFonts w:ascii="Times New Roman" w:hAnsi="Times New Roman" w:eastAsia="黑体"/>
          <w:b/>
          <w:color w:val="000000"/>
          <w:sz w:val="24"/>
        </w:rPr>
        <w:t>2.1.2 转变原则</w:t>
      </w:r>
    </w:p>
    <w:p w14:paraId="50983036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身份变更遵循“项目制划分、实际贡献导向、管理委员会评定”的原则，具体标准见2.3。</w:t>
      </w:r>
    </w:p>
    <w:p w14:paraId="3471C8C4">
      <w:pPr>
        <w:pStyle w:val="4"/>
      </w:pPr>
      <w:bookmarkStart w:id="7" w:name="_LarkToc00008"/>
      <w:r>
        <w:rPr>
          <w:rFonts w:ascii="Times New Roman" w:hAnsi="Times New Roman" w:eastAsia="黑体"/>
          <w:b/>
          <w:color w:val="000000"/>
          <w:sz w:val="28"/>
        </w:rPr>
        <w:t>2.2 加入与招募</w:t>
      </w:r>
      <w:bookmarkEnd w:id="7"/>
    </w:p>
    <w:p w14:paraId="0C38F2B0">
      <w:pPr>
        <w:pStyle w:val="5"/>
      </w:pPr>
      <w:r>
        <w:rPr>
          <w:rFonts w:ascii="Times New Roman" w:hAnsi="Times New Roman" w:eastAsia="黑体"/>
          <w:b/>
          <w:color w:val="000000"/>
          <w:sz w:val="24"/>
        </w:rPr>
        <w:t>2.2.1 招募方式</w:t>
      </w:r>
    </w:p>
    <w:p w14:paraId="3B004EC8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社区通过以下方式招募成员：1) 学期招新（面向全校公开招募）；2) 指导教师或成员推荐；3) 开源项目公开任务招募（校外协作者参照本手册执行）。</w:t>
      </w:r>
    </w:p>
    <w:p w14:paraId="61A03749">
      <w:pPr>
        <w:pStyle w:val="5"/>
      </w:pPr>
      <w:r>
        <w:rPr>
          <w:rFonts w:ascii="Times New Roman" w:hAnsi="Times New Roman" w:eastAsia="黑体"/>
          <w:b/>
          <w:color w:val="000000"/>
          <w:sz w:val="24"/>
        </w:rPr>
        <w:t>2.2.2 加入流程</w:t>
      </w:r>
    </w:p>
    <w:p w14:paraId="56357BF4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提交申请 → 基础考核（含编程基础与开源常识）→ 签署《常州工NEC开源社区成员协议》与开发者承诺书 → 编入项目组与培训计划 → 身份登记为实习生（Watcher）。</w:t>
      </w:r>
    </w:p>
    <w:p w14:paraId="20A560C7">
      <w:pPr>
        <w:pStyle w:val="5"/>
      </w:pPr>
      <w:r>
        <w:rPr>
          <w:rFonts w:ascii="Times New Roman" w:hAnsi="Times New Roman" w:eastAsia="黑体"/>
          <w:b/>
          <w:color w:val="000000"/>
          <w:sz w:val="24"/>
        </w:rPr>
        <w:t>2.2.3 信息义务</w:t>
      </w:r>
    </w:p>
    <w:p w14:paraId="585AC07E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新成员应如实提供真实、有效的个人与学业信息；提供虚假信息的，社区有权取消其成员资格。成员个人信息如有变更，应及时告知项目负责人。</w:t>
      </w:r>
    </w:p>
    <w:p w14:paraId="35609740">
      <w:pPr>
        <w:pStyle w:val="4"/>
      </w:pPr>
      <w:bookmarkStart w:id="8" w:name="_LarkToc00009"/>
      <w:r>
        <w:rPr>
          <w:rFonts w:ascii="Times New Roman" w:hAnsi="Times New Roman" w:eastAsia="黑体"/>
          <w:b/>
          <w:color w:val="000000"/>
          <w:sz w:val="28"/>
        </w:rPr>
        <w:t>2.3 身份转变</w:t>
      </w:r>
      <w:bookmarkEnd w:id="8"/>
    </w:p>
    <w:p w14:paraId="3B395175">
      <w:pPr>
        <w:pStyle w:val="5"/>
      </w:pPr>
      <w:r>
        <w:rPr>
          <w:rFonts w:ascii="Times New Roman" w:hAnsi="Times New Roman" w:eastAsia="黑体"/>
          <w:b/>
          <w:color w:val="000000"/>
          <w:sz w:val="24"/>
        </w:rPr>
        <w:t>2.3.1 转变原则</w:t>
      </w:r>
    </w:p>
    <w:p w14:paraId="59F58A35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成员身份转变以“项目制划分 + 实际贡献”为基本依据。身份转变按项目制组织实施：成员编入具体项目，以项目为单元记录和评价贡献；实际贡献分为代码贡献与协作贡献两个维度，量化记录。实习生（Watcher）、试用期（Committer）、正式成员（Developer）、核心成员（Maintainer）每个身份分段均设置3个月考核期：成员在考核期内完成对应阶段的任务与工作并经核验后，由项目负责人提名、管理委员会评定晋升至下一身份，晋升结果在社区官网公示体现。</w:t>
      </w:r>
    </w:p>
    <w:p w14:paraId="23D28CE1">
      <w:pPr>
        <w:pStyle w:val="5"/>
      </w:pPr>
      <w:r>
        <w:rPr>
          <w:rFonts w:ascii="Times New Roman" w:hAnsi="Times New Roman" w:eastAsia="黑体"/>
          <w:b/>
          <w:color w:val="000000"/>
          <w:sz w:val="24"/>
        </w:rPr>
        <w:t>2.3.2 Watcher转正为Committer</w:t>
      </w:r>
    </w:p>
    <w:p w14:paraId="373678B8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1) 完成新人培训并考核合格；2) 在至少1个项目中完成2个入门任务且合并通过；3) 掌握基础CLI操作与代码贡献流程（见第四、五章）；4) 当学期组会出勤率不低于80%；5) 由项目负责人提名，管理委员会评定通过。</w:t>
      </w:r>
    </w:p>
    <w:p w14:paraId="2FCEB85F">
      <w:pPr>
        <w:pStyle w:val="5"/>
      </w:pPr>
      <w:r>
        <w:rPr>
          <w:rFonts w:ascii="Times New Roman" w:hAnsi="Times New Roman" w:eastAsia="黑体"/>
          <w:b/>
          <w:color w:val="000000"/>
          <w:sz w:val="24"/>
        </w:rPr>
        <w:t>2.3.3 Committer晋升为Developer</w:t>
      </w:r>
    </w:p>
    <w:p w14:paraId="1E2D4609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1) 在至少1个项目中担任核心开发任务并持续贡献；2) 累计有效代码贡献（合并的PR与代码量）达到管理委员会当期公示的量化标准；3) 通过代码评审答辩；4) 协作贡献达标（文档、带教、组会分享等）；5) 组会考勤无触线记录；6) 项目负责人与Maintainer共同评定通过。</w:t>
      </w:r>
    </w:p>
    <w:p w14:paraId="093CE443">
      <w:pPr>
        <w:pStyle w:val="5"/>
      </w:pPr>
      <w:r>
        <w:rPr>
          <w:rFonts w:ascii="Times New Roman" w:hAnsi="Times New Roman" w:eastAsia="黑体"/>
          <w:b/>
          <w:color w:val="000000"/>
          <w:sz w:val="24"/>
        </w:rPr>
        <w:t>2.3.4 Developer任命为Maintainer</w:t>
      </w:r>
    </w:p>
    <w:p w14:paraId="2CB1217B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1) 由管理委员会从正式成员中提名；2) 具备长期稳定的代码与协作贡献、项目管理能力和社区责任心；3) 经全体Maintainer投票，过半数同意后任命。</w:t>
      </w:r>
    </w:p>
    <w:p w14:paraId="00E6237A">
      <w:pPr>
        <w:pStyle w:val="5"/>
      </w:pPr>
      <w:r>
        <w:rPr>
          <w:rFonts w:ascii="Times New Roman" w:hAnsi="Times New Roman" w:eastAsia="黑体"/>
          <w:b/>
          <w:color w:val="000000"/>
          <w:sz w:val="24"/>
        </w:rPr>
        <w:t>2.3.5 贡献计量</w:t>
      </w:r>
    </w:p>
    <w:p w14:paraId="1385CCC9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代码贡献（合并的PR、代码评审、修复问题、发布版本等）与协作贡献（文档、带教、组会分享、社区运营、赛事组织等）双维度记录，每3个月为一个评定周期（与身份考核期一致）；量化标准由管理委员会按周期发布。</w:t>
      </w:r>
    </w:p>
    <w:p w14:paraId="19D9CF6B">
      <w:pPr>
        <w:pStyle w:val="5"/>
      </w:pPr>
      <w:r>
        <w:rPr>
          <w:rFonts w:ascii="Times New Roman" w:hAnsi="Times New Roman" w:eastAsia="黑体"/>
          <w:b/>
          <w:color w:val="000000"/>
          <w:sz w:val="24"/>
        </w:rPr>
        <w:t>2.3.6 特殊贡献</w:t>
      </w:r>
    </w:p>
    <w:p w14:paraId="70406D83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对社区有重大贡献（如赛事奖项、重大项目落地、关键基础设施维护）的成员，可经管理委员会评定缩短转变周期或破格晋升。</w:t>
      </w:r>
    </w:p>
    <w:p w14:paraId="0DFD34A8">
      <w:pPr>
        <w:pStyle w:val="4"/>
      </w:pPr>
      <w:bookmarkStart w:id="9" w:name="_LarkToc00010"/>
      <w:r>
        <w:rPr>
          <w:rFonts w:ascii="Times New Roman" w:hAnsi="Times New Roman" w:eastAsia="黑体"/>
          <w:b/>
          <w:color w:val="000000"/>
          <w:sz w:val="28"/>
        </w:rPr>
        <w:t>2.4 身份降级与退出</w:t>
      </w:r>
      <w:bookmarkEnd w:id="9"/>
    </w:p>
    <w:p w14:paraId="661E27FB">
      <w:pPr>
        <w:pStyle w:val="5"/>
      </w:pPr>
      <w:r>
        <w:rPr>
          <w:rFonts w:ascii="Times New Roman" w:hAnsi="Times New Roman" w:eastAsia="黑体"/>
          <w:b/>
          <w:color w:val="000000"/>
          <w:sz w:val="24"/>
        </w:rPr>
        <w:t>2.4.1 降级情形</w:t>
      </w:r>
    </w:p>
    <w:p w14:paraId="1A8B41CC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出现下列情形之一的，成员身份予以降级：1) 一个评定周期内累计无故缺席组会超过5次（按2.5执行）；2) 连续两个评定周期无有效贡献；3) 违反开源规范或社区制度受严重警告及以上处分；4) 本人书面申请降级。</w:t>
      </w:r>
    </w:p>
    <w:p w14:paraId="4241C887">
      <w:pPr>
        <w:pStyle w:val="5"/>
      </w:pPr>
      <w:r>
        <w:rPr>
          <w:rFonts w:ascii="Times New Roman" w:hAnsi="Times New Roman" w:eastAsia="黑体"/>
          <w:b/>
          <w:color w:val="000000"/>
          <w:sz w:val="24"/>
        </w:rPr>
        <w:t>2.4.2 主动退出</w:t>
      </w:r>
    </w:p>
    <w:p w14:paraId="1E3CDAEC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成员拟退出社区的，应提前7个工作日向项目负责人提出申请，完成在办任务交接、代码与文档交接后退出；退出后仍应履行本手册第三章规定的保密义务。</w:t>
      </w:r>
    </w:p>
    <w:p w14:paraId="59A85892">
      <w:pPr>
        <w:pStyle w:val="4"/>
      </w:pPr>
      <w:bookmarkStart w:id="10" w:name="_LarkToc00011"/>
      <w:r>
        <w:rPr>
          <w:rFonts w:ascii="Times New Roman" w:hAnsi="Times New Roman" w:eastAsia="黑体"/>
          <w:b/>
          <w:color w:val="000000"/>
          <w:sz w:val="28"/>
        </w:rPr>
        <w:t>2.5 组会考勤制度</w:t>
      </w:r>
      <w:bookmarkEnd w:id="10"/>
    </w:p>
    <w:p w14:paraId="2E37EC80">
      <w:pPr>
        <w:pStyle w:val="5"/>
      </w:pPr>
      <w:r>
        <w:rPr>
          <w:rFonts w:ascii="Times New Roman" w:hAnsi="Times New Roman" w:eastAsia="黑体"/>
          <w:b/>
          <w:color w:val="000000"/>
          <w:sz w:val="24"/>
        </w:rPr>
        <w:t>2.5.1 考勤要求</w:t>
      </w:r>
    </w:p>
    <w:p w14:paraId="031C7C9E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社区实行定期组会制度（线上/线下），全体成员均应参加；确因考试、课程冲突、伤病、赛事等正当理由无法参加的，须按7.2规定的流程提前请假。</w:t>
      </w:r>
    </w:p>
    <w:p w14:paraId="48BCADC0">
      <w:pPr>
        <w:pStyle w:val="5"/>
      </w:pPr>
      <w:r>
        <w:rPr>
          <w:rFonts w:ascii="Times New Roman" w:hAnsi="Times New Roman" w:eastAsia="黑体"/>
          <w:b/>
          <w:color w:val="000000"/>
          <w:sz w:val="24"/>
        </w:rPr>
        <w:t>2.5.2 旷会界定</w:t>
      </w:r>
    </w:p>
    <w:p w14:paraId="6E059550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未请假或请假未获批准而缺席组会的，视为无故缺席；迟到、早退超过15分钟按半次无故缺席计。</w:t>
      </w:r>
    </w:p>
    <w:p w14:paraId="29E3C69A">
      <w:pPr>
        <w:pStyle w:val="5"/>
      </w:pPr>
      <w:r>
        <w:rPr>
          <w:rFonts w:ascii="Times New Roman" w:hAnsi="Times New Roman" w:eastAsia="黑体"/>
          <w:b/>
          <w:color w:val="000000"/>
          <w:sz w:val="24"/>
        </w:rPr>
        <w:t>2.5.3 红线条款</w:t>
      </w:r>
    </w:p>
    <w:p w14:paraId="2087D232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一个评定周期内，累计无故缺席线上/线下组会超过5次的，按下列规定处理：</w:t>
      </w:r>
    </w:p>
    <w:p w14:paraId="30EF1BCF">
      <w:pPr>
        <w:keepNext/>
        <w:spacing w:before="120" w:after="80"/>
        <w:ind w:firstLine="0" w:firstLineChars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表2-2 组会考勤红线处理</w:t>
      </w:r>
    </w:p>
    <w:tbl>
      <w:tblPr>
        <w:tblStyle w:val="34"/>
        <w:tblW w:w="9072" w:type="dxa"/>
        <w:tblInd w:w="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6520"/>
      </w:tblGrid>
      <w:tr w14:paraId="6A31872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551" w:type="dxa"/>
            <w:shd w:val="clear" w:color="auto" w:fill="D9D9D9"/>
            <w:vAlign w:val="center"/>
          </w:tcPr>
          <w:p w14:paraId="04115ED8">
            <w:pPr>
              <w:spacing w:before="20" w:after="20" w:line="276" w:lineRule="auto"/>
              <w:ind w:left="0" w:right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身份</w:t>
            </w:r>
          </w:p>
        </w:tc>
        <w:tc>
          <w:tcPr>
            <w:tcW w:w="6520" w:type="dxa"/>
            <w:shd w:val="clear" w:color="auto" w:fill="D9D9D9"/>
            <w:vAlign w:val="center"/>
          </w:tcPr>
          <w:p w14:paraId="0A1E26DF">
            <w:pPr>
              <w:spacing w:before="20" w:after="20" w:line="276" w:lineRule="auto"/>
              <w:ind w:left="0" w:right="0" w:firstLine="0" w:firstLineChars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处理</w:t>
            </w:r>
          </w:p>
        </w:tc>
      </w:tr>
      <w:tr w14:paraId="1CFC3E1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51" w:type="dxa"/>
            <w:vAlign w:val="center"/>
          </w:tcPr>
          <w:p w14:paraId="50531539">
            <w:pPr>
              <w:spacing w:before="20" w:after="20" w:line="276" w:lineRule="auto"/>
              <w:ind w:left="0" w:right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实习生（Watcher）</w:t>
            </w:r>
          </w:p>
        </w:tc>
        <w:tc>
          <w:tcPr>
            <w:tcW w:w="6520" w:type="dxa"/>
            <w:vAlign w:val="center"/>
          </w:tcPr>
          <w:p w14:paraId="5C439A7E">
            <w:pPr>
              <w:spacing w:before="20" w:after="20" w:line="276" w:lineRule="auto"/>
              <w:ind w:left="0" w:right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作劝退处理（开除），取消成员资格</w:t>
            </w:r>
          </w:p>
        </w:tc>
      </w:tr>
      <w:tr w14:paraId="2DB7CE1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51" w:type="dxa"/>
            <w:vAlign w:val="center"/>
          </w:tcPr>
          <w:p w14:paraId="235FF80B">
            <w:pPr>
              <w:spacing w:before="20" w:after="20" w:line="276" w:lineRule="auto"/>
              <w:ind w:left="0" w:right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试用期（Committer）</w:t>
            </w:r>
          </w:p>
        </w:tc>
        <w:tc>
          <w:tcPr>
            <w:tcW w:w="6520" w:type="dxa"/>
            <w:vAlign w:val="center"/>
          </w:tcPr>
          <w:p w14:paraId="3821AE4F">
            <w:pPr>
              <w:spacing w:before="20" w:after="20" w:line="276" w:lineRule="auto"/>
              <w:ind w:left="0" w:right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降级为实习生（Watcher）</w:t>
            </w:r>
          </w:p>
        </w:tc>
      </w:tr>
      <w:tr w14:paraId="558079A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51" w:type="dxa"/>
            <w:vAlign w:val="center"/>
          </w:tcPr>
          <w:p w14:paraId="79D1249C">
            <w:pPr>
              <w:spacing w:before="20" w:after="20" w:line="276" w:lineRule="auto"/>
              <w:ind w:left="0" w:right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正式成员（Developer）</w:t>
            </w:r>
          </w:p>
        </w:tc>
        <w:tc>
          <w:tcPr>
            <w:tcW w:w="6520" w:type="dxa"/>
            <w:vAlign w:val="center"/>
          </w:tcPr>
          <w:p w14:paraId="31E6F4E1">
            <w:pPr>
              <w:spacing w:before="20" w:after="20" w:line="276" w:lineRule="auto"/>
              <w:ind w:left="0" w:right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降级为试用期（Committer）；情节严重或态度恶劣者作劝退处理</w:t>
            </w:r>
          </w:p>
        </w:tc>
      </w:tr>
      <w:tr w14:paraId="02BA1F1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51" w:type="dxa"/>
            <w:vAlign w:val="center"/>
          </w:tcPr>
          <w:p w14:paraId="31527FE5">
            <w:pPr>
              <w:spacing w:before="20" w:after="20" w:line="276" w:lineRule="auto"/>
              <w:ind w:left="0" w:right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核心成员（Maintainer）</w:t>
            </w:r>
          </w:p>
        </w:tc>
        <w:tc>
          <w:tcPr>
            <w:tcW w:w="6520" w:type="dxa"/>
            <w:vAlign w:val="center"/>
          </w:tcPr>
          <w:p w14:paraId="7C053A48">
            <w:pPr>
              <w:spacing w:before="20" w:after="20" w:line="276" w:lineRule="auto"/>
              <w:ind w:left="0" w:right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降级为正式成员（Developer）；情节严重者免去核心成员资格并视情处理</w:t>
            </w:r>
          </w:p>
        </w:tc>
      </w:tr>
    </w:tbl>
    <w:p w14:paraId="6957869B">
      <w:pPr>
        <w:pStyle w:val="5"/>
      </w:pPr>
      <w:r>
        <w:rPr>
          <w:rFonts w:ascii="Times New Roman" w:hAnsi="Times New Roman" w:eastAsia="黑体"/>
          <w:b/>
          <w:color w:val="000000"/>
          <w:sz w:val="24"/>
        </w:rPr>
        <w:t>2.5.4 考勤执行</w:t>
      </w:r>
    </w:p>
    <w:p w14:paraId="27237439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正当理由请假不计入无故缺席次数；连续两个评定周期均触线的，从严处理。考勤记录由项目负责人登记，管理委员会定期公示。</w:t>
      </w:r>
    </w:p>
    <w:p w14:paraId="71955C88">
      <w:pPr>
        <w:pStyle w:val="4"/>
      </w:pPr>
      <w:bookmarkStart w:id="11" w:name="_LarkToc00012"/>
      <w:r>
        <w:rPr>
          <w:rFonts w:ascii="Times New Roman" w:hAnsi="Times New Roman" w:eastAsia="黑体"/>
          <w:b/>
          <w:color w:val="000000"/>
          <w:sz w:val="28"/>
        </w:rPr>
        <w:t>2.6 权限矩阵</w:t>
      </w:r>
      <w:bookmarkEnd w:id="11"/>
    </w:p>
    <w:p w14:paraId="0370BBC0">
      <w:pPr>
        <w:pStyle w:val="5"/>
      </w:pPr>
      <w:r>
        <w:rPr>
          <w:rFonts w:ascii="Times New Roman" w:hAnsi="Times New Roman" w:eastAsia="黑体"/>
          <w:b/>
          <w:color w:val="000000"/>
          <w:sz w:val="24"/>
        </w:rPr>
        <w:t>2.6.1 权限对照</w:t>
      </w:r>
    </w:p>
    <w:p w14:paraId="6917428B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不同身份对应不同权限，权限随身份变动即时调整：</w:t>
      </w:r>
    </w:p>
    <w:p w14:paraId="6BB14963">
      <w:pPr>
        <w:keepNext/>
        <w:spacing w:before="120" w:after="80"/>
        <w:ind w:firstLine="0" w:firstLineChars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表2-3 权限矩阵</w:t>
      </w:r>
    </w:p>
    <w:tbl>
      <w:tblPr>
        <w:tblStyle w:val="34"/>
        <w:tblW w:w="9072" w:type="dxa"/>
        <w:tblInd w:w="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1417"/>
        <w:gridCol w:w="1417"/>
        <w:gridCol w:w="1417"/>
        <w:gridCol w:w="1417"/>
      </w:tblGrid>
      <w:tr w14:paraId="2F4BF05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402" w:type="dxa"/>
            <w:shd w:val="clear" w:color="auto" w:fill="D9D9D9"/>
            <w:vAlign w:val="center"/>
          </w:tcPr>
          <w:p w14:paraId="30143993">
            <w:pPr>
              <w:spacing w:before="20" w:after="20" w:line="276" w:lineRule="auto"/>
              <w:ind w:left="0" w:right="0" w:firstLine="0" w:firstLineChars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权限项目</w:t>
            </w:r>
          </w:p>
        </w:tc>
        <w:tc>
          <w:tcPr>
            <w:tcW w:w="1417" w:type="dxa"/>
            <w:shd w:val="clear" w:color="auto" w:fill="D9D9D9"/>
            <w:vAlign w:val="center"/>
          </w:tcPr>
          <w:p w14:paraId="1B0F70A9">
            <w:pPr>
              <w:spacing w:before="20" w:after="20" w:line="276" w:lineRule="auto"/>
              <w:ind w:left="0" w:right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Watcher</w:t>
            </w:r>
          </w:p>
        </w:tc>
        <w:tc>
          <w:tcPr>
            <w:tcW w:w="1417" w:type="dxa"/>
            <w:shd w:val="clear" w:color="auto" w:fill="D9D9D9"/>
            <w:vAlign w:val="center"/>
          </w:tcPr>
          <w:p w14:paraId="69A516A8">
            <w:pPr>
              <w:spacing w:before="20" w:after="20" w:line="276" w:lineRule="auto"/>
              <w:ind w:left="0" w:right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Committer</w:t>
            </w:r>
          </w:p>
        </w:tc>
        <w:tc>
          <w:tcPr>
            <w:tcW w:w="1417" w:type="dxa"/>
            <w:shd w:val="clear" w:color="auto" w:fill="D9D9D9"/>
            <w:vAlign w:val="center"/>
          </w:tcPr>
          <w:p w14:paraId="068D4E35">
            <w:pPr>
              <w:spacing w:before="20" w:after="20" w:line="276" w:lineRule="auto"/>
              <w:ind w:left="0" w:right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Developer</w:t>
            </w:r>
          </w:p>
        </w:tc>
        <w:tc>
          <w:tcPr>
            <w:tcW w:w="1417" w:type="dxa"/>
            <w:shd w:val="clear" w:color="auto" w:fill="D9D9D9"/>
            <w:vAlign w:val="center"/>
          </w:tcPr>
          <w:p w14:paraId="6E65880B">
            <w:pPr>
              <w:spacing w:before="20" w:after="20" w:line="276" w:lineRule="auto"/>
              <w:ind w:left="0" w:right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Maintainer</w:t>
            </w:r>
          </w:p>
        </w:tc>
      </w:tr>
      <w:tr w14:paraId="6AAF9D3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02" w:type="dxa"/>
            <w:vAlign w:val="center"/>
          </w:tcPr>
          <w:p w14:paraId="200B2324">
            <w:pPr>
              <w:spacing w:before="20" w:after="20" w:line="276" w:lineRule="auto"/>
              <w:ind w:left="0" w:right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仓库只读与Issue</w:t>
            </w:r>
          </w:p>
        </w:tc>
        <w:tc>
          <w:tcPr>
            <w:tcW w:w="1417" w:type="dxa"/>
            <w:vAlign w:val="center"/>
          </w:tcPr>
          <w:p w14:paraId="4DFC1491">
            <w:pPr>
              <w:spacing w:before="20" w:after="20" w:line="276" w:lineRule="auto"/>
              <w:ind w:left="0" w:right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√</w:t>
            </w:r>
          </w:p>
        </w:tc>
        <w:tc>
          <w:tcPr>
            <w:tcW w:w="1417" w:type="dxa"/>
            <w:vAlign w:val="center"/>
          </w:tcPr>
          <w:p w14:paraId="710B0CFA">
            <w:pPr>
              <w:spacing w:before="20" w:after="20" w:line="276" w:lineRule="auto"/>
              <w:ind w:left="0" w:right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√</w:t>
            </w:r>
          </w:p>
        </w:tc>
        <w:tc>
          <w:tcPr>
            <w:tcW w:w="1417" w:type="dxa"/>
            <w:vAlign w:val="center"/>
          </w:tcPr>
          <w:p w14:paraId="03A70F9C">
            <w:pPr>
              <w:spacing w:before="20" w:after="20" w:line="276" w:lineRule="auto"/>
              <w:ind w:left="0" w:right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√</w:t>
            </w:r>
          </w:p>
        </w:tc>
        <w:tc>
          <w:tcPr>
            <w:tcW w:w="1417" w:type="dxa"/>
            <w:vAlign w:val="center"/>
          </w:tcPr>
          <w:p w14:paraId="69C216B1">
            <w:pPr>
              <w:spacing w:before="20" w:after="20" w:line="276" w:lineRule="auto"/>
              <w:ind w:left="0" w:right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√</w:t>
            </w:r>
          </w:p>
        </w:tc>
      </w:tr>
      <w:tr w14:paraId="617BF42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02" w:type="dxa"/>
            <w:vAlign w:val="center"/>
          </w:tcPr>
          <w:p w14:paraId="480AFD61">
            <w:pPr>
              <w:spacing w:before="20" w:after="20" w:line="276" w:lineRule="auto"/>
              <w:ind w:left="0" w:right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分支写权限与提交</w:t>
            </w:r>
          </w:p>
        </w:tc>
        <w:tc>
          <w:tcPr>
            <w:tcW w:w="1417" w:type="dxa"/>
            <w:vAlign w:val="center"/>
          </w:tcPr>
          <w:p w14:paraId="05763FD7">
            <w:pPr>
              <w:spacing w:before="20" w:after="20" w:line="276" w:lineRule="auto"/>
              <w:ind w:left="0" w:right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w="1417" w:type="dxa"/>
            <w:vAlign w:val="center"/>
          </w:tcPr>
          <w:p w14:paraId="72454F4F">
            <w:pPr>
              <w:spacing w:before="20" w:after="20" w:line="276" w:lineRule="auto"/>
              <w:ind w:left="0" w:right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√</w:t>
            </w:r>
          </w:p>
        </w:tc>
        <w:tc>
          <w:tcPr>
            <w:tcW w:w="1417" w:type="dxa"/>
            <w:vAlign w:val="center"/>
          </w:tcPr>
          <w:p w14:paraId="50B693F8">
            <w:pPr>
              <w:spacing w:before="20" w:after="20" w:line="276" w:lineRule="auto"/>
              <w:ind w:left="0" w:right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√</w:t>
            </w:r>
          </w:p>
        </w:tc>
        <w:tc>
          <w:tcPr>
            <w:tcW w:w="1417" w:type="dxa"/>
            <w:vAlign w:val="center"/>
          </w:tcPr>
          <w:p w14:paraId="72925EB7">
            <w:pPr>
              <w:spacing w:before="20" w:after="20" w:line="276" w:lineRule="auto"/>
              <w:ind w:left="0" w:right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√</w:t>
            </w:r>
          </w:p>
        </w:tc>
      </w:tr>
      <w:tr w14:paraId="1A9E067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02" w:type="dxa"/>
            <w:vAlign w:val="center"/>
          </w:tcPr>
          <w:p w14:paraId="4B0FC6D7">
            <w:pPr>
              <w:spacing w:before="20" w:after="20" w:line="276" w:lineRule="auto"/>
              <w:ind w:left="0" w:right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提交PR与参与评审讨论</w:t>
            </w:r>
          </w:p>
        </w:tc>
        <w:tc>
          <w:tcPr>
            <w:tcW w:w="1417" w:type="dxa"/>
            <w:vAlign w:val="center"/>
          </w:tcPr>
          <w:p w14:paraId="37CA6F1F">
            <w:pPr>
              <w:spacing w:before="20" w:after="20" w:line="276" w:lineRule="auto"/>
              <w:ind w:left="0" w:right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√</w:t>
            </w:r>
          </w:p>
        </w:tc>
        <w:tc>
          <w:tcPr>
            <w:tcW w:w="1417" w:type="dxa"/>
            <w:vAlign w:val="center"/>
          </w:tcPr>
          <w:p w14:paraId="7AFF48BE">
            <w:pPr>
              <w:spacing w:before="20" w:after="20" w:line="276" w:lineRule="auto"/>
              <w:ind w:left="0" w:right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√</w:t>
            </w:r>
          </w:p>
        </w:tc>
        <w:tc>
          <w:tcPr>
            <w:tcW w:w="1417" w:type="dxa"/>
            <w:vAlign w:val="center"/>
          </w:tcPr>
          <w:p w14:paraId="452E41FC">
            <w:pPr>
              <w:spacing w:before="20" w:after="20" w:line="276" w:lineRule="auto"/>
              <w:ind w:left="0" w:right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√</w:t>
            </w:r>
          </w:p>
        </w:tc>
        <w:tc>
          <w:tcPr>
            <w:tcW w:w="1417" w:type="dxa"/>
            <w:vAlign w:val="center"/>
          </w:tcPr>
          <w:p w14:paraId="0E96F659">
            <w:pPr>
              <w:spacing w:before="20" w:after="20" w:line="276" w:lineRule="auto"/>
              <w:ind w:left="0" w:right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√</w:t>
            </w:r>
          </w:p>
        </w:tc>
      </w:tr>
      <w:tr w14:paraId="5888F15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02" w:type="dxa"/>
            <w:vAlign w:val="center"/>
          </w:tcPr>
          <w:p w14:paraId="2B82BA1B">
            <w:pPr>
              <w:spacing w:before="20" w:after="20" w:line="276" w:lineRule="auto"/>
              <w:ind w:left="0" w:right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合并项目PR</w:t>
            </w:r>
          </w:p>
        </w:tc>
        <w:tc>
          <w:tcPr>
            <w:tcW w:w="1417" w:type="dxa"/>
            <w:vAlign w:val="center"/>
          </w:tcPr>
          <w:p w14:paraId="2EEBB3C0">
            <w:pPr>
              <w:spacing w:before="20" w:after="20" w:line="276" w:lineRule="auto"/>
              <w:ind w:left="0" w:right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w="1417" w:type="dxa"/>
            <w:vAlign w:val="center"/>
          </w:tcPr>
          <w:p w14:paraId="3ED71C39">
            <w:pPr>
              <w:spacing w:before="20" w:after="20" w:line="276" w:lineRule="auto"/>
              <w:ind w:left="0" w:right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w="1417" w:type="dxa"/>
            <w:vAlign w:val="center"/>
          </w:tcPr>
          <w:p w14:paraId="7A564442">
            <w:pPr>
              <w:spacing w:before="20" w:after="20" w:line="276" w:lineRule="auto"/>
              <w:ind w:left="0" w:right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√</w:t>
            </w:r>
          </w:p>
        </w:tc>
        <w:tc>
          <w:tcPr>
            <w:tcW w:w="1417" w:type="dxa"/>
            <w:vAlign w:val="center"/>
          </w:tcPr>
          <w:p w14:paraId="25579BDA">
            <w:pPr>
              <w:spacing w:before="20" w:after="20" w:line="276" w:lineRule="auto"/>
              <w:ind w:left="0" w:right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√</w:t>
            </w:r>
          </w:p>
        </w:tc>
      </w:tr>
      <w:tr w14:paraId="377B4FC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02" w:type="dxa"/>
            <w:vAlign w:val="center"/>
          </w:tcPr>
          <w:p w14:paraId="62C57D4E">
            <w:pPr>
              <w:spacing w:before="20" w:after="20" w:line="276" w:lineRule="auto"/>
              <w:ind w:left="0" w:right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参与CURC-ROBOCON赛事</w:t>
            </w:r>
          </w:p>
        </w:tc>
        <w:tc>
          <w:tcPr>
            <w:tcW w:w="1417" w:type="dxa"/>
            <w:vAlign w:val="center"/>
          </w:tcPr>
          <w:p w14:paraId="64D0A4A5">
            <w:pPr>
              <w:spacing w:before="20" w:after="20" w:line="276" w:lineRule="auto"/>
              <w:ind w:left="0" w:right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w="1417" w:type="dxa"/>
            <w:vAlign w:val="center"/>
          </w:tcPr>
          <w:p w14:paraId="1027D4E7">
            <w:pPr>
              <w:spacing w:before="20" w:after="20" w:line="276" w:lineRule="auto"/>
              <w:ind w:left="0" w:right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w="1417" w:type="dxa"/>
            <w:vAlign w:val="center"/>
          </w:tcPr>
          <w:p w14:paraId="15D75338">
            <w:pPr>
              <w:spacing w:before="20" w:after="20" w:line="276" w:lineRule="auto"/>
              <w:ind w:left="0" w:right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√</w:t>
            </w:r>
          </w:p>
        </w:tc>
        <w:tc>
          <w:tcPr>
            <w:tcW w:w="1417" w:type="dxa"/>
            <w:vAlign w:val="center"/>
          </w:tcPr>
          <w:p w14:paraId="568FBF65">
            <w:pPr>
              <w:spacing w:before="20" w:after="20" w:line="276" w:lineRule="auto"/>
              <w:ind w:left="0" w:right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√</w:t>
            </w:r>
          </w:p>
        </w:tc>
      </w:tr>
      <w:tr w14:paraId="365E7AC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02" w:type="dxa"/>
            <w:vAlign w:val="center"/>
          </w:tcPr>
          <w:p w14:paraId="448CA32D">
            <w:pPr>
              <w:spacing w:before="20" w:after="20" w:line="276" w:lineRule="auto"/>
              <w:ind w:left="0" w:right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发布版本与仓库治理</w:t>
            </w:r>
          </w:p>
        </w:tc>
        <w:tc>
          <w:tcPr>
            <w:tcW w:w="1417" w:type="dxa"/>
            <w:vAlign w:val="center"/>
          </w:tcPr>
          <w:p w14:paraId="209727A0">
            <w:pPr>
              <w:spacing w:before="20" w:after="20" w:line="276" w:lineRule="auto"/>
              <w:ind w:left="0" w:right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w="1417" w:type="dxa"/>
            <w:vAlign w:val="center"/>
          </w:tcPr>
          <w:p w14:paraId="52752291">
            <w:pPr>
              <w:spacing w:before="20" w:after="20" w:line="276" w:lineRule="auto"/>
              <w:ind w:left="0" w:right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w="1417" w:type="dxa"/>
            <w:vAlign w:val="center"/>
          </w:tcPr>
          <w:p w14:paraId="1EFA991D">
            <w:pPr>
              <w:spacing w:before="20" w:after="20" w:line="276" w:lineRule="auto"/>
              <w:ind w:left="0" w:right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w="1417" w:type="dxa"/>
            <w:vAlign w:val="center"/>
          </w:tcPr>
          <w:p w14:paraId="6B126CC4">
            <w:pPr>
              <w:spacing w:before="20" w:after="20" w:line="276" w:lineRule="auto"/>
              <w:ind w:left="0" w:right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√</w:t>
            </w:r>
          </w:p>
        </w:tc>
      </w:tr>
      <w:tr w14:paraId="34B9DBF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02" w:type="dxa"/>
            <w:vAlign w:val="center"/>
          </w:tcPr>
          <w:p w14:paraId="314A372B">
            <w:pPr>
              <w:spacing w:before="20" w:after="20" w:line="276" w:lineRule="auto"/>
              <w:ind w:left="0" w:right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管理委员会决策</w:t>
            </w:r>
          </w:p>
        </w:tc>
        <w:tc>
          <w:tcPr>
            <w:tcW w:w="1417" w:type="dxa"/>
            <w:vAlign w:val="center"/>
          </w:tcPr>
          <w:p w14:paraId="4F0381C3">
            <w:pPr>
              <w:spacing w:before="20" w:after="20" w:line="276" w:lineRule="auto"/>
              <w:ind w:left="0" w:right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w="1417" w:type="dxa"/>
            <w:vAlign w:val="center"/>
          </w:tcPr>
          <w:p w14:paraId="5A62CFB8">
            <w:pPr>
              <w:spacing w:before="20" w:after="20" w:line="276" w:lineRule="auto"/>
              <w:ind w:left="0" w:right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w="1417" w:type="dxa"/>
            <w:vAlign w:val="center"/>
          </w:tcPr>
          <w:p w14:paraId="62DD3F59">
            <w:pPr>
              <w:spacing w:before="20" w:after="20" w:line="276" w:lineRule="auto"/>
              <w:ind w:left="0" w:right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w="1417" w:type="dxa"/>
            <w:vAlign w:val="center"/>
          </w:tcPr>
          <w:p w14:paraId="5CF7C8B9">
            <w:pPr>
              <w:spacing w:before="20" w:after="20" w:line="276" w:lineRule="auto"/>
              <w:ind w:left="0" w:right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√</w:t>
            </w:r>
          </w:p>
        </w:tc>
      </w:tr>
    </w:tbl>
    <w:p w14:paraId="24F4BA1B">
      <w:pPr>
        <w:pStyle w:val="5"/>
      </w:pPr>
      <w:r>
        <w:rPr>
          <w:rFonts w:ascii="Times New Roman" w:hAnsi="Times New Roman" w:eastAsia="黑体"/>
          <w:b/>
          <w:color w:val="000000"/>
          <w:sz w:val="24"/>
        </w:rPr>
        <w:t>2.6.2 赛事权限</w:t>
      </w:r>
    </w:p>
    <w:p w14:paraId="1CBC85E7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只有正式成员（Developer）及以上身份有权限参与CURC-ROBOCON赛事的备赛与参赛工作。赛事参与资格按年度由管理委员会结合项目贡献核定；身份变动后权限即时调整。</w:t>
      </w:r>
    </w:p>
    <w:p w14:paraId="6BE2A28F">
      <w:pPr>
        <w:pStyle w:val="4"/>
      </w:pPr>
      <w:bookmarkStart w:id="12" w:name="_LarkToc00013"/>
      <w:r>
        <w:rPr>
          <w:rFonts w:ascii="Times New Roman" w:hAnsi="Times New Roman" w:eastAsia="黑体"/>
          <w:b/>
          <w:color w:val="000000"/>
          <w:sz w:val="28"/>
        </w:rPr>
        <w:t>2.7 贡献评估</w:t>
      </w:r>
      <w:bookmarkEnd w:id="12"/>
    </w:p>
    <w:p w14:paraId="7437128E">
      <w:pPr>
        <w:pStyle w:val="5"/>
      </w:pPr>
      <w:r>
        <w:rPr>
          <w:rFonts w:ascii="Times New Roman" w:hAnsi="Times New Roman" w:eastAsia="黑体"/>
          <w:b/>
          <w:color w:val="000000"/>
          <w:sz w:val="24"/>
        </w:rPr>
        <w:t>2.7.1 评估周期</w:t>
      </w:r>
    </w:p>
    <w:p w14:paraId="27CE303B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每3个月一次，与身份考核期保持一致，结合项目里程碑进行。</w:t>
      </w:r>
    </w:p>
    <w:p w14:paraId="6BAD9629">
      <w:pPr>
        <w:pStyle w:val="5"/>
      </w:pPr>
      <w:r>
        <w:rPr>
          <w:rFonts w:ascii="Times New Roman" w:hAnsi="Times New Roman" w:eastAsia="黑体"/>
          <w:b/>
          <w:color w:val="000000"/>
          <w:sz w:val="24"/>
        </w:rPr>
        <w:t>2.7.2 评估维度</w:t>
      </w:r>
    </w:p>
    <w:p w14:paraId="2CB525DB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代码贡献、协作贡献、组会考勤三个维度，权重由管理委员会发布。</w:t>
      </w:r>
    </w:p>
    <w:p w14:paraId="4EAA6667">
      <w:pPr>
        <w:pStyle w:val="5"/>
      </w:pPr>
      <w:r>
        <w:rPr>
          <w:rFonts w:ascii="Times New Roman" w:hAnsi="Times New Roman" w:eastAsia="黑体"/>
          <w:b/>
          <w:color w:val="000000"/>
          <w:sz w:val="24"/>
        </w:rPr>
        <w:t>2.7.3 评估流程</w:t>
      </w:r>
    </w:p>
    <w:p w14:paraId="311981D4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成员自评 → 项目负责人评价 → 管理委员会评定 → 结果公示。</w:t>
      </w:r>
    </w:p>
    <w:p w14:paraId="2FB3A7A4">
      <w:pPr>
        <w:pStyle w:val="5"/>
      </w:pPr>
      <w:r>
        <w:rPr>
          <w:rFonts w:ascii="Times New Roman" w:hAnsi="Times New Roman" w:eastAsia="黑体"/>
          <w:b/>
          <w:color w:val="000000"/>
          <w:sz w:val="24"/>
        </w:rPr>
        <w:t>2.7.4 结果应用</w:t>
      </w:r>
    </w:p>
    <w:p w14:paraId="610E1A6D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评估结果应用于身份转变、赛事资格核定与激励评优（见第八章）。</w:t>
      </w:r>
    </w:p>
    <w:p w14:paraId="69EA76D2">
      <w:pPr>
        <w:pStyle w:val="5"/>
      </w:pPr>
      <w:r>
        <w:rPr>
          <w:rFonts w:ascii="Times New Roman" w:hAnsi="Times New Roman" w:eastAsia="黑体"/>
          <w:b/>
          <w:color w:val="000000"/>
          <w:sz w:val="24"/>
        </w:rPr>
        <w:t>2.7.5 贡献榜单</w:t>
      </w:r>
    </w:p>
    <w:p w14:paraId="5A5155CE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社区建立基于真实代码贡献量的事实榜单：数据自动取自代码托管平台的合并PR、代码变更量、评审记录与Issue处理记录，按3个月周期统计并在官网公示。榜单作为身份晋升、激励评优与机会分配的重要依据，任何成员不得刷量、伪造或虚报贡献。</w:t>
      </w:r>
    </w:p>
    <w:p w14:paraId="4BEF0A15">
      <w:pPr>
        <w:pStyle w:val="3"/>
      </w:pPr>
      <w:bookmarkStart w:id="13" w:name="_LarkToc00014"/>
      <w:r>
        <w:rPr>
          <w:rFonts w:ascii="Times New Roman" w:hAnsi="Times New Roman" w:eastAsia="黑体"/>
          <w:b/>
          <w:color w:val="000000"/>
          <w:sz w:val="32"/>
        </w:rPr>
        <w:t>第三章 开源相关限制</w:t>
      </w:r>
      <w:bookmarkEnd w:id="13"/>
    </w:p>
    <w:p w14:paraId="29212F5D">
      <w:pPr>
        <w:pStyle w:val="4"/>
      </w:pPr>
      <w:bookmarkStart w:id="14" w:name="_LarkToc00015"/>
      <w:r>
        <w:rPr>
          <w:rFonts w:ascii="Times New Roman" w:hAnsi="Times New Roman" w:eastAsia="黑体"/>
          <w:b/>
          <w:color w:val="000000"/>
          <w:sz w:val="28"/>
        </w:rPr>
        <w:t>3.1 开源协议与许可证</w:t>
      </w:r>
      <w:bookmarkEnd w:id="14"/>
    </w:p>
    <w:p w14:paraId="1320776E">
      <w:pPr>
        <w:pStyle w:val="5"/>
      </w:pPr>
      <w:r>
        <w:rPr>
          <w:rFonts w:ascii="Times New Roman" w:hAnsi="Times New Roman" w:eastAsia="黑体"/>
          <w:b/>
          <w:color w:val="000000"/>
          <w:sz w:val="24"/>
        </w:rPr>
        <w:t>3.1.1 许可证统一管理</w:t>
      </w:r>
    </w:p>
    <w:p w14:paraId="25518BE2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社区项目统一采用管理委员会指定的开源许可证（如Apache-2.0、MIT等），并在仓库LICENSE文件中明确；成员不得擅自新增、更改或移除项目许可证。</w:t>
      </w:r>
    </w:p>
    <w:p w14:paraId="5E5094A0">
      <w:pPr>
        <w:pStyle w:val="5"/>
      </w:pPr>
      <w:r>
        <w:rPr>
          <w:rFonts w:ascii="Times New Roman" w:hAnsi="Times New Roman" w:eastAsia="黑体"/>
          <w:b/>
          <w:color w:val="000000"/>
          <w:sz w:val="24"/>
        </w:rPr>
        <w:t>3.1.2 贡献授权</w:t>
      </w:r>
    </w:p>
    <w:p w14:paraId="0AE94B0C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成员向社区项目提交的代码、文档等贡献，默认按该项目许可证条款授权社区及下游使用者使用；署名与版权声明按3.4执行。</w:t>
      </w:r>
    </w:p>
    <w:p w14:paraId="79976972">
      <w:pPr>
        <w:pStyle w:val="5"/>
      </w:pPr>
      <w:r>
        <w:rPr>
          <w:rFonts w:ascii="Times New Roman" w:hAnsi="Times New Roman" w:eastAsia="黑体"/>
          <w:b/>
          <w:color w:val="000000"/>
          <w:sz w:val="24"/>
        </w:rPr>
        <w:t>3.1.3 第三方代码合规</w:t>
      </w:r>
    </w:p>
    <w:p w14:paraId="13930219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使用第三方代码、库与素材时，必须遵守其许可证要求：1) 保留上游版权声明与许可证文本；2) 涉及GPL等传染性许可证的代码，须经Maintainer评审同意后方可引入社区开源项目，避免许可证污染；3) 引用需署名或声明出处的，必须如实标注。</w:t>
      </w:r>
    </w:p>
    <w:p w14:paraId="4366970E">
      <w:pPr>
        <w:pStyle w:val="5"/>
      </w:pPr>
      <w:r>
        <w:rPr>
          <w:rFonts w:ascii="Times New Roman" w:hAnsi="Times New Roman" w:eastAsia="黑体"/>
          <w:b/>
          <w:color w:val="000000"/>
          <w:sz w:val="24"/>
        </w:rPr>
        <w:t>3.1.4 来源要求</w:t>
      </w:r>
    </w:p>
    <w:p w14:paraId="7FC24CA2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禁止将来源不明、存在权利瑕疵或违反许可证的代码提交到社区仓库。</w:t>
      </w:r>
    </w:p>
    <w:p w14:paraId="27118A30">
      <w:pPr>
        <w:pStyle w:val="4"/>
      </w:pPr>
      <w:bookmarkStart w:id="15" w:name="_LarkToc00016"/>
      <w:r>
        <w:rPr>
          <w:rFonts w:ascii="Times New Roman" w:hAnsi="Times New Roman" w:eastAsia="黑体"/>
          <w:b/>
          <w:color w:val="000000"/>
          <w:sz w:val="28"/>
        </w:rPr>
        <w:t>3.2 代码与数据保密边界</w:t>
      </w:r>
      <w:bookmarkEnd w:id="15"/>
    </w:p>
    <w:p w14:paraId="044727E0">
      <w:pPr>
        <w:pStyle w:val="5"/>
      </w:pPr>
      <w:r>
        <w:rPr>
          <w:rFonts w:ascii="Times New Roman" w:hAnsi="Times New Roman" w:eastAsia="黑体"/>
          <w:b/>
          <w:color w:val="000000"/>
          <w:sz w:val="24"/>
        </w:rPr>
        <w:t>3.2.1 机密信息</w:t>
      </w:r>
    </w:p>
    <w:p w14:paraId="0C7260AF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未开源项目代码、比赛技术方案与策略、未公开发布的设计文档、赞助方及合作方信息、成员个人信息等属于社区机密信息，未经管理委员会授权，任何成员不得向社区外泄露或用于本项目之外用途。</w:t>
      </w:r>
    </w:p>
    <w:p w14:paraId="317F302E">
      <w:pPr>
        <w:pStyle w:val="5"/>
      </w:pPr>
      <w:r>
        <w:rPr>
          <w:rFonts w:ascii="Times New Roman" w:hAnsi="Times New Roman" w:eastAsia="黑体"/>
          <w:b/>
          <w:color w:val="000000"/>
          <w:sz w:val="24"/>
        </w:rPr>
        <w:t>3.2.2 数据合规</w:t>
      </w:r>
    </w:p>
    <w:p w14:paraId="76921879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成员在项目过程中涉及数据处理（含个人信息）活动的，应遵循《中华人民共和国网络安全法》《中华人民共和国数据安全法》《中华人民共和国个人信息保护法》等相关法律法规，不得将数据用于违法活动、数据交易等不符合规定的用途。</w:t>
      </w:r>
    </w:p>
    <w:p w14:paraId="2767B7FE">
      <w:pPr>
        <w:pStyle w:val="5"/>
      </w:pPr>
      <w:r>
        <w:rPr>
          <w:rFonts w:ascii="Times New Roman" w:hAnsi="Times New Roman" w:eastAsia="黑体"/>
          <w:b/>
          <w:color w:val="000000"/>
          <w:sz w:val="24"/>
        </w:rPr>
        <w:t>3.2.3 开源边界</w:t>
      </w:r>
    </w:p>
    <w:p w14:paraId="75A5C48E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开源不等于公开一切：仓库中未开源目录、私有文档以及API密钥、凭据、内网地址等敏感信息，严禁提交到公开仓库。</w:t>
      </w:r>
    </w:p>
    <w:p w14:paraId="2C68152A">
      <w:pPr>
        <w:pStyle w:val="4"/>
      </w:pPr>
      <w:bookmarkStart w:id="16" w:name="_LarkToc00017"/>
      <w:r>
        <w:rPr>
          <w:rFonts w:ascii="Times New Roman" w:hAnsi="Times New Roman" w:eastAsia="黑体"/>
          <w:b/>
          <w:color w:val="000000"/>
          <w:sz w:val="28"/>
        </w:rPr>
        <w:t>3.3 发布与外部行为限制</w:t>
      </w:r>
      <w:bookmarkEnd w:id="16"/>
    </w:p>
    <w:p w14:paraId="45F1F8E5">
      <w:pPr>
        <w:pStyle w:val="5"/>
      </w:pPr>
      <w:r>
        <w:rPr>
          <w:rFonts w:ascii="Times New Roman" w:hAnsi="Times New Roman" w:eastAsia="黑体"/>
          <w:b/>
          <w:color w:val="000000"/>
          <w:sz w:val="24"/>
        </w:rPr>
        <w:t>3.3.1 对外发布授权</w:t>
      </w:r>
    </w:p>
    <w:p w14:paraId="20B3AD46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未经管理委员会授权，任何成员不得以社区名义对外发布信息、接受采访、发表公开声明或注册社区相关账号。</w:t>
      </w:r>
    </w:p>
    <w:p w14:paraId="5A475875">
      <w:pPr>
        <w:pStyle w:val="5"/>
      </w:pPr>
      <w:r>
        <w:rPr>
          <w:rFonts w:ascii="Times New Roman" w:hAnsi="Times New Roman" w:eastAsia="黑体"/>
          <w:b/>
          <w:color w:val="000000"/>
          <w:sz w:val="24"/>
        </w:rPr>
        <w:t>3.3.2 言论与形象</w:t>
      </w:r>
    </w:p>
    <w:p w14:paraId="27E1637A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成员不得在公开平台发布诋毁社区、赛事主办方、学校或他人的不实言论，不得恶意夸大或歪曲事实。</w:t>
      </w:r>
    </w:p>
    <w:p w14:paraId="3525AC40">
      <w:pPr>
        <w:pStyle w:val="5"/>
      </w:pPr>
      <w:r>
        <w:rPr>
          <w:rFonts w:ascii="Times New Roman" w:hAnsi="Times New Roman" w:eastAsia="黑体"/>
          <w:b/>
          <w:color w:val="000000"/>
          <w:sz w:val="24"/>
        </w:rPr>
        <w:t>3.3.3 诚信禁止</w:t>
      </w:r>
    </w:p>
    <w:p w14:paraId="1F4538AA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禁止伪造贡献记录、刷Star/PR/Issue、抄袭他人代码冒充己作、虚报工作量等不诚信行为。</w:t>
      </w:r>
    </w:p>
    <w:p w14:paraId="1BE1EFFA">
      <w:pPr>
        <w:pStyle w:val="4"/>
      </w:pPr>
      <w:bookmarkStart w:id="17" w:name="_LarkToc00018"/>
      <w:r>
        <w:rPr>
          <w:rFonts w:ascii="Times New Roman" w:hAnsi="Times New Roman" w:eastAsia="黑体"/>
          <w:b/>
          <w:color w:val="000000"/>
          <w:sz w:val="28"/>
        </w:rPr>
        <w:t>3.4 知识产权与署名</w:t>
      </w:r>
      <w:bookmarkEnd w:id="17"/>
    </w:p>
    <w:p w14:paraId="1BCDB547">
      <w:pPr>
        <w:pStyle w:val="5"/>
      </w:pPr>
      <w:r>
        <w:rPr>
          <w:rFonts w:ascii="Times New Roman" w:hAnsi="Times New Roman" w:eastAsia="黑体"/>
          <w:b/>
          <w:color w:val="000000"/>
          <w:sz w:val="24"/>
        </w:rPr>
        <w:t>3.4.1 权利归属</w:t>
      </w:r>
    </w:p>
    <w:p w14:paraId="1756E3C2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社区项目的知识产权归属按项目约定与开源许可证执行；成员贡献的代码、文档知识产权按许可证授权给社区及下游使用者，成员保留作者署名权（按平台与许可证约定署名）。</w:t>
      </w:r>
    </w:p>
    <w:p w14:paraId="76B52C7C">
      <w:pPr>
        <w:pStyle w:val="5"/>
      </w:pPr>
      <w:r>
        <w:rPr>
          <w:rFonts w:ascii="Times New Roman" w:hAnsi="Times New Roman" w:eastAsia="黑体"/>
          <w:b/>
          <w:color w:val="000000"/>
          <w:sz w:val="24"/>
        </w:rPr>
        <w:t>3.4.2 署名与版权声明</w:t>
      </w:r>
    </w:p>
    <w:p w14:paraId="41D1204B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引用他人代码、文档、图片时，应保留原作者版权声明与署名，不得擅自删除。</w:t>
      </w:r>
    </w:p>
    <w:p w14:paraId="4D32E454">
      <w:pPr>
        <w:pStyle w:val="5"/>
      </w:pPr>
      <w:r>
        <w:rPr>
          <w:rFonts w:ascii="Times New Roman" w:hAnsi="Times New Roman" w:eastAsia="黑体"/>
          <w:b/>
          <w:color w:val="000000"/>
          <w:sz w:val="24"/>
        </w:rPr>
        <w:t>3.4.3 退出后的义务</w:t>
      </w:r>
    </w:p>
    <w:p w14:paraId="6D14F4FF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成员离开社区后，仍应继续履行对社区机密信息的保密义务，不得泄露未开源技术资料与敏感信息。</w:t>
      </w:r>
    </w:p>
    <w:p w14:paraId="5D31E690">
      <w:pPr>
        <w:pStyle w:val="3"/>
      </w:pPr>
      <w:bookmarkStart w:id="18" w:name="_LarkToc00019"/>
      <w:r>
        <w:rPr>
          <w:rFonts w:ascii="Times New Roman" w:hAnsi="Times New Roman" w:eastAsia="黑体"/>
          <w:b/>
          <w:color w:val="000000"/>
          <w:sz w:val="32"/>
        </w:rPr>
        <w:t>第四章 CLI 使用规范</w:t>
      </w:r>
      <w:bookmarkEnd w:id="18"/>
    </w:p>
    <w:p w14:paraId="16219974">
      <w:pPr>
        <w:pStyle w:val="4"/>
      </w:pPr>
      <w:bookmarkStart w:id="19" w:name="_LarkToc00020"/>
      <w:r>
        <w:rPr>
          <w:rFonts w:ascii="Times New Roman" w:hAnsi="Times New Roman" w:eastAsia="黑体"/>
          <w:b/>
          <w:color w:val="000000"/>
          <w:sz w:val="28"/>
        </w:rPr>
        <w:t>4.1 环境与工具</w:t>
      </w:r>
      <w:bookmarkEnd w:id="19"/>
    </w:p>
    <w:p w14:paraId="7CF0CA10">
      <w:pPr>
        <w:pStyle w:val="5"/>
      </w:pPr>
      <w:r>
        <w:rPr>
          <w:rFonts w:ascii="Times New Roman" w:hAnsi="Times New Roman" w:eastAsia="黑体"/>
          <w:b/>
          <w:color w:val="000000"/>
          <w:sz w:val="24"/>
        </w:rPr>
        <w:t>4.1.1 统一平台</w:t>
      </w:r>
    </w:p>
    <w:p w14:paraId="5A877441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社区代码托管于统一平台：主仓库（Gitee）地址为 https://gitee.com/darrenpig/new_energy_coder_club ，GitHub组织地址为 https://github.com/new-energy-coder-club 。成员使用Git及平台官方CLI（如gh）进行日常操作；首次使用前按项目README完成开发环境配置。</w:t>
      </w:r>
    </w:p>
    <w:p w14:paraId="5A392AD9">
      <w:pPr>
        <w:pStyle w:val="5"/>
      </w:pPr>
      <w:r>
        <w:rPr>
          <w:rFonts w:ascii="Times New Roman" w:hAnsi="Times New Roman" w:eastAsia="黑体"/>
          <w:b/>
          <w:color w:val="000000"/>
          <w:sz w:val="24"/>
        </w:rPr>
        <w:t>4.1.2 账号规范</w:t>
      </w:r>
    </w:p>
    <w:p w14:paraId="65CD34E2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使用统一的代码托管账号，账号昵称与邮箱建议与社区登记信息一致，便于贡献归属统计。</w:t>
      </w:r>
    </w:p>
    <w:p w14:paraId="54C3EFC1">
      <w:pPr>
        <w:pStyle w:val="4"/>
      </w:pPr>
      <w:bookmarkStart w:id="20" w:name="_LarkToc00021"/>
      <w:r>
        <w:rPr>
          <w:rFonts w:ascii="Times New Roman" w:hAnsi="Times New Roman" w:eastAsia="黑体"/>
          <w:b/>
          <w:color w:val="000000"/>
          <w:sz w:val="28"/>
        </w:rPr>
        <w:t>4.2 Git 常用命令规范</w:t>
      </w:r>
      <w:bookmarkEnd w:id="20"/>
    </w:p>
    <w:p w14:paraId="6901A95B">
      <w:pPr>
        <w:pStyle w:val="5"/>
      </w:pPr>
      <w:r>
        <w:rPr>
          <w:rFonts w:ascii="Times New Roman" w:hAnsi="Times New Roman" w:eastAsia="黑体"/>
          <w:b/>
          <w:color w:val="000000"/>
          <w:sz w:val="24"/>
        </w:rPr>
        <w:t>4.2.1 常用命令速查</w:t>
      </w:r>
    </w:p>
    <w:p w14:paraId="155658EB">
      <w:pPr>
        <w:keepNext/>
        <w:spacing w:before="120" w:after="80"/>
        <w:ind w:firstLine="0" w:firstLineChars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表4-1 Git常用命令速查表</w:t>
      </w:r>
    </w:p>
    <w:tbl>
      <w:tblPr>
        <w:tblStyle w:val="34"/>
        <w:tblW w:w="9072" w:type="dxa"/>
        <w:tblInd w:w="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5"/>
        <w:gridCol w:w="2268"/>
        <w:gridCol w:w="3288"/>
      </w:tblGrid>
      <w:tr w14:paraId="1565F81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515" w:type="dxa"/>
            <w:shd w:val="clear" w:color="auto" w:fill="D9D9D9"/>
            <w:vAlign w:val="center"/>
          </w:tcPr>
          <w:p w14:paraId="421A4914">
            <w:pPr>
              <w:spacing w:before="20" w:after="20" w:line="276" w:lineRule="auto"/>
              <w:ind w:left="0" w:right="0" w:firstLine="0" w:firstLineChars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命令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7392B697">
            <w:pPr>
              <w:spacing w:before="20" w:after="20" w:line="276" w:lineRule="auto"/>
              <w:ind w:left="0" w:right="0" w:firstLine="0" w:firstLineChars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用途</w:t>
            </w:r>
          </w:p>
        </w:tc>
        <w:tc>
          <w:tcPr>
            <w:tcW w:w="3288" w:type="dxa"/>
            <w:shd w:val="clear" w:color="auto" w:fill="D9D9D9"/>
            <w:vAlign w:val="center"/>
          </w:tcPr>
          <w:p w14:paraId="070C1763">
            <w:pPr>
              <w:spacing w:before="20" w:after="20" w:line="276" w:lineRule="auto"/>
              <w:ind w:left="0" w:right="0" w:firstLine="0" w:firstLineChars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注意事项</w:t>
            </w:r>
          </w:p>
        </w:tc>
      </w:tr>
      <w:tr w14:paraId="46B8A1B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15" w:type="dxa"/>
            <w:vAlign w:val="center"/>
          </w:tcPr>
          <w:p w14:paraId="4E0F98BC">
            <w:pPr>
              <w:spacing w:before="20" w:after="20" w:line="276" w:lineRule="auto"/>
              <w:ind w:left="0" w:right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git clone &lt;仓库地址&gt;</w:t>
            </w:r>
          </w:p>
        </w:tc>
        <w:tc>
          <w:tcPr>
            <w:tcW w:w="2268" w:type="dxa"/>
            <w:vAlign w:val="center"/>
          </w:tcPr>
          <w:p w14:paraId="05D78B10">
            <w:pPr>
              <w:spacing w:before="20" w:after="20" w:line="276" w:lineRule="auto"/>
              <w:ind w:left="0" w:right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克隆仓库到本地</w:t>
            </w:r>
          </w:p>
        </w:tc>
        <w:tc>
          <w:tcPr>
            <w:tcW w:w="3288" w:type="dxa"/>
            <w:vAlign w:val="center"/>
          </w:tcPr>
          <w:p w14:paraId="23DECB39">
            <w:pPr>
              <w:spacing w:before="20" w:after="20" w:line="276" w:lineRule="auto"/>
              <w:ind w:left="0" w:right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使用SSH或平台要求的认证方式</w:t>
            </w:r>
          </w:p>
        </w:tc>
      </w:tr>
      <w:tr w14:paraId="4294C3D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15" w:type="dxa"/>
            <w:vAlign w:val="center"/>
          </w:tcPr>
          <w:p w14:paraId="563BE4EA">
            <w:pPr>
              <w:spacing w:before="20" w:after="20" w:line="276" w:lineRule="auto"/>
              <w:ind w:left="0" w:right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git status</w:t>
            </w:r>
          </w:p>
        </w:tc>
        <w:tc>
          <w:tcPr>
            <w:tcW w:w="2268" w:type="dxa"/>
            <w:vAlign w:val="center"/>
          </w:tcPr>
          <w:p w14:paraId="3CFCB0A9">
            <w:pPr>
              <w:spacing w:before="20" w:after="20" w:line="276" w:lineRule="auto"/>
              <w:ind w:left="0" w:right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查看工作区状态</w:t>
            </w:r>
          </w:p>
        </w:tc>
        <w:tc>
          <w:tcPr>
            <w:tcW w:w="3288" w:type="dxa"/>
            <w:vAlign w:val="center"/>
          </w:tcPr>
          <w:p w14:paraId="61E46047">
            <w:pPr>
              <w:spacing w:before="20" w:after="20" w:line="276" w:lineRule="auto"/>
              <w:ind w:left="0" w:right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提交前必查</w:t>
            </w:r>
          </w:p>
        </w:tc>
      </w:tr>
      <w:tr w14:paraId="72BA523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15" w:type="dxa"/>
            <w:vAlign w:val="center"/>
          </w:tcPr>
          <w:p w14:paraId="25E2B2C2">
            <w:pPr>
              <w:spacing w:before="20" w:after="20" w:line="276" w:lineRule="auto"/>
              <w:ind w:left="0" w:right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git log --oneline</w:t>
            </w:r>
          </w:p>
        </w:tc>
        <w:tc>
          <w:tcPr>
            <w:tcW w:w="2268" w:type="dxa"/>
            <w:vAlign w:val="center"/>
          </w:tcPr>
          <w:p w14:paraId="1C9349B5">
            <w:pPr>
              <w:spacing w:before="20" w:after="20" w:line="276" w:lineRule="auto"/>
              <w:ind w:left="0" w:right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查看提交历史</w:t>
            </w:r>
          </w:p>
        </w:tc>
        <w:tc>
          <w:tcPr>
            <w:tcW w:w="3288" w:type="dxa"/>
            <w:vAlign w:val="center"/>
          </w:tcPr>
          <w:p w14:paraId="6F664C3D">
            <w:pPr>
              <w:spacing w:before="20" w:after="20" w:line="276" w:lineRule="auto"/>
              <w:ind w:left="0" w:right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保持提交历史整洁</w:t>
            </w:r>
          </w:p>
        </w:tc>
      </w:tr>
      <w:tr w14:paraId="28B1D03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15" w:type="dxa"/>
            <w:vAlign w:val="center"/>
          </w:tcPr>
          <w:p w14:paraId="75A260C8">
            <w:pPr>
              <w:spacing w:before="20" w:after="20" w:line="276" w:lineRule="auto"/>
              <w:ind w:left="0" w:right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git branch &lt;分支名&gt;</w:t>
            </w:r>
          </w:p>
        </w:tc>
        <w:tc>
          <w:tcPr>
            <w:tcW w:w="2268" w:type="dxa"/>
            <w:vAlign w:val="center"/>
          </w:tcPr>
          <w:p w14:paraId="5A2EC569">
            <w:pPr>
              <w:spacing w:before="20" w:after="20" w:line="276" w:lineRule="auto"/>
              <w:ind w:left="0" w:right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新建分支</w:t>
            </w:r>
          </w:p>
        </w:tc>
        <w:tc>
          <w:tcPr>
            <w:tcW w:w="3288" w:type="dxa"/>
            <w:vAlign w:val="center"/>
          </w:tcPr>
          <w:p w14:paraId="0E0C011A">
            <w:pPr>
              <w:spacing w:before="20" w:after="20" w:line="276" w:lineRule="auto"/>
              <w:ind w:left="0" w:right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按4.3规范命名</w:t>
            </w:r>
          </w:p>
        </w:tc>
      </w:tr>
      <w:tr w14:paraId="167B5C3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15" w:type="dxa"/>
            <w:vAlign w:val="center"/>
          </w:tcPr>
          <w:p w14:paraId="3815B250">
            <w:pPr>
              <w:spacing w:before="20" w:after="20" w:line="276" w:lineRule="auto"/>
              <w:ind w:left="0" w:right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git add &lt;文件&gt;</w:t>
            </w:r>
          </w:p>
        </w:tc>
        <w:tc>
          <w:tcPr>
            <w:tcW w:w="2268" w:type="dxa"/>
            <w:vAlign w:val="center"/>
          </w:tcPr>
          <w:p w14:paraId="3C904B7B">
            <w:pPr>
              <w:spacing w:before="20" w:after="20" w:line="276" w:lineRule="auto"/>
              <w:ind w:left="0" w:right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暂存变更</w:t>
            </w:r>
          </w:p>
        </w:tc>
        <w:tc>
          <w:tcPr>
            <w:tcW w:w="3288" w:type="dxa"/>
            <w:vAlign w:val="center"/>
          </w:tcPr>
          <w:p w14:paraId="533C0E65">
            <w:pPr>
              <w:spacing w:before="20" w:after="20" w:line="276" w:lineRule="auto"/>
              <w:ind w:left="0" w:right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只添加本任务相关文件</w:t>
            </w:r>
          </w:p>
        </w:tc>
      </w:tr>
      <w:tr w14:paraId="1E75A10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15" w:type="dxa"/>
            <w:vAlign w:val="center"/>
          </w:tcPr>
          <w:p w14:paraId="37145627">
            <w:pPr>
              <w:spacing w:before="20" w:after="20" w:line="276" w:lineRule="auto"/>
              <w:ind w:left="0" w:right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git commit -m '&lt;信息&gt;'</w:t>
            </w:r>
          </w:p>
        </w:tc>
        <w:tc>
          <w:tcPr>
            <w:tcW w:w="2268" w:type="dxa"/>
            <w:vAlign w:val="center"/>
          </w:tcPr>
          <w:p w14:paraId="682C6CEC">
            <w:pPr>
              <w:spacing w:before="20" w:after="20" w:line="276" w:lineRule="auto"/>
              <w:ind w:left="0" w:right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提交</w:t>
            </w:r>
          </w:p>
        </w:tc>
        <w:tc>
          <w:tcPr>
            <w:tcW w:w="3288" w:type="dxa"/>
            <w:vAlign w:val="center"/>
          </w:tcPr>
          <w:p w14:paraId="3736D2CA">
            <w:pPr>
              <w:spacing w:before="20" w:after="20" w:line="276" w:lineRule="auto"/>
              <w:ind w:left="0" w:right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按Conventional Commits规范</w:t>
            </w:r>
          </w:p>
        </w:tc>
      </w:tr>
      <w:tr w14:paraId="623AC97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15" w:type="dxa"/>
            <w:vAlign w:val="center"/>
          </w:tcPr>
          <w:p w14:paraId="76E23E3B">
            <w:pPr>
              <w:spacing w:before="20" w:after="20" w:line="276" w:lineRule="auto"/>
              <w:ind w:left="0" w:right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git push -u origin &lt;分支&gt;</w:t>
            </w:r>
          </w:p>
        </w:tc>
        <w:tc>
          <w:tcPr>
            <w:tcW w:w="2268" w:type="dxa"/>
            <w:vAlign w:val="center"/>
          </w:tcPr>
          <w:p w14:paraId="502CC0DA">
            <w:pPr>
              <w:spacing w:before="20" w:after="20" w:line="276" w:lineRule="auto"/>
              <w:ind w:left="0" w:right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推送分支</w:t>
            </w:r>
          </w:p>
        </w:tc>
        <w:tc>
          <w:tcPr>
            <w:tcW w:w="3288" w:type="dxa"/>
            <w:vAlign w:val="center"/>
          </w:tcPr>
          <w:p w14:paraId="45873947">
            <w:pPr>
              <w:spacing w:before="20" w:after="20" w:line="276" w:lineRule="auto"/>
              <w:ind w:left="0" w:right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不要force push共享分支</w:t>
            </w:r>
          </w:p>
        </w:tc>
      </w:tr>
      <w:tr w14:paraId="433467A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15" w:type="dxa"/>
            <w:vAlign w:val="center"/>
          </w:tcPr>
          <w:p w14:paraId="52DC8817">
            <w:pPr>
              <w:spacing w:before="20" w:after="20" w:line="276" w:lineRule="auto"/>
              <w:ind w:left="0" w:right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git fetch / git pull --rebase</w:t>
            </w:r>
          </w:p>
        </w:tc>
        <w:tc>
          <w:tcPr>
            <w:tcW w:w="2268" w:type="dxa"/>
            <w:vAlign w:val="center"/>
          </w:tcPr>
          <w:p w14:paraId="225FE882">
            <w:pPr>
              <w:spacing w:before="20" w:after="20" w:line="276" w:lineRule="auto"/>
              <w:ind w:left="0" w:right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同步远端</w:t>
            </w:r>
          </w:p>
        </w:tc>
        <w:tc>
          <w:tcPr>
            <w:tcW w:w="3288" w:type="dxa"/>
            <w:vAlign w:val="center"/>
          </w:tcPr>
          <w:p w14:paraId="29CEC293">
            <w:pPr>
              <w:spacing w:before="20" w:after="20" w:line="276" w:lineRule="auto"/>
              <w:ind w:left="0" w:right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优先rebase保持线性历史</w:t>
            </w:r>
          </w:p>
        </w:tc>
      </w:tr>
      <w:tr w14:paraId="48D3970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15" w:type="dxa"/>
            <w:vAlign w:val="center"/>
          </w:tcPr>
          <w:p w14:paraId="04B6C2E2">
            <w:pPr>
              <w:spacing w:before="20" w:after="20" w:line="276" w:lineRule="auto"/>
              <w:ind w:left="0" w:right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git stash</w:t>
            </w:r>
          </w:p>
        </w:tc>
        <w:tc>
          <w:tcPr>
            <w:tcW w:w="2268" w:type="dxa"/>
            <w:vAlign w:val="center"/>
          </w:tcPr>
          <w:p w14:paraId="4C829720">
            <w:pPr>
              <w:spacing w:before="20" w:after="20" w:line="276" w:lineRule="auto"/>
              <w:ind w:left="0" w:right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暂存未提交改动</w:t>
            </w:r>
          </w:p>
        </w:tc>
        <w:tc>
          <w:tcPr>
            <w:tcW w:w="3288" w:type="dxa"/>
            <w:vAlign w:val="center"/>
          </w:tcPr>
          <w:p w14:paraId="60D052D0">
            <w:pPr>
              <w:spacing w:before="20" w:after="20" w:line="276" w:lineRule="auto"/>
              <w:ind w:left="0" w:right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切换任务前使用</w:t>
            </w:r>
          </w:p>
        </w:tc>
      </w:tr>
      <w:tr w14:paraId="4759141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15" w:type="dxa"/>
            <w:vAlign w:val="center"/>
          </w:tcPr>
          <w:p w14:paraId="542D7C0B">
            <w:pPr>
              <w:spacing w:before="20" w:after="20" w:line="276" w:lineRule="auto"/>
              <w:ind w:left="0" w:right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git tag &lt;版本号&gt;</w:t>
            </w:r>
          </w:p>
        </w:tc>
        <w:tc>
          <w:tcPr>
            <w:tcW w:w="2268" w:type="dxa"/>
            <w:vAlign w:val="center"/>
          </w:tcPr>
          <w:p w14:paraId="0CF1861F">
            <w:pPr>
              <w:spacing w:before="20" w:after="20" w:line="276" w:lineRule="auto"/>
              <w:ind w:left="0" w:right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打标签</w:t>
            </w:r>
          </w:p>
        </w:tc>
        <w:tc>
          <w:tcPr>
            <w:tcW w:w="3288" w:type="dxa"/>
            <w:vAlign w:val="center"/>
          </w:tcPr>
          <w:p w14:paraId="58A9AA65">
            <w:pPr>
              <w:spacing w:before="20" w:after="20" w:line="276" w:lineRule="auto"/>
              <w:ind w:left="0" w:right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仅Maintainer执行</w:t>
            </w:r>
          </w:p>
        </w:tc>
      </w:tr>
    </w:tbl>
    <w:p w14:paraId="74896622">
      <w:pPr>
        <w:pStyle w:val="5"/>
      </w:pPr>
      <w:r>
        <w:rPr>
          <w:rFonts w:ascii="Times New Roman" w:hAnsi="Times New Roman" w:eastAsia="黑体"/>
          <w:b/>
          <w:color w:val="000000"/>
          <w:sz w:val="24"/>
        </w:rPr>
        <w:t>4.2.2 使用纪律</w:t>
      </w:r>
    </w:p>
    <w:p w14:paraId="377F435D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1) 禁止对main或共享分支执行force push；2) 禁止绕过PR直接向main提交；3) 提交前先执行git pull --rebase，减少冲突；4) 涉及大文件（≥50MB）使用平台大文件支持，禁止直接入库。</w:t>
      </w:r>
    </w:p>
    <w:p w14:paraId="5217471F">
      <w:pPr>
        <w:pStyle w:val="4"/>
      </w:pPr>
      <w:bookmarkStart w:id="21" w:name="_LarkToc00022"/>
      <w:r>
        <w:rPr>
          <w:rFonts w:ascii="Times New Roman" w:hAnsi="Times New Roman" w:eastAsia="黑体"/>
          <w:b/>
          <w:color w:val="000000"/>
          <w:sz w:val="28"/>
        </w:rPr>
        <w:t>4.3 分支与提交规范</w:t>
      </w:r>
      <w:bookmarkEnd w:id="21"/>
    </w:p>
    <w:p w14:paraId="128CD8A5">
      <w:pPr>
        <w:pStyle w:val="5"/>
      </w:pPr>
      <w:r>
        <w:rPr>
          <w:rFonts w:ascii="Times New Roman" w:hAnsi="Times New Roman" w:eastAsia="黑体"/>
          <w:b/>
          <w:color w:val="000000"/>
          <w:sz w:val="24"/>
        </w:rPr>
        <w:t>4.3.1 分支命名</w:t>
      </w:r>
    </w:p>
    <w:p w14:paraId="32C91602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分支命名格式：feature/功能名、fix/问题描述、docs/文档主题、refactor/重构主题、test/测试主题。示例：feature/imu姿态解算、fix/串口丢包。</w:t>
      </w:r>
    </w:p>
    <w:p w14:paraId="4AF73722">
      <w:pPr>
        <w:pStyle w:val="5"/>
      </w:pPr>
      <w:r>
        <w:rPr>
          <w:rFonts w:ascii="Times New Roman" w:hAnsi="Times New Roman" w:eastAsia="黑体"/>
          <w:b/>
          <w:color w:val="000000"/>
          <w:sz w:val="24"/>
        </w:rPr>
        <w:t>4.3.2 提交信息规范</w:t>
      </w:r>
    </w:p>
    <w:p w14:paraId="252E9F7E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提交信息遵循Conventional Commits规范，格式为：&lt;类型&gt;(&lt;作用域&gt;): &lt;描述&gt;。类型包括feat（新功能）、fix（修复）、docs（文档）、refactor（重构）、test（测试）、chore（构建/杂务）。示例：feat(can): 新增电机控制报文解析。</w:t>
      </w:r>
    </w:p>
    <w:p w14:paraId="4933D7AA">
      <w:pPr>
        <w:pStyle w:val="5"/>
      </w:pPr>
      <w:r>
        <w:rPr>
          <w:rFonts w:ascii="Times New Roman" w:hAnsi="Times New Roman" w:eastAsia="黑体"/>
          <w:b/>
          <w:color w:val="000000"/>
          <w:sz w:val="24"/>
        </w:rPr>
        <w:t>4.3.3 提交粒度</w:t>
      </w:r>
    </w:p>
    <w:p w14:paraId="08CF17FB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一次提交对应一个逻辑变更，不夹杂无关修改；不提交生成物、临时文件与本地配置。</w:t>
      </w:r>
    </w:p>
    <w:p w14:paraId="45AD46FB">
      <w:pPr>
        <w:pStyle w:val="4"/>
      </w:pPr>
      <w:bookmarkStart w:id="22" w:name="_LarkToc00023"/>
      <w:r>
        <w:rPr>
          <w:rFonts w:ascii="Times New Roman" w:hAnsi="Times New Roman" w:eastAsia="黑体"/>
          <w:b/>
          <w:color w:val="000000"/>
          <w:sz w:val="28"/>
        </w:rPr>
        <w:t>4.4 仓库操作限制</w:t>
      </w:r>
      <w:bookmarkEnd w:id="22"/>
    </w:p>
    <w:p w14:paraId="5CE9B3C6">
      <w:pPr>
        <w:pStyle w:val="5"/>
      </w:pPr>
      <w:r>
        <w:rPr>
          <w:rFonts w:ascii="Times New Roman" w:hAnsi="Times New Roman" w:eastAsia="黑体"/>
          <w:b/>
          <w:color w:val="000000"/>
          <w:sz w:val="24"/>
        </w:rPr>
        <w:t>4.4.1 写权限分级</w:t>
      </w:r>
    </w:p>
    <w:p w14:paraId="5B0E631C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分支写权限自Committer起开放；main分支与发布分支的写权限由Maintainer管理。</w:t>
      </w:r>
    </w:p>
    <w:p w14:paraId="154DC515">
      <w:pPr>
        <w:pStyle w:val="5"/>
      </w:pPr>
      <w:r>
        <w:rPr>
          <w:rFonts w:ascii="Times New Roman" w:hAnsi="Times New Roman" w:eastAsia="黑体"/>
          <w:b/>
          <w:color w:val="000000"/>
          <w:sz w:val="24"/>
        </w:rPr>
        <w:t>4.4.2 冲突处理</w:t>
      </w:r>
    </w:p>
    <w:p w14:paraId="17CC8BF9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rebase或merge冲突时，按项目约定解决并保留双方必要改动；不确定时在PR中说明。</w:t>
      </w:r>
    </w:p>
    <w:p w14:paraId="4CC8CC86">
      <w:pPr>
        <w:pStyle w:val="5"/>
      </w:pPr>
      <w:r>
        <w:rPr>
          <w:rFonts w:ascii="Times New Roman" w:hAnsi="Times New Roman" w:eastAsia="黑体"/>
          <w:b/>
          <w:color w:val="000000"/>
          <w:sz w:val="24"/>
        </w:rPr>
        <w:t>4.4.3 版本发布</w:t>
      </w:r>
    </w:p>
    <w:p w14:paraId="79D76433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tag与release仅由Maintainer执行；发布前完成版本说明（CHANGELOG）与许可证核对。</w:t>
      </w:r>
    </w:p>
    <w:p w14:paraId="2758BBA0">
      <w:pPr>
        <w:pStyle w:val="3"/>
      </w:pPr>
      <w:bookmarkStart w:id="23" w:name="_LarkToc00024"/>
      <w:r>
        <w:rPr>
          <w:rFonts w:ascii="Times New Roman" w:hAnsi="Times New Roman" w:eastAsia="黑体"/>
          <w:b/>
          <w:color w:val="000000"/>
          <w:sz w:val="32"/>
        </w:rPr>
        <w:t>第五章 代码贡献规范</w:t>
      </w:r>
      <w:bookmarkEnd w:id="23"/>
    </w:p>
    <w:p w14:paraId="5FE8D464">
      <w:pPr>
        <w:pStyle w:val="4"/>
      </w:pPr>
      <w:bookmarkStart w:id="24" w:name="_LarkToc00025"/>
      <w:r>
        <w:rPr>
          <w:rFonts w:ascii="Times New Roman" w:hAnsi="Times New Roman" w:eastAsia="黑体"/>
          <w:b/>
          <w:color w:val="000000"/>
          <w:sz w:val="28"/>
        </w:rPr>
        <w:t>5.1 代码贡献流程</w:t>
      </w:r>
      <w:bookmarkEnd w:id="24"/>
    </w:p>
    <w:p w14:paraId="59AA9DCB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社区代码贡献遵循以下流程：</w:t>
      </w:r>
    </w:p>
    <w:p w14:paraId="1C9154A5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1) 认领任务：在Issue中认领任务或由项目负责人指派，明确任务范围；</w:t>
      </w:r>
    </w:p>
    <w:p w14:paraId="26E9B9EF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2) Fork与建分支：Fork仓库，新建符合4.3规范的分支；</w:t>
      </w:r>
    </w:p>
    <w:p w14:paraId="3A1B9D80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3) 开发实现：按项目代码风格实现功能，同步补充测试与文档；</w:t>
      </w:r>
    </w:p>
    <w:p w14:paraId="0020ABAD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4) 自测验证：本地运行测试与构建，确保通过；</w:t>
      </w:r>
    </w:p>
    <w:p w14:paraId="54A441B0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5) 提交推送：按4.3规范提交并推送分支；</w:t>
      </w:r>
    </w:p>
    <w:p w14:paraId="31A53E48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6) 提交PR：填写PR模板，说明改动内容、测试方式与关联Issue；</w:t>
      </w:r>
    </w:p>
    <w:p w14:paraId="67661EB7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7) 代码评审：至少1名具备合并权限的成员评审（见5.4）；</w:t>
      </w:r>
    </w:p>
    <w:p w14:paraId="545865DF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8) 合并关闭：CI通过且评审通过后合并，关闭关联Issue。</w:t>
      </w:r>
    </w:p>
    <w:p w14:paraId="23146E8C">
      <w:pPr>
        <w:pStyle w:val="4"/>
      </w:pPr>
      <w:bookmarkStart w:id="25" w:name="_LarkToc00026"/>
      <w:r>
        <w:rPr>
          <w:rFonts w:ascii="Times New Roman" w:hAnsi="Times New Roman" w:eastAsia="黑体"/>
          <w:b/>
          <w:color w:val="000000"/>
          <w:sz w:val="28"/>
        </w:rPr>
        <w:t>5.2 Issue 规范</w:t>
      </w:r>
      <w:bookmarkEnd w:id="25"/>
    </w:p>
    <w:p w14:paraId="5D56750E">
      <w:pPr>
        <w:pStyle w:val="5"/>
      </w:pPr>
      <w:r>
        <w:rPr>
          <w:rFonts w:ascii="Times New Roman" w:hAnsi="Times New Roman" w:eastAsia="黑体"/>
          <w:b/>
          <w:color w:val="000000"/>
          <w:sz w:val="24"/>
        </w:rPr>
        <w:t>5.2.1 提交要求</w:t>
      </w:r>
    </w:p>
    <w:p w14:paraId="09A57538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提交Issue应包含：问题描述、复现步骤、期望行为、运行环境；Bug类注明报错信息，需求类注明使用场景。</w:t>
      </w:r>
    </w:p>
    <w:p w14:paraId="081C4600">
      <w:pPr>
        <w:pStyle w:val="5"/>
      </w:pPr>
      <w:r>
        <w:rPr>
          <w:rFonts w:ascii="Times New Roman" w:hAnsi="Times New Roman" w:eastAsia="黑体"/>
          <w:b/>
          <w:color w:val="000000"/>
          <w:sz w:val="24"/>
        </w:rPr>
        <w:t>5.2.2 标签使用</w:t>
      </w:r>
    </w:p>
    <w:p w14:paraId="3FE5A9E8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使用社区约定的标签（如bug、enhancement、documentation、good-first-issue）；提交前先搜索确认是否存在重复Issue。</w:t>
      </w:r>
    </w:p>
    <w:p w14:paraId="1CC37A84">
      <w:pPr>
        <w:pStyle w:val="4"/>
      </w:pPr>
      <w:bookmarkStart w:id="26" w:name="_LarkToc00027"/>
      <w:r>
        <w:rPr>
          <w:rFonts w:ascii="Times New Roman" w:hAnsi="Times New Roman" w:eastAsia="黑体"/>
          <w:b/>
          <w:color w:val="000000"/>
          <w:sz w:val="28"/>
        </w:rPr>
        <w:t>5.3 代码质量要求</w:t>
      </w:r>
      <w:bookmarkEnd w:id="26"/>
    </w:p>
    <w:p w14:paraId="253BA143">
      <w:pPr>
        <w:pStyle w:val="5"/>
      </w:pPr>
      <w:r>
        <w:rPr>
          <w:rFonts w:ascii="Times New Roman" w:hAnsi="Times New Roman" w:eastAsia="黑体"/>
          <w:b/>
          <w:color w:val="000000"/>
          <w:sz w:val="24"/>
        </w:rPr>
        <w:t>5.3.1 代码风格</w:t>
      </w:r>
    </w:p>
    <w:p w14:paraId="1ADC9B1F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代码风格遵循项目约定（lint与格式化工具以仓库配置为准），提交前运行检查。</w:t>
      </w:r>
    </w:p>
    <w:p w14:paraId="3AEE5C1B">
      <w:pPr>
        <w:pStyle w:val="5"/>
      </w:pPr>
      <w:r>
        <w:rPr>
          <w:rFonts w:ascii="Times New Roman" w:hAnsi="Times New Roman" w:eastAsia="黑体"/>
          <w:b/>
          <w:color w:val="000000"/>
          <w:sz w:val="24"/>
        </w:rPr>
        <w:t>5.3.2 测试与CI</w:t>
      </w:r>
    </w:p>
    <w:p w14:paraId="780E6BC2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所有改动必须通过CI构建与测试；新增功能应补充单元测试与必要文档。</w:t>
      </w:r>
    </w:p>
    <w:p w14:paraId="0E5E5D2D">
      <w:pPr>
        <w:pStyle w:val="5"/>
      </w:pPr>
      <w:r>
        <w:rPr>
          <w:rFonts w:ascii="Times New Roman" w:hAnsi="Times New Roman" w:eastAsia="黑体"/>
          <w:b/>
          <w:color w:val="000000"/>
          <w:sz w:val="24"/>
        </w:rPr>
        <w:t>5.3.3 禁止项</w:t>
      </w:r>
    </w:p>
    <w:p w14:paraId="5512A883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禁止提交：未经验证的代码、硬编码密钥与凭据、调试残留代码、无关文件与生成物。</w:t>
      </w:r>
    </w:p>
    <w:p w14:paraId="41C274FD">
      <w:pPr>
        <w:pStyle w:val="4"/>
      </w:pPr>
      <w:bookmarkStart w:id="27" w:name="_LarkToc00028"/>
      <w:r>
        <w:rPr>
          <w:rFonts w:ascii="Times New Roman" w:hAnsi="Times New Roman" w:eastAsia="黑体"/>
          <w:b/>
          <w:color w:val="000000"/>
          <w:sz w:val="28"/>
        </w:rPr>
        <w:t>5.4 代码评审（Code Review）规范</w:t>
      </w:r>
      <w:bookmarkEnd w:id="27"/>
    </w:p>
    <w:p w14:paraId="0178BBBE">
      <w:pPr>
        <w:pStyle w:val="5"/>
      </w:pPr>
      <w:r>
        <w:rPr>
          <w:rFonts w:ascii="Times New Roman" w:hAnsi="Times New Roman" w:eastAsia="黑体"/>
          <w:b/>
          <w:color w:val="000000"/>
          <w:sz w:val="24"/>
        </w:rPr>
        <w:t>5.4.1 评审要求</w:t>
      </w:r>
    </w:p>
    <w:p w14:paraId="1B055F5F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每个PR至少1名具备合并权限的成员评审通过后方可合并；涉及核心模块、底层库与安全相关改动，须Developer及以上成员评审。</w:t>
      </w:r>
    </w:p>
    <w:p w14:paraId="46D40F7D">
      <w:pPr>
        <w:pStyle w:val="5"/>
      </w:pPr>
      <w:r>
        <w:rPr>
          <w:rFonts w:ascii="Times New Roman" w:hAnsi="Times New Roman" w:eastAsia="黑体"/>
          <w:b/>
          <w:color w:val="000000"/>
          <w:sz w:val="24"/>
        </w:rPr>
        <w:t>5.4.2 评审关注点</w:t>
      </w:r>
    </w:p>
    <w:p w14:paraId="3B5A30CA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正确性、可读性、性能、安全性、测试覆盖与文档同步。</w:t>
      </w:r>
    </w:p>
    <w:p w14:paraId="0CD9F694">
      <w:pPr>
        <w:pStyle w:val="5"/>
      </w:pPr>
      <w:r>
        <w:rPr>
          <w:rFonts w:ascii="Times New Roman" w:hAnsi="Times New Roman" w:eastAsia="黑体"/>
          <w:b/>
          <w:color w:val="000000"/>
          <w:sz w:val="24"/>
        </w:rPr>
        <w:t>5.4.3 评审礼仪</w:t>
      </w:r>
    </w:p>
    <w:p w14:paraId="40A4BC59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对事不对人，提出具体、可执行的修改建议；评审及时（一般3个工作日内）；被评审者应积极回应并跟进。</w:t>
      </w:r>
    </w:p>
    <w:p w14:paraId="5F0928B3">
      <w:pPr>
        <w:pStyle w:val="5"/>
      </w:pPr>
      <w:r>
        <w:rPr>
          <w:rFonts w:ascii="Times New Roman" w:hAnsi="Times New Roman" w:eastAsia="黑体"/>
          <w:b/>
          <w:color w:val="000000"/>
          <w:sz w:val="24"/>
        </w:rPr>
        <w:t>5.4.4 合并权限</w:t>
      </w:r>
    </w:p>
    <w:p w14:paraId="22504F6C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Developer可合并其所在项目的PR；Maintainer对争议PR有最终裁定权；评审未通过或有未关闭问题的PR不得合并。</w:t>
      </w:r>
    </w:p>
    <w:p w14:paraId="62B51737">
      <w:pPr>
        <w:pStyle w:val="4"/>
      </w:pPr>
      <w:bookmarkStart w:id="28" w:name="_LarkToc00029"/>
      <w:r>
        <w:rPr>
          <w:rFonts w:ascii="Times New Roman" w:hAnsi="Times New Roman" w:eastAsia="黑体"/>
          <w:b/>
          <w:color w:val="000000"/>
          <w:sz w:val="28"/>
        </w:rPr>
        <w:t>5.5 安全要求</w:t>
      </w:r>
      <w:bookmarkEnd w:id="28"/>
    </w:p>
    <w:p w14:paraId="3D530CBA">
      <w:pPr>
        <w:pStyle w:val="5"/>
      </w:pPr>
      <w:r>
        <w:rPr>
          <w:rFonts w:ascii="Times New Roman" w:hAnsi="Times New Roman" w:eastAsia="黑体"/>
          <w:b/>
          <w:color w:val="000000"/>
          <w:sz w:val="24"/>
        </w:rPr>
        <w:t>5.5.1 凭据管理</w:t>
      </w:r>
    </w:p>
    <w:p w14:paraId="422AEA6A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严禁在代码中提交密钥、口令、Token等凭据；误提交的应立即按平台流程处理并报告项目负责人。</w:t>
      </w:r>
    </w:p>
    <w:p w14:paraId="7E68800B">
      <w:pPr>
        <w:pStyle w:val="5"/>
      </w:pPr>
      <w:r>
        <w:rPr>
          <w:rFonts w:ascii="Times New Roman" w:hAnsi="Times New Roman" w:eastAsia="黑体"/>
          <w:b/>
          <w:color w:val="000000"/>
          <w:sz w:val="24"/>
        </w:rPr>
        <w:t>5.5.2 依赖安全</w:t>
      </w:r>
    </w:p>
    <w:p w14:paraId="4FC4C4C9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依赖引入前进行安全检查，不使用已知高危漏洞且无修复的依赖。</w:t>
      </w:r>
    </w:p>
    <w:p w14:paraId="4F3845DF">
      <w:pPr>
        <w:pStyle w:val="5"/>
      </w:pPr>
      <w:r>
        <w:rPr>
          <w:rFonts w:ascii="Times New Roman" w:hAnsi="Times New Roman" w:eastAsia="黑体"/>
          <w:b/>
          <w:color w:val="000000"/>
          <w:sz w:val="24"/>
        </w:rPr>
        <w:t>5.5.3 高危代码</w:t>
      </w:r>
    </w:p>
    <w:p w14:paraId="28C9AB88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涉及注入、越权、敏感数据等安全问题的代码禁止合并，修复后重新评审。</w:t>
      </w:r>
    </w:p>
    <w:p w14:paraId="688162D4">
      <w:pPr>
        <w:pStyle w:val="3"/>
      </w:pPr>
      <w:bookmarkStart w:id="29" w:name="_LarkToc00030"/>
      <w:r>
        <w:rPr>
          <w:rFonts w:ascii="Times New Roman" w:hAnsi="Times New Roman" w:eastAsia="黑体"/>
          <w:b/>
          <w:color w:val="000000"/>
          <w:sz w:val="32"/>
        </w:rPr>
        <w:t>第六章 协作贡献规范</w:t>
      </w:r>
      <w:bookmarkEnd w:id="29"/>
    </w:p>
    <w:p w14:paraId="503C946B">
      <w:pPr>
        <w:pStyle w:val="4"/>
      </w:pPr>
      <w:bookmarkStart w:id="30" w:name="_LarkToc00031"/>
      <w:r>
        <w:rPr>
          <w:rFonts w:ascii="Times New Roman" w:hAnsi="Times New Roman" w:eastAsia="黑体"/>
          <w:b/>
          <w:color w:val="000000"/>
          <w:sz w:val="28"/>
        </w:rPr>
        <w:t>6.1 文档贡献</w:t>
      </w:r>
      <w:bookmarkEnd w:id="30"/>
    </w:p>
    <w:p w14:paraId="18EE6B90">
      <w:pPr>
        <w:pStyle w:val="5"/>
      </w:pPr>
      <w:r>
        <w:rPr>
          <w:rFonts w:ascii="Times New Roman" w:hAnsi="Times New Roman" w:eastAsia="黑体"/>
          <w:b/>
          <w:color w:val="000000"/>
          <w:sz w:val="24"/>
        </w:rPr>
        <w:t>6.1.1 文档即代码</w:t>
      </w:r>
    </w:p>
    <w:p w14:paraId="4E67615D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README、使用文档、设计文档、Wiki均按代码贡献流程维护，随代码同步更新。</w:t>
      </w:r>
    </w:p>
    <w:p w14:paraId="0CF58F82">
      <w:pPr>
        <w:pStyle w:val="5"/>
      </w:pPr>
      <w:r>
        <w:rPr>
          <w:rFonts w:ascii="Times New Roman" w:hAnsi="Times New Roman" w:eastAsia="黑体"/>
          <w:b/>
          <w:color w:val="000000"/>
          <w:sz w:val="24"/>
        </w:rPr>
        <w:t>6.1.2 文档要求</w:t>
      </w:r>
    </w:p>
    <w:p w14:paraId="3A732EEE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文档写作面向使用者、步骤可复现、示例可运行；文档变更同样纳入贡献计量。</w:t>
      </w:r>
    </w:p>
    <w:p w14:paraId="7339356C">
      <w:pPr>
        <w:pStyle w:val="4"/>
      </w:pPr>
      <w:bookmarkStart w:id="31" w:name="_LarkToc00032"/>
      <w:r>
        <w:rPr>
          <w:rFonts w:ascii="Times New Roman" w:hAnsi="Times New Roman" w:eastAsia="黑体"/>
          <w:b/>
          <w:color w:val="000000"/>
          <w:sz w:val="28"/>
        </w:rPr>
        <w:t>6.2 组会与汇报</w:t>
      </w:r>
      <w:bookmarkEnd w:id="31"/>
    </w:p>
    <w:p w14:paraId="5002243A">
      <w:pPr>
        <w:pStyle w:val="5"/>
      </w:pPr>
      <w:r>
        <w:rPr>
          <w:rFonts w:ascii="Times New Roman" w:hAnsi="Times New Roman" w:eastAsia="黑体"/>
          <w:b/>
          <w:color w:val="000000"/>
          <w:sz w:val="24"/>
        </w:rPr>
        <w:t>6.2.1 汇报要求</w:t>
      </w:r>
    </w:p>
    <w:p w14:paraId="47AE1068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组会内容包括进度汇报、问题求助、技术分享、任务认领与评审结论同步；成员应如实汇报进度，不虚报、不隐瞒阻塞。</w:t>
      </w:r>
    </w:p>
    <w:p w14:paraId="47394206">
      <w:pPr>
        <w:pStyle w:val="5"/>
      </w:pPr>
      <w:r>
        <w:rPr>
          <w:rFonts w:ascii="Times New Roman" w:hAnsi="Times New Roman" w:eastAsia="黑体"/>
          <w:b/>
          <w:color w:val="000000"/>
          <w:sz w:val="24"/>
        </w:rPr>
        <w:t>6.2.2 记录归档</w:t>
      </w:r>
    </w:p>
    <w:p w14:paraId="045FD84D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组会记录由轮值成员归档至社区文档仓库，作为考勤与贡献的佐证。</w:t>
      </w:r>
    </w:p>
    <w:p w14:paraId="4A7F7C8D">
      <w:pPr>
        <w:pStyle w:val="4"/>
      </w:pPr>
      <w:bookmarkStart w:id="32" w:name="_LarkToc00033"/>
      <w:r>
        <w:rPr>
          <w:rFonts w:ascii="Times New Roman" w:hAnsi="Times New Roman" w:eastAsia="黑体"/>
          <w:b/>
          <w:color w:val="000000"/>
          <w:sz w:val="28"/>
        </w:rPr>
        <w:t>6.3 带教与培训</w:t>
      </w:r>
      <w:bookmarkEnd w:id="32"/>
    </w:p>
    <w:p w14:paraId="79255D0C">
      <w:pPr>
        <w:pStyle w:val="5"/>
      </w:pPr>
      <w:r>
        <w:rPr>
          <w:rFonts w:ascii="Times New Roman" w:hAnsi="Times New Roman" w:eastAsia="黑体"/>
          <w:b/>
          <w:color w:val="000000"/>
          <w:sz w:val="24"/>
        </w:rPr>
        <w:t>6.3.1 老带新</w:t>
      </w:r>
    </w:p>
    <w:p w14:paraId="40B8F77E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社区实行“老带新”制度：Committer及以上成员有带教义务，帮助新成员熟悉工具链与贡献流程。</w:t>
      </w:r>
    </w:p>
    <w:p w14:paraId="72FFED16">
      <w:pPr>
        <w:pStyle w:val="5"/>
      </w:pPr>
      <w:r>
        <w:rPr>
          <w:rFonts w:ascii="Times New Roman" w:hAnsi="Times New Roman" w:eastAsia="黑体"/>
          <w:b/>
          <w:color w:val="000000"/>
          <w:sz w:val="24"/>
        </w:rPr>
        <w:t>6.3.2 材料沉淀</w:t>
      </w:r>
    </w:p>
    <w:p w14:paraId="7202290C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培训材料（讲义、录屏、示例代码）沉淀到仓库，供全体成员复用。</w:t>
      </w:r>
    </w:p>
    <w:p w14:paraId="030E18FF">
      <w:pPr>
        <w:pStyle w:val="4"/>
      </w:pPr>
      <w:bookmarkStart w:id="33" w:name="_LarkToc00034"/>
      <w:r>
        <w:rPr>
          <w:rFonts w:ascii="Times New Roman" w:hAnsi="Times New Roman" w:eastAsia="黑体"/>
          <w:b/>
          <w:color w:val="000000"/>
          <w:sz w:val="28"/>
        </w:rPr>
        <w:t>6.4 社区运营</w:t>
      </w:r>
      <w:bookmarkEnd w:id="33"/>
    </w:p>
    <w:p w14:paraId="0DE4D7C3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宣传、招新、赛事组织、公众号与官网内容发布等运营工作属协作贡献，纳入贡献计量；以社区名义发布内容须经管理委员会授权。</w:t>
      </w:r>
    </w:p>
    <w:p w14:paraId="6AA6E886">
      <w:pPr>
        <w:pStyle w:val="4"/>
      </w:pPr>
      <w:bookmarkStart w:id="34" w:name="_LarkToc00035"/>
      <w:r>
        <w:rPr>
          <w:rFonts w:ascii="Times New Roman" w:hAnsi="Times New Roman" w:eastAsia="黑体"/>
          <w:b/>
          <w:color w:val="000000"/>
          <w:sz w:val="28"/>
        </w:rPr>
        <w:t>6.5 协作礼仪与行为准则</w:t>
      </w:r>
      <w:bookmarkEnd w:id="34"/>
    </w:p>
    <w:p w14:paraId="7C358FD7">
      <w:pPr>
        <w:pStyle w:val="5"/>
      </w:pPr>
      <w:r>
        <w:rPr>
          <w:rFonts w:ascii="Times New Roman" w:hAnsi="Times New Roman" w:eastAsia="黑体"/>
          <w:b/>
          <w:color w:val="000000"/>
          <w:sz w:val="24"/>
        </w:rPr>
        <w:t>6.5.1 互相尊重</w:t>
      </w:r>
    </w:p>
    <w:p w14:paraId="333887A8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不得使用攻击性或侮辱性语言，不得实施骚扰、歧视、人身攻击行为。</w:t>
      </w:r>
    </w:p>
    <w:p w14:paraId="49639EF3">
      <w:pPr>
        <w:pStyle w:val="5"/>
      </w:pPr>
      <w:r>
        <w:rPr>
          <w:rFonts w:ascii="Times New Roman" w:hAnsi="Times New Roman" w:eastAsia="黑体"/>
          <w:b/>
          <w:color w:val="000000"/>
          <w:sz w:val="24"/>
        </w:rPr>
        <w:t>6.5.2 对事不对人</w:t>
      </w:r>
    </w:p>
    <w:p w14:paraId="5233CB6B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评审与讨论聚焦技术与事实，不打压、不讽刺他人贡献。</w:t>
      </w:r>
    </w:p>
    <w:p w14:paraId="766B09B3">
      <w:pPr>
        <w:pStyle w:val="5"/>
      </w:pPr>
      <w:r>
        <w:rPr>
          <w:rFonts w:ascii="Times New Roman" w:hAnsi="Times New Roman" w:eastAsia="黑体"/>
          <w:b/>
          <w:color w:val="000000"/>
          <w:sz w:val="24"/>
        </w:rPr>
        <w:t>6.5.3 诚信协作</w:t>
      </w:r>
    </w:p>
    <w:p w14:paraId="4DA218A4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禁止抄袭、虚假贡献、虚报工作量；禁止阻挠他人合理贡献或打击报复。</w:t>
      </w:r>
    </w:p>
    <w:p w14:paraId="287969BD">
      <w:pPr>
        <w:pStyle w:val="5"/>
      </w:pPr>
      <w:r>
        <w:rPr>
          <w:rFonts w:ascii="Times New Roman" w:hAnsi="Times New Roman" w:eastAsia="黑体"/>
          <w:b/>
          <w:color w:val="000000"/>
          <w:sz w:val="24"/>
        </w:rPr>
        <w:t>6.5.4 平台与伙伴规则</w:t>
      </w:r>
    </w:p>
    <w:p w14:paraId="776DF042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遵守平台规则与社区约定，尊重不同背景的成员与校际伙伴。</w:t>
      </w:r>
    </w:p>
    <w:p w14:paraId="4751EA1C">
      <w:pPr>
        <w:pStyle w:val="3"/>
      </w:pPr>
      <w:bookmarkStart w:id="35" w:name="_LarkToc00036"/>
      <w:r>
        <w:rPr>
          <w:rFonts w:ascii="Times New Roman" w:hAnsi="Times New Roman" w:eastAsia="黑体"/>
          <w:b/>
          <w:color w:val="000000"/>
          <w:sz w:val="32"/>
        </w:rPr>
        <w:t>第七章 项目制与沟通管理</w:t>
      </w:r>
      <w:bookmarkEnd w:id="35"/>
    </w:p>
    <w:p w14:paraId="763A7929">
      <w:pPr>
        <w:pStyle w:val="4"/>
      </w:pPr>
      <w:bookmarkStart w:id="36" w:name="_LarkToc00037"/>
      <w:r>
        <w:rPr>
          <w:rFonts w:ascii="Times New Roman" w:hAnsi="Times New Roman" w:eastAsia="黑体"/>
          <w:b/>
          <w:color w:val="000000"/>
          <w:sz w:val="28"/>
        </w:rPr>
        <w:t>7.1 项目制划分</w:t>
      </w:r>
      <w:bookmarkEnd w:id="36"/>
    </w:p>
    <w:p w14:paraId="2026F628">
      <w:pPr>
        <w:pStyle w:val="5"/>
      </w:pPr>
      <w:r>
        <w:rPr>
          <w:rFonts w:ascii="Times New Roman" w:hAnsi="Times New Roman" w:eastAsia="黑体"/>
          <w:b/>
          <w:color w:val="000000"/>
          <w:sz w:val="24"/>
        </w:rPr>
        <w:t>7.1.1 项目类型</w:t>
      </w:r>
    </w:p>
    <w:p w14:paraId="37D1629C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社区按项目制组织工作，项目类型包括：赛事项目（CURC-ROBOCON及相关赛项）、基础库/框架项目、工具链项目、文档与社区项目。</w:t>
      </w:r>
    </w:p>
    <w:p w14:paraId="1750D3CD">
      <w:pPr>
        <w:pStyle w:val="5"/>
      </w:pPr>
      <w:r>
        <w:rPr>
          <w:rFonts w:ascii="Times New Roman" w:hAnsi="Times New Roman" w:eastAsia="黑体"/>
          <w:b/>
          <w:color w:val="000000"/>
          <w:sz w:val="24"/>
        </w:rPr>
        <w:t>7.1.2 项目组织</w:t>
      </w:r>
    </w:p>
    <w:p w14:paraId="25FC869E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每个项目设项目负责人（由Developer或Maintainer担任），负责任务分解、里程碑制定与进度协调；成员按身份与兴趣加入项目，一学期内应保持相对稳定的项目归属。</w:t>
      </w:r>
    </w:p>
    <w:p w14:paraId="003EBCDC">
      <w:pPr>
        <w:pStyle w:val="5"/>
      </w:pPr>
      <w:r>
        <w:rPr>
          <w:rFonts w:ascii="Times New Roman" w:hAnsi="Times New Roman" w:eastAsia="黑体"/>
          <w:b/>
          <w:color w:val="000000"/>
          <w:sz w:val="24"/>
        </w:rPr>
        <w:t>7.1.3 贡献归属</w:t>
      </w:r>
    </w:p>
    <w:p w14:paraId="270DA550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身份转变以项目贡献为主要依据（见2.3）；跨项目贡献经项目负责人确认后计入个人贡献。</w:t>
      </w:r>
    </w:p>
    <w:p w14:paraId="47B2F483">
      <w:pPr>
        <w:pStyle w:val="4"/>
      </w:pPr>
      <w:bookmarkStart w:id="37" w:name="_LarkToc00038"/>
      <w:r>
        <w:rPr>
          <w:rFonts w:ascii="Times New Roman" w:hAnsi="Times New Roman" w:eastAsia="黑体"/>
          <w:b/>
          <w:color w:val="000000"/>
          <w:sz w:val="28"/>
        </w:rPr>
        <w:t>7.2 组会制度</w:t>
      </w:r>
      <w:bookmarkEnd w:id="37"/>
    </w:p>
    <w:p w14:paraId="47E3561A">
      <w:pPr>
        <w:pStyle w:val="5"/>
      </w:pPr>
      <w:r>
        <w:rPr>
          <w:rFonts w:ascii="Times New Roman" w:hAnsi="Times New Roman" w:eastAsia="黑体"/>
          <w:b/>
          <w:color w:val="000000"/>
          <w:sz w:val="24"/>
        </w:rPr>
        <w:t>7.2.1 频次与形式</w:t>
      </w:r>
    </w:p>
    <w:p w14:paraId="445F0584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常规组会每2周一次，线下为主、线上为辅；项目组可按需加开项目例会。具体时间与形式以管理委员会通告为准。</w:t>
      </w:r>
    </w:p>
    <w:p w14:paraId="0A1B3B12">
      <w:pPr>
        <w:pStyle w:val="5"/>
      </w:pPr>
      <w:r>
        <w:rPr>
          <w:rFonts w:ascii="Times New Roman" w:hAnsi="Times New Roman" w:eastAsia="黑体"/>
          <w:b/>
          <w:color w:val="000000"/>
          <w:sz w:val="24"/>
        </w:rPr>
        <w:t>7.2.2 请假流程</w:t>
      </w:r>
    </w:p>
    <w:p w14:paraId="4C55FAD4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无法参加的成员应提前24小时在组会群或文档中请假并说明理由，由项目负责人审批；突发情况可事后2个工作日内补假。</w:t>
      </w:r>
    </w:p>
    <w:p w14:paraId="6F834A6C">
      <w:pPr>
        <w:pStyle w:val="5"/>
      </w:pPr>
      <w:r>
        <w:rPr>
          <w:rFonts w:ascii="Times New Roman" w:hAnsi="Times New Roman" w:eastAsia="黑体"/>
          <w:b/>
          <w:color w:val="000000"/>
          <w:sz w:val="24"/>
        </w:rPr>
        <w:t>7.2.3 考勤记录</w:t>
      </w:r>
    </w:p>
    <w:p w14:paraId="6A1A8A60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项目负责人登记每次出勤情况，管理委员会定期公示；考勤红线条款见2.5。</w:t>
      </w:r>
    </w:p>
    <w:p w14:paraId="3427E410">
      <w:pPr>
        <w:pStyle w:val="4"/>
      </w:pPr>
      <w:bookmarkStart w:id="38" w:name="_LarkToc00039"/>
      <w:r>
        <w:rPr>
          <w:rFonts w:ascii="Times New Roman" w:hAnsi="Times New Roman" w:eastAsia="黑体"/>
          <w:b/>
          <w:color w:val="000000"/>
          <w:sz w:val="28"/>
        </w:rPr>
        <w:t>7.3 沟通渠道</w:t>
      </w:r>
      <w:bookmarkEnd w:id="38"/>
    </w:p>
    <w:p w14:paraId="49ACAABC">
      <w:pPr>
        <w:pStyle w:val="5"/>
      </w:pPr>
      <w:r>
        <w:rPr>
          <w:rFonts w:ascii="Times New Roman" w:hAnsi="Times New Roman" w:eastAsia="黑体"/>
          <w:b/>
          <w:color w:val="000000"/>
          <w:sz w:val="24"/>
        </w:rPr>
        <w:t>7.3.1 信息发布渠道</w:t>
      </w:r>
    </w:p>
    <w:p w14:paraId="12974F9B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社区信息通过以下渠道发布：即时通讯群（通知与日常沟通）、仓库Issue/Discussion（技术讨论与任务）、文档仓（公告与制度，地址：https://docs.newenergycoder.club/）、官网（地址：https://www.newenergycoder.club/，成员身份晋升与贡献榜单公示）。成员有义务及时关注并学习公告内容。</w:t>
      </w:r>
    </w:p>
    <w:p w14:paraId="0F8D3BC8">
      <w:pPr>
        <w:pStyle w:val="5"/>
      </w:pPr>
      <w:r>
        <w:rPr>
          <w:rFonts w:ascii="Times New Roman" w:hAnsi="Times New Roman" w:eastAsia="黑体"/>
          <w:b/>
          <w:color w:val="000000"/>
          <w:sz w:val="24"/>
        </w:rPr>
        <w:t>7.3.2 公告效力</w:t>
      </w:r>
    </w:p>
    <w:p w14:paraId="24F8ECA4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以未阅读通告作为理由不被接受，不能免除相关责任；对公告有疑问的，应及时向项目负责人或管理委员会询问。</w:t>
      </w:r>
    </w:p>
    <w:p w14:paraId="1213470A">
      <w:pPr>
        <w:pStyle w:val="3"/>
      </w:pPr>
      <w:bookmarkStart w:id="39" w:name="_LarkToc00040"/>
      <w:r>
        <w:rPr>
          <w:rFonts w:ascii="Times New Roman" w:hAnsi="Times New Roman" w:eastAsia="黑体"/>
          <w:b/>
          <w:color w:val="000000"/>
          <w:sz w:val="32"/>
        </w:rPr>
        <w:t>第八章 激励与负向事件管理</w:t>
      </w:r>
      <w:bookmarkEnd w:id="39"/>
    </w:p>
    <w:p w14:paraId="501D3E85">
      <w:pPr>
        <w:pStyle w:val="4"/>
      </w:pPr>
      <w:bookmarkStart w:id="40" w:name="_LarkToc00041"/>
      <w:r>
        <w:rPr>
          <w:rFonts w:ascii="Times New Roman" w:hAnsi="Times New Roman" w:eastAsia="黑体"/>
          <w:b/>
          <w:color w:val="000000"/>
          <w:sz w:val="28"/>
        </w:rPr>
        <w:t>8.1 激励措施</w:t>
      </w:r>
      <w:bookmarkEnd w:id="40"/>
    </w:p>
    <w:p w14:paraId="228BD71D">
      <w:pPr>
        <w:pStyle w:val="5"/>
      </w:pPr>
      <w:r>
        <w:rPr>
          <w:rFonts w:ascii="Times New Roman" w:hAnsi="Times New Roman" w:eastAsia="黑体"/>
          <w:b/>
          <w:color w:val="000000"/>
          <w:sz w:val="24"/>
        </w:rPr>
        <w:t>8.1.1 激励类型</w:t>
      </w:r>
    </w:p>
    <w:p w14:paraId="57D67F58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社区采取多元化激励举措，包括：荣誉激励（季度之星、年度优秀成员、贡献榜单）、权限激励（身份晋升、赛事资格）、机会激励（代表社区参赛、对外交流、项目负责人任命）、资源激励（培训名额、设备使用优先级、社区周边等）。</w:t>
      </w:r>
    </w:p>
    <w:p w14:paraId="0E4255DC">
      <w:pPr>
        <w:pStyle w:val="5"/>
      </w:pPr>
      <w:r>
        <w:rPr>
          <w:rFonts w:ascii="Times New Roman" w:hAnsi="Times New Roman" w:eastAsia="黑体"/>
          <w:b/>
          <w:color w:val="000000"/>
          <w:sz w:val="24"/>
        </w:rPr>
        <w:t>8.1.2 评定与公示</w:t>
      </w:r>
    </w:p>
    <w:p w14:paraId="68806BCA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激励评定与贡献评估挂钩（见2.7），结果在组会或公告渠道公示。</w:t>
      </w:r>
    </w:p>
    <w:p w14:paraId="2DBED00E">
      <w:pPr>
        <w:pStyle w:val="5"/>
      </w:pPr>
      <w:r>
        <w:rPr>
          <w:rFonts w:ascii="Times New Roman" w:hAnsi="Times New Roman" w:eastAsia="黑体"/>
          <w:b/>
          <w:color w:val="000000"/>
          <w:sz w:val="24"/>
        </w:rPr>
        <w:t>8.1.3 商业项目与实习合作机会</w:t>
      </w:r>
    </w:p>
    <w:p w14:paraId="44725B61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对于NEC推荐的商业项目、实习合作等机会，遵循“高等级成员优先”原则分配：优先面向核心成员（Maintainer）与正式成员（Developer）开放，同一身份成员按贡献榜单与评估结果排序。获得机会的成员应遵守第三章规定的保密与开源合规要求。</w:t>
      </w:r>
    </w:p>
    <w:p w14:paraId="4890D7BB">
      <w:pPr>
        <w:pStyle w:val="4"/>
      </w:pPr>
      <w:bookmarkStart w:id="41" w:name="_LarkToc00042"/>
      <w:r>
        <w:rPr>
          <w:rFonts w:ascii="Times New Roman" w:hAnsi="Times New Roman" w:eastAsia="黑体"/>
          <w:b/>
          <w:color w:val="000000"/>
          <w:sz w:val="28"/>
        </w:rPr>
        <w:t>8.2 负向事件类型</w:t>
      </w:r>
      <w:bookmarkEnd w:id="41"/>
    </w:p>
    <w:p w14:paraId="7CE9D224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负向事件主要分为考勤类、代码类、合规类、协作类四种类型：</w:t>
      </w:r>
    </w:p>
    <w:p w14:paraId="3F055BE8">
      <w:pPr>
        <w:keepNext/>
        <w:spacing w:before="120" w:after="80"/>
        <w:ind w:firstLine="0" w:firstLineChars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表8-1 负向事件类型与处理对照表</w:t>
      </w:r>
    </w:p>
    <w:tbl>
      <w:tblPr>
        <w:tblStyle w:val="34"/>
        <w:tblW w:w="9072" w:type="dxa"/>
        <w:tblInd w:w="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4649"/>
        <w:gridCol w:w="3175"/>
      </w:tblGrid>
      <w:tr w14:paraId="2E56338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247" w:type="dxa"/>
            <w:shd w:val="clear" w:color="auto" w:fill="D9D9D9"/>
            <w:vAlign w:val="center"/>
          </w:tcPr>
          <w:p w14:paraId="1E12344B">
            <w:pPr>
              <w:spacing w:before="20" w:after="20" w:line="276" w:lineRule="auto"/>
              <w:ind w:left="0" w:right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类型</w:t>
            </w:r>
          </w:p>
        </w:tc>
        <w:tc>
          <w:tcPr>
            <w:tcW w:w="4649" w:type="dxa"/>
            <w:shd w:val="clear" w:color="auto" w:fill="D9D9D9"/>
            <w:vAlign w:val="center"/>
          </w:tcPr>
          <w:p w14:paraId="713DF919">
            <w:pPr>
              <w:spacing w:before="20" w:after="20" w:line="276" w:lineRule="auto"/>
              <w:ind w:left="0" w:right="0" w:firstLine="0" w:firstLineChars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典型情形</w:t>
            </w:r>
          </w:p>
        </w:tc>
        <w:tc>
          <w:tcPr>
            <w:tcW w:w="3175" w:type="dxa"/>
            <w:shd w:val="clear" w:color="auto" w:fill="D9D9D9"/>
            <w:vAlign w:val="center"/>
          </w:tcPr>
          <w:p w14:paraId="5CFECC0C">
            <w:pPr>
              <w:spacing w:before="20" w:after="20" w:line="276" w:lineRule="auto"/>
              <w:ind w:left="0" w:right="0" w:firstLine="0" w:firstLineChars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处理原则</w:t>
            </w:r>
          </w:p>
        </w:tc>
      </w:tr>
      <w:tr w14:paraId="6532BEE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47" w:type="dxa"/>
            <w:vAlign w:val="center"/>
          </w:tcPr>
          <w:p w14:paraId="16B43944">
            <w:pPr>
              <w:spacing w:before="20" w:after="20" w:line="276" w:lineRule="auto"/>
              <w:ind w:left="0" w:right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考勤类</w:t>
            </w:r>
          </w:p>
        </w:tc>
        <w:tc>
          <w:tcPr>
            <w:tcW w:w="4649" w:type="dxa"/>
            <w:vAlign w:val="center"/>
          </w:tcPr>
          <w:p w14:paraId="27B2DC1F">
            <w:pPr>
              <w:spacing w:before="20" w:after="20" w:line="276" w:lineRule="auto"/>
              <w:ind w:left="0" w:right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无故缺席组会、迟到早退超限</w:t>
            </w:r>
          </w:p>
        </w:tc>
        <w:tc>
          <w:tcPr>
            <w:tcW w:w="3175" w:type="dxa"/>
            <w:vAlign w:val="center"/>
          </w:tcPr>
          <w:p w14:paraId="5A43A483">
            <w:pPr>
              <w:spacing w:before="20" w:after="20" w:line="276" w:lineRule="auto"/>
              <w:ind w:left="0" w:right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按2.5红线条款处理</w:t>
            </w:r>
          </w:p>
        </w:tc>
      </w:tr>
      <w:tr w14:paraId="71369EB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47" w:type="dxa"/>
            <w:vAlign w:val="center"/>
          </w:tcPr>
          <w:p w14:paraId="2350E40D">
            <w:pPr>
              <w:spacing w:before="20" w:after="20" w:line="276" w:lineRule="auto"/>
              <w:ind w:left="0" w:right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代码类</w:t>
            </w:r>
          </w:p>
        </w:tc>
        <w:tc>
          <w:tcPr>
            <w:tcW w:w="4649" w:type="dxa"/>
            <w:vAlign w:val="center"/>
          </w:tcPr>
          <w:p w14:paraId="7EFF8843">
            <w:pPr>
              <w:spacing w:before="20" w:after="20" w:line="276" w:lineRule="auto"/>
              <w:ind w:left="0" w:right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伪造贡献、抄袭、未授权合并、破坏仓库、提交凭据泄密</w:t>
            </w:r>
          </w:p>
        </w:tc>
        <w:tc>
          <w:tcPr>
            <w:tcW w:w="3175" w:type="dxa"/>
            <w:vAlign w:val="center"/>
          </w:tcPr>
          <w:p w14:paraId="1F238A1F">
            <w:pPr>
              <w:spacing w:before="20" w:after="20" w:line="276" w:lineRule="auto"/>
              <w:ind w:left="0" w:right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视情节书面警告至除名，并回滚或修复影响</w:t>
            </w:r>
          </w:p>
        </w:tc>
      </w:tr>
      <w:tr w14:paraId="506E1CC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47" w:type="dxa"/>
            <w:vAlign w:val="center"/>
          </w:tcPr>
          <w:p w14:paraId="24CFB8A5">
            <w:pPr>
              <w:spacing w:before="20" w:after="20" w:line="276" w:lineRule="auto"/>
              <w:ind w:left="0" w:right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合规类</w:t>
            </w:r>
          </w:p>
        </w:tc>
        <w:tc>
          <w:tcPr>
            <w:tcW w:w="4649" w:type="dxa"/>
            <w:vAlign w:val="center"/>
          </w:tcPr>
          <w:p w14:paraId="5F96934E">
            <w:pPr>
              <w:spacing w:before="20" w:after="20" w:line="276" w:lineRule="auto"/>
              <w:ind w:left="0" w:right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违反开源许可证、擅自发布社区信息、数据违规</w:t>
            </w:r>
          </w:p>
        </w:tc>
        <w:tc>
          <w:tcPr>
            <w:tcW w:w="3175" w:type="dxa"/>
            <w:vAlign w:val="center"/>
          </w:tcPr>
          <w:p w14:paraId="5A72DC7B">
            <w:pPr>
              <w:spacing w:before="20" w:after="20" w:line="276" w:lineRule="auto"/>
              <w:ind w:left="0" w:right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视情节严重警告至除名</w:t>
            </w:r>
          </w:p>
        </w:tc>
      </w:tr>
      <w:tr w14:paraId="32CC938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47" w:type="dxa"/>
            <w:vAlign w:val="center"/>
          </w:tcPr>
          <w:p w14:paraId="7F188983">
            <w:pPr>
              <w:spacing w:before="20" w:after="20" w:line="276" w:lineRule="auto"/>
              <w:ind w:left="0" w:right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协作类</w:t>
            </w:r>
          </w:p>
        </w:tc>
        <w:tc>
          <w:tcPr>
            <w:tcW w:w="4649" w:type="dxa"/>
            <w:vAlign w:val="center"/>
          </w:tcPr>
          <w:p w14:paraId="1CED5672">
            <w:pPr>
              <w:spacing w:before="20" w:after="20" w:line="276" w:lineRule="auto"/>
              <w:ind w:left="0" w:right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人身攻击、骚扰、歧视、阻挠他人、恶意投诉</w:t>
            </w:r>
          </w:p>
        </w:tc>
        <w:tc>
          <w:tcPr>
            <w:tcW w:w="3175" w:type="dxa"/>
            <w:vAlign w:val="center"/>
          </w:tcPr>
          <w:p w14:paraId="08310C83">
            <w:pPr>
              <w:spacing w:before="20" w:after="20" w:line="276" w:lineRule="auto"/>
              <w:ind w:left="0" w:right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视情节口头警告至除名</w:t>
            </w:r>
          </w:p>
        </w:tc>
      </w:tr>
    </w:tbl>
    <w:p w14:paraId="2AB99F9C">
      <w:pPr>
        <w:pStyle w:val="4"/>
      </w:pPr>
      <w:bookmarkStart w:id="42" w:name="_LarkToc00043"/>
      <w:r>
        <w:rPr>
          <w:rFonts w:ascii="Times New Roman" w:hAnsi="Times New Roman" w:eastAsia="黑体"/>
          <w:b/>
          <w:color w:val="000000"/>
          <w:sz w:val="28"/>
        </w:rPr>
        <w:t>8.3 处分类型与问责</w:t>
      </w:r>
      <w:bookmarkEnd w:id="42"/>
    </w:p>
    <w:p w14:paraId="2B08014E">
      <w:pPr>
        <w:pStyle w:val="5"/>
      </w:pPr>
      <w:r>
        <w:rPr>
          <w:rFonts w:ascii="Times New Roman" w:hAnsi="Times New Roman" w:eastAsia="黑体"/>
          <w:b/>
          <w:color w:val="000000"/>
          <w:sz w:val="24"/>
        </w:rPr>
        <w:t>8.3.1 处分等级</w:t>
      </w:r>
    </w:p>
    <w:p w14:paraId="547010A9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处分等级：口头警告、书面警告、严重警告、降级、除名（开除）。其中降级与除名同时适用于2.4与2.5的规定。</w:t>
      </w:r>
    </w:p>
    <w:p w14:paraId="1AC47AC3">
      <w:pPr>
        <w:pStyle w:val="5"/>
      </w:pPr>
      <w:r>
        <w:rPr>
          <w:rFonts w:ascii="Times New Roman" w:hAnsi="Times New Roman" w:eastAsia="黑体"/>
          <w:b/>
          <w:color w:val="000000"/>
          <w:sz w:val="24"/>
        </w:rPr>
        <w:t>8.3.2 处分期</w:t>
      </w:r>
    </w:p>
    <w:p w14:paraId="2292A40D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口头警告处分期1个月、书面警告处分期2个月、严重警告处分期3个月。处分期内不得参与身份晋升与评优，不得代表社区参与赛事与对外活动；严重警告及以上可叠加降级处理。</w:t>
      </w:r>
    </w:p>
    <w:p w14:paraId="31F58C21">
      <w:pPr>
        <w:pStyle w:val="5"/>
      </w:pPr>
      <w:r>
        <w:rPr>
          <w:rFonts w:ascii="Times New Roman" w:hAnsi="Times New Roman" w:eastAsia="黑体"/>
          <w:b/>
          <w:color w:val="000000"/>
          <w:sz w:val="24"/>
        </w:rPr>
        <w:t>8.3.3 处分递进</w:t>
      </w:r>
    </w:p>
    <w:p w14:paraId="457AE4E5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连续12个月内，累计口头警告2次视同书面警告1次；累计书面警告2次视同严重警告1次；累计严重警告2次可作除名处理。处分递进不受处分期限制。</w:t>
      </w:r>
    </w:p>
    <w:p w14:paraId="03964410">
      <w:pPr>
        <w:pStyle w:val="5"/>
      </w:pPr>
      <w:r>
        <w:rPr>
          <w:rFonts w:ascii="Times New Roman" w:hAnsi="Times New Roman" w:eastAsia="黑体"/>
          <w:b/>
          <w:color w:val="000000"/>
          <w:sz w:val="24"/>
        </w:rPr>
        <w:t>8.3.4 问责程序</w:t>
      </w:r>
    </w:p>
    <w:p w14:paraId="01E9B76B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管理委员会调查核实 → 通知当事人并听取陈述 → 出具书面处分决定 → 公示（涉及个人隐私的信息脱敏）。处分措施一律以管理委员会正式出具的书面文件为准。</w:t>
      </w:r>
    </w:p>
    <w:p w14:paraId="7E00F80B">
      <w:pPr>
        <w:pStyle w:val="4"/>
      </w:pPr>
      <w:bookmarkStart w:id="43" w:name="_LarkToc00044"/>
      <w:r>
        <w:rPr>
          <w:rFonts w:ascii="Times New Roman" w:hAnsi="Times New Roman" w:eastAsia="黑体"/>
          <w:b/>
          <w:color w:val="000000"/>
          <w:sz w:val="28"/>
        </w:rPr>
        <w:t>8.4 申诉机制</w:t>
      </w:r>
      <w:bookmarkEnd w:id="43"/>
    </w:p>
    <w:p w14:paraId="53F2251C">
      <w:pPr>
        <w:pStyle w:val="5"/>
      </w:pPr>
      <w:r>
        <w:rPr>
          <w:rFonts w:ascii="Times New Roman" w:hAnsi="Times New Roman" w:eastAsia="黑体"/>
          <w:b/>
          <w:color w:val="000000"/>
          <w:sz w:val="24"/>
        </w:rPr>
        <w:t>8.4.1 申诉提出</w:t>
      </w:r>
    </w:p>
    <w:p w14:paraId="5E5A0310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成员对处分决定有异议的，可在收到处分通知后3个工作日内向管理委员会提出申诉，并提供相应说明及证据材料。</w:t>
      </w:r>
    </w:p>
    <w:p w14:paraId="2B0B3C09">
      <w:pPr>
        <w:pStyle w:val="5"/>
      </w:pPr>
      <w:r>
        <w:rPr>
          <w:rFonts w:ascii="Times New Roman" w:hAnsi="Times New Roman" w:eastAsia="黑体"/>
          <w:b/>
          <w:color w:val="000000"/>
          <w:sz w:val="24"/>
        </w:rPr>
        <w:t>8.4.2 复议处理</w:t>
      </w:r>
    </w:p>
    <w:p w14:paraId="2EC7081C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管理委员会应在5个工作日内反馈是否受理；受理的按程序组织复议，复议结果为最终决定。申诉期间处分决定照常执行。</w:t>
      </w:r>
    </w:p>
    <w:p w14:paraId="068CC2EC">
      <w:pPr>
        <w:pStyle w:val="3"/>
      </w:pPr>
      <w:bookmarkStart w:id="44" w:name="_LarkToc00045"/>
      <w:r>
        <w:rPr>
          <w:rFonts w:ascii="Times New Roman" w:hAnsi="Times New Roman" w:eastAsia="黑体"/>
          <w:b/>
          <w:color w:val="000000"/>
          <w:sz w:val="32"/>
        </w:rPr>
        <w:t>第九章 生效、变更与确认</w:t>
      </w:r>
      <w:bookmarkEnd w:id="44"/>
    </w:p>
    <w:p w14:paraId="74E4A2C6">
      <w:pPr>
        <w:pStyle w:val="4"/>
      </w:pPr>
      <w:bookmarkStart w:id="45" w:name="_LarkToc00046"/>
      <w:r>
        <w:rPr>
          <w:rFonts w:ascii="Times New Roman" w:hAnsi="Times New Roman" w:eastAsia="黑体"/>
          <w:b/>
          <w:color w:val="000000"/>
          <w:sz w:val="28"/>
        </w:rPr>
        <w:t>9.1 生效</w:t>
      </w:r>
      <w:bookmarkEnd w:id="45"/>
    </w:p>
    <w:p w14:paraId="1DF7577C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本《常州工NEC开源开发者手册》经社区管理委员会审议通过，自2026年10月1日颁发之日起生效；在此之前的社区相关通知或规定与本手册内容相悖的，同时废止。</w:t>
      </w:r>
    </w:p>
    <w:p w14:paraId="5751F282">
      <w:pPr>
        <w:pStyle w:val="4"/>
      </w:pPr>
      <w:bookmarkStart w:id="46" w:name="_LarkToc00047"/>
      <w:r>
        <w:rPr>
          <w:rFonts w:ascii="Times New Roman" w:hAnsi="Times New Roman" w:eastAsia="黑体"/>
          <w:b/>
          <w:color w:val="000000"/>
          <w:sz w:val="28"/>
        </w:rPr>
        <w:t>9.2 变更</w:t>
      </w:r>
      <w:bookmarkEnd w:id="46"/>
    </w:p>
    <w:p w14:paraId="23F6900A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本手册概括了社区的成员与开源协作管理规定，符合国家法律法规与开源社区通行规范的要求。必要时，管理委员会将做适当修正；修订内容经公示后执行，希望所有成员共同遵守。</w:t>
      </w:r>
    </w:p>
    <w:p w14:paraId="3627DA36">
      <w:pPr>
        <w:pStyle w:val="4"/>
      </w:pPr>
      <w:bookmarkStart w:id="47" w:name="_LarkToc00048"/>
      <w:r>
        <w:rPr>
          <w:rFonts w:ascii="Times New Roman" w:hAnsi="Times New Roman" w:eastAsia="黑体"/>
          <w:b/>
          <w:color w:val="000000"/>
          <w:sz w:val="28"/>
        </w:rPr>
        <w:t>9.3 其他</w:t>
      </w:r>
      <w:bookmarkEnd w:id="47"/>
    </w:p>
    <w:p w14:paraId="5089CD27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本手册内容共22页，收到后如发现缺页、少页、装订错误、排版错误等情况，请于15日内至社区管理委员会更换新手册。</w:t>
      </w:r>
    </w:p>
    <w:p w14:paraId="7688F935">
      <w:pPr>
        <w:pStyle w:val="3"/>
      </w:pPr>
      <w:bookmarkStart w:id="48" w:name="_LarkToc00049"/>
      <w:r>
        <w:rPr>
          <w:rFonts w:ascii="Times New Roman" w:hAnsi="Times New Roman" w:eastAsia="黑体"/>
          <w:b/>
          <w:color w:val="000000"/>
          <w:sz w:val="32"/>
        </w:rPr>
        <w:t>开发者承诺书</w:t>
      </w:r>
      <w:bookmarkEnd w:id="48"/>
    </w:p>
    <w:p w14:paraId="76E7F8B8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《常州工NEC开源开发者手册》V1.0版所载内容，本人已接收，完全知悉并充分理解。我保证自觉自愿遵守本手册内容，包括社区日后更新颁布内容，若有违反，愿意接受社区的相应处理。</w:t>
      </w:r>
    </w:p>
    <w:p w14:paraId="29ABFF4F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提醒：本手册所载内容被视为社区需保密资料，请您妥善保管。如您退出社区，退出后仍需对本手册进行保密，不得对外传播。</w:t>
      </w:r>
    </w:p>
    <w:p w14:paraId="41CB5D7D">
      <w:pPr>
        <w:ind w:firstLine="0" w:firstLineChars="0"/>
      </w:pPr>
    </w:p>
    <w:p w14:paraId="764B2822">
      <w:pPr>
        <w:spacing w:before="360"/>
        <w:ind w:firstLine="0" w:firstLineChars="0"/>
      </w:pPr>
      <w:r>
        <w:rPr>
          <w:rFonts w:ascii="Times New Roman" w:hAnsi="Times New Roman" w:eastAsia="宋体"/>
          <w:b w:val="0"/>
          <w:color w:val="000000"/>
          <w:sz w:val="24"/>
        </w:rPr>
        <w:t>承诺人：</w:t>
      </w:r>
    </w:p>
    <w:p w14:paraId="246CDE9A">
      <w:pPr>
        <w:ind w:firstLine="0" w:firstLineChars="0"/>
      </w:pPr>
    </w:p>
    <w:p w14:paraId="1B3F29D7">
      <w:pPr>
        <w:spacing w:before="360"/>
        <w:ind w:firstLine="0" w:firstLineChars="0"/>
      </w:pPr>
      <w:r>
        <w:rPr>
          <w:rFonts w:ascii="Times New Roman" w:hAnsi="Times New Roman" w:eastAsia="宋体"/>
          <w:b w:val="0"/>
          <w:color w:val="000000"/>
          <w:sz w:val="24"/>
        </w:rPr>
        <w:t>日期：</w:t>
      </w:r>
    </w:p>
    <w:p w14:paraId="6505C317">
      <w:pPr>
        <w:ind w:firstLine="0" w:firstLineChars="0"/>
      </w:pPr>
    </w:p>
    <w:p w14:paraId="67EE057E">
      <w:pPr>
        <w:spacing w:before="240"/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此《开发者承诺书》可通过电子签或书面签字形式签署，无论何种方式签署，均具备相应效力。</w:t>
      </w:r>
    </w:p>
    <w:sectPr>
      <w:headerReference r:id="rId6" w:type="default"/>
      <w:footerReference r:id="rId7" w:type="default"/>
      <w:pgSz w:w="11906" w:h="16838"/>
      <w:pgMar w:top="1417" w:right="1417" w:bottom="1417" w:left="1417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汇文明朝体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汇文明朝体">
    <w:panose1 w:val="02000600000000000000"/>
    <w:charset w:val="80"/>
    <w:family w:val="auto"/>
    <w:pitch w:val="default"/>
    <w:sig w:usb0="800002D7" w:usb1="1A4F6C50" w:usb2="00000010" w:usb3="00000000" w:csb0="00020003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DC67EA">
    <w:pPr>
      <w:pStyle w:val="24"/>
      <w:tabs>
        <w:tab w:val="right" w:pos="9071"/>
      </w:tabs>
    </w:pPr>
    <w:r>
      <w:rPr>
        <w:rFonts w:ascii="Times New Roman" w:hAnsi="Times New Roman" w:eastAsia="宋体"/>
        <w:b w:val="0"/>
        <w:color w:val="000000"/>
        <w:sz w:val="18"/>
      </w:rPr>
      <w:t>版本号：V1.0</w:t>
    </w:r>
    <w:r>
      <w:tab/>
    </w:r>
    <w: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 w:eastAsia="宋体"/>
        <w:b w:val="0"/>
        <w:color w:val="000000"/>
        <w:sz w:val="18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134E05">
    <w:pPr>
      <w:pStyle w:val="25"/>
      <w:rPr>
        <w:rFonts w:hint="eastAsia" w:eastAsia="宋体"/>
        <w:lang w:eastAsia="zh-CN"/>
      </w:rPr>
    </w:pPr>
    <w:r>
      <w:rPr>
        <w:rFonts w:hint="eastAsia" w:eastAsia="宋体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1130935" cy="433070"/>
          <wp:effectExtent l="0" t="0" r="0" b="4445"/>
          <wp:wrapTopAndBottom/>
          <wp:docPr id="1" name="图片 1" descr="e60d3ba96a5da6083a0b626002dc82d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e60d3ba96a5da6083a0b626002dc82d9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30935" cy="4330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18A192">
    <w:pPr>
      <w:pStyle w:val="25"/>
      <w:pBdr>
        <w:bottom w:val="single" w:color="BFBFBF" w:sz="4" w:space="1"/>
      </w:pBdr>
      <w:jc w:val="right"/>
    </w:pPr>
    <w:r>
      <w:rPr>
        <w:rFonts w:hint="eastAsia" w:eastAsia="宋体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1130935" cy="433070"/>
          <wp:effectExtent l="0" t="0" r="0" b="4445"/>
          <wp:wrapTopAndBottom/>
          <wp:docPr id="2" name="图片 2" descr="e60d3ba96a5da6083a0b626002dc82d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e60d3ba96a5da6083a0b626002dc82d9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30935" cy="4330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宋体"/>
        <w:b w:val="0"/>
        <w:color w:val="000000"/>
        <w:sz w:val="18"/>
      </w:rPr>
      <w:t>常州工NEC开源开发者手册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OfficeWordTocPaginationV1" w:val="v5:4cfe27405682a6f76ec3d34ef672a16e87e9f26a1388d196f1446db167902b62:b8bda3aa843a442ecc9e5ca36d3e7805d3ca05bfaa062e90b3c0e9e986ee10e1:be16464facd8c34900ea93d8c273b48d6e7d9b6030dd533dcda5d5ca24020d17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B566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360" w:lineRule="auto"/>
      <w:jc w:val="both"/>
    </w:pPr>
    <w:rPr>
      <w:rFonts w:ascii="Times New Roman" w:hAnsi="Times New Roman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280" w:after="120" w:line="312" w:lineRule="auto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20" w:after="100" w:line="312" w:lineRule="auto"/>
      <w:outlineLvl w:val="1"/>
    </w:pPr>
    <w:rPr>
      <w:rFonts w:asciiTheme="majorHAnsi" w:hAnsiTheme="majorHAnsi" w:eastAsiaTheme="majorEastAsia" w:cstheme="majorBidi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180" w:after="80" w:line="312" w:lineRule="auto"/>
      <w:outlineLvl w:val="2"/>
    </w:pPr>
    <w:rPr>
      <w:rFonts w:asciiTheme="majorHAnsi" w:hAnsiTheme="majorHAnsi" w:eastAsiaTheme="majorEastAsia" w:cstheme="majorBidi"/>
      <w:b/>
      <w:bCs/>
      <w:color w:val="000000"/>
      <w:sz w:val="24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  <w:pPr>
      <w:spacing w:line="240" w:lineRule="auto"/>
      <w:ind w:firstLine="0" w:firstLineChars="0"/>
    </w:pPr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uiPriority w:val="39"/>
    <w:pPr>
      <w:spacing w:line="240" w:lineRule="auto"/>
      <w:ind w:left="420" w:leftChars="200" w:firstLine="0" w:firstLineChars="0"/>
    </w:pPr>
  </w:style>
  <w:style w:type="paragraph" w:styleId="30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uiPriority w:val="99"/>
  </w:style>
  <w:style w:type="character" w:customStyle="1" w:styleId="147">
    <w:name w:val="Body Text 2 Char"/>
    <w:basedOn w:val="134"/>
    <w:link w:val="30"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?>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theme" Target="theme/theme1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467</Words>
  <Characters>640</Characters>
  <Lines>0</Lines>
  <Paragraphs>0</Paragraphs>
  <TotalTime>3</TotalTime>
  <ScaleCrop>false</ScaleCrop>
  <LinksUpToDate>false</LinksUpToDate>
  <CharactersWithSpaces>743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DarrenPig</cp:lastModifiedBy>
  <dcterms:modified xsi:type="dcterms:W3CDTF">2026-09-20T09:03:59Z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eyJoZGlkIjoiNWE5MmRiNDkzODQ0ZjRjNGRiNjk2ZWExODI4YzNjNTkiLCJ1c2VySWQiOiIxMzk1NTA1MjcyIn0=</vt:lpwstr>
  </property>
  <property fmtid="{D5CDD505-2E9C-101B-9397-08002B2CF9AE}" pid="3" name="KSOProductBuildVer">
    <vt:lpwstr>2052-12.1.0.28505</vt:lpwstr>
  </property>
  <property fmtid="{D5CDD505-2E9C-101B-9397-08002B2CF9AE}" pid="4" name="ICV">
    <vt:lpwstr>566332C54F77467E8257EE8BA46F05D2_13</vt:lpwstr>
  </property>
</Properties>
</file>