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5C11E">
      <w:pPr>
        <w:pStyle w:val="31"/>
      </w:pPr>
      <w:bookmarkStart w:id="0" w:name="_GoBack"/>
      <w:bookmarkEnd w:id="0"/>
      <w:r>
        <w:rPr>
          <w:rFonts w:ascii="Times New Roman" w:hAnsi="Times New Roman" w:eastAsia="黑体"/>
          <w:b/>
          <w:color w:val="000000"/>
          <w:sz w:val="36"/>
        </w:rPr>
        <w:t>常州工NEC开源社区成员协议</w:t>
      </w:r>
    </w:p>
    <w:p w14:paraId="32BB13E7">
      <w:pPr>
        <w:spacing w:after="200"/>
        <w:ind w:firstLine="0" w:firstLineChars="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协议编号：NEC-MEM-2026-001　　版本：V1.0　　生效日期：2026-10-01</w:t>
      </w:r>
    </w:p>
    <w:p w14:paraId="6A026FB9">
      <w:pPr>
        <w:ind w:firstLine="0"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甲方（社区）：常州工NEC开源社区管理委员会</w:t>
      </w:r>
    </w:p>
    <w:p w14:paraId="4C3E0FE3">
      <w:pPr>
        <w:ind w:firstLine="0"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乙方（成员）：常州工NEC开源社区全体成员（含实习生Watcher、试用期Committer、正式成员Developer、核心成员Maintainer）</w:t>
      </w:r>
    </w:p>
    <w:p w14:paraId="658F84F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鉴于：甲方制定并发布《常州工NEC开源开发者手册》（以下简称《手册》），对社区成员的成员身份与考核、开源相关限制、CLI使用规范、代码贡献、协作贡献、组会考勤以及激励与负向事件管理等作出规定；乙方自愿加入常州工NEC开源社区并参与开源共建。为明确双方权利义务，便于全员签署与执行，双方经协商一致，订立本协议，共同遵守。</w:t>
      </w:r>
    </w:p>
    <w:p w14:paraId="40F7BF5B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第一条　身份与考核</w:t>
      </w:r>
    </w:p>
    <w:p w14:paraId="52645CB5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（一）乙方身份分为实习生（Watcher）、试用期（Committer）、正式成员（Developer）、核心成员（Maintainer）四个分段。</w:t>
      </w:r>
    </w:p>
    <w:p w14:paraId="37AEBD5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（二）每个身份分段设置3个月考核期。乙方在考核期内完成对应阶段的任务与工作，经核验并由管理委员会评定通过后晋升至下一身份，晋升结果在社区官网公示。</w:t>
      </w:r>
    </w:p>
    <w:p w14:paraId="33327D75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（三）身份转变以项目制划分与实际贡献为基本依据；实际贡献包含代码贡献与协作贡献两个维度，量化记录、按周期评定。</w:t>
      </w:r>
    </w:p>
    <w:p w14:paraId="6BB0CBE1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（四）乙方身份变动后，其代码托管平台权限按《手册》权限矩阵即时调整。</w:t>
      </w:r>
    </w:p>
    <w:p w14:paraId="0C814A01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第二条　开源相关限制</w:t>
      </w:r>
    </w:p>
    <w:p w14:paraId="0D2AD160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（一）乙方应遵守社区统一开源许可证（如Apache-2.0、MIT等），不得擅自变更项目许可证；引入第三方代码须符合其许可证要求，避免许可证污染。</w:t>
      </w:r>
    </w:p>
    <w:p w14:paraId="38AE72D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乙方对未开源项目代码、比赛技术方案与策略、未公开设计文档、赞助方及合作方信息、成员个人信息等社区机密信息负有保密义务；未经甲方授权不得向社区外泄露或用于本协议之外用途，退出社区后保密义务继续有效。</w:t>
      </w:r>
    </w:p>
    <w:p w14:paraId="62E140EE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（三）未经甲方授权，乙方不得以社区名义对外发布信息、接受采访或发表公开声明；不得发布诋毁社区、赛事主办方、学校或他人的不实言论。</w:t>
      </w:r>
    </w:p>
    <w:p w14:paraId="64B0C1A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（四）乙方贡献的代码、文档等按项目许可证授权社区及下游使用者使用；引用他人成果应保留版权声明与署名。</w:t>
      </w:r>
    </w:p>
    <w:p w14:paraId="56C2990A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第三条　CLI使用规范</w:t>
      </w:r>
    </w:p>
    <w:p w14:paraId="3B6DA5E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（一）社区代码托管平台：Gitee主仓库 https://gitee.com/darrenpig/new_energy_coder_club ，GitHub组织 https://github.com/new-energy-coder-club ；社区官网 https://www.newenergycoder.club/ ，文档仓 https://docs.newenergycoder.club/ 。</w:t>
      </w:r>
    </w:p>
    <w:p w14:paraId="5F48B0A2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（二）乙方应使用Git及平台官方CLI进行日常操作；分支命名遵循feature/、fix/、docs/、refactor/、test/等规范，提交信息遵循Conventional Commits规范。</w:t>
      </w:r>
    </w:p>
    <w:p w14:paraId="2EAFB1A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（三）乙方不得对main或共享分支执行force push，不得绕过PR直接提交；冲突处理按项目约定执行；版本发布（tag与release）仅由Maintainer执行。</w:t>
      </w:r>
    </w:p>
    <w:p w14:paraId="0E63D6C2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第四条　代码贡献</w:t>
      </w:r>
    </w:p>
    <w:p w14:paraId="3067BC5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（一）乙方按“认领任务—建分支—开发—自测—提交—提交PR—代码评审—合并关闭”流程贡献代码。</w:t>
      </w:r>
    </w:p>
    <w:p w14:paraId="0DFE4ABA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（二）乙方提交的代码应通过CI构建与测试，遵循项目代码风格；禁止提交未经验证的代码、硬编码密钥与凭据、调试残留及无关文件。</w:t>
      </w:r>
    </w:p>
    <w:p w14:paraId="028959DC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（三）PR须经至少1名具备合并权限的成员评审通过后方可合并；核心模块、底层库与安全相关改动须Developer及以上成员评审。</w:t>
      </w:r>
    </w:p>
    <w:p w14:paraId="00040E97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第五条　协作贡献</w:t>
      </w:r>
    </w:p>
    <w:p w14:paraId="6B27D985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（一）乙方应参与文档共建、组会汇报、带教培训与社区运营等协作贡献，并按《手册》规定的协作礼仪行事。</w:t>
      </w:r>
    </w:p>
    <w:p w14:paraId="4E17C73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（二）乙方不得抄袭他人代码冒充己作、伪造或虚报贡献、刷量，不得实施人身攻击、骚扰、歧视或阻挠他人合理贡献。</w:t>
      </w:r>
    </w:p>
    <w:p w14:paraId="4ACFFF32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第六条　组会考勤</w:t>
      </w:r>
    </w:p>
    <w:p w14:paraId="49518387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（一）乙方应按时参加社区组织的线上/线下组会；因考试、课程冲突、伤病、赛事等正当理由无法参加的，按《手册》规定流程提前请假。</w:t>
      </w:r>
    </w:p>
    <w:p w14:paraId="099FC9A4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一个评定周期内，乙方累计无故缺席组会超过5次的，按下列规定处理：实习生（Watcher）作劝退（开除）处理；试用期（Committer）降级为实习生（Watcher）；正式成员（Developer）降级为试用期（Committer），情节严重者作劝退处理；核心成员（Maintainer）降级为正式成员（Developer），情节严重者免去核心成员资格。</w:t>
      </w:r>
    </w:p>
    <w:p w14:paraId="14C6C540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第七条　权限与赛事</w:t>
      </w:r>
    </w:p>
    <w:p w14:paraId="2E4F82B6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（一）只有正式成员（Developer）及以上身份有权限参与CURC-ROBOCON赛事的备赛与参赛工作；赛事参与资格由甲方按年度结合项目贡献核定。</w:t>
      </w:r>
    </w:p>
    <w:p w14:paraId="2766820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（二）乙方享有的仓库读写、PR合并、版本发布等权限按《手册》权限矩阵执行，权限随身份即时调整。</w:t>
      </w:r>
    </w:p>
    <w:p w14:paraId="716CD47F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第八条　贡献榜单与机会分配</w:t>
      </w:r>
    </w:p>
    <w:p w14:paraId="0872AEA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（一）甲方建立基于真实代码贡献量的事实榜单，数据自动取自代码托管平台的合并PR、代码变更量、评审记录与Issue处理记录，按3个月周期统计并在官网公示；乙方不得刷量、伪造或虚报贡献。</w:t>
      </w:r>
    </w:p>
    <w:p w14:paraId="26E3DA6D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（二）甲方推荐的商业项目、实习合作等机会，遵循“高等级成员优先”原则分配，同一身份成员按贡献榜单与评估结果排序；获得机会的乙方应遵守相应保密与开源合规要求。</w:t>
      </w:r>
    </w:p>
    <w:p w14:paraId="75C2B4CB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第九条　激励与负向事件</w:t>
      </w:r>
    </w:p>
    <w:p w14:paraId="0A957E0B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（一）甲方按《手册》对乙方实施荣誉、权限、机会、资源等激励，激励评定与贡献评估挂钩。</w:t>
      </w:r>
    </w:p>
    <w:p w14:paraId="26B48867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（二）乙方违反本协议或《手册》规定的，甲方可视情节轻重给予口头警告、书面警告、严重警告、降级或除名处理；处分的递进、程序与申诉按《手册》执行。</w:t>
      </w:r>
    </w:p>
    <w:p w14:paraId="5810B954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第十条　协议期限、变更与解除</w:t>
      </w:r>
    </w:p>
    <w:p w14:paraId="70DE4AD3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（一）本协议自乙方签署之日起生效，至乙方退出社区或甲方依规除名时终止。</w:t>
      </w:r>
    </w:p>
    <w:p w14:paraId="7E4F9FC8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（二）乙方主动退出的，应提前按《手册》规定完成在办任务、代码与文档交接；保密义务按本协议第二条继续履行。</w:t>
      </w:r>
    </w:p>
    <w:p w14:paraId="7F69E4E7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（三）《手册》更新不影响本协议效力，更新后的《手册》内容对乙方继续适用；本协议未尽事宜按《手册》执行；甲方对本协议的解释以公示的《手册》条文为依据，并保留最终解释权。</w:t>
      </w:r>
    </w:p>
    <w:p w14:paraId="796BDD03"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第十一条　争议处理</w:t>
      </w:r>
    </w:p>
    <w:p w14:paraId="75320D13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（一）双方因本协议发生的争议，应首先通过友好协商解决；协商不成的，提交甲方管理委员会按《手册》规定的程序处理。</w:t>
      </w:r>
    </w:p>
    <w:p w14:paraId="7AA089B9">
      <w:pPr>
        <w:ind w:firstLine="480"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（二）本协议为社区内部自治文件，不构成劳动合同或劳务合同关系。</w:t>
      </w:r>
    </w:p>
    <w:p w14:paraId="04C978BE">
      <w:pPr>
        <w:spacing w:before="120"/>
        <w:ind w:firstLine="0" w:firstLineChars="0"/>
      </w:pPr>
    </w:p>
    <w:p w14:paraId="6110E932">
      <w:pPr>
        <w:spacing w:before="360"/>
        <w:ind w:firstLine="0"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甲方（签章）：常州工NEC开源社区管理委员会</w:t>
      </w:r>
    </w:p>
    <w:p w14:paraId="4FFA87B3">
      <w:pPr>
        <w:spacing w:before="360"/>
        <w:ind w:firstLine="0"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负责人签字：</w:t>
      </w:r>
    </w:p>
    <w:p w14:paraId="4E40617A">
      <w:pPr>
        <w:spacing w:before="360"/>
        <w:ind w:firstLine="0" w:firstLineChars="0"/>
      </w:pPr>
      <w:r>
        <w:rPr>
          <w:rFonts w:ascii="Times New Roman" w:hAnsi="Times New Roman" w:eastAsia="宋体"/>
          <w:b w:val="0"/>
          <w:color w:val="000000"/>
          <w:sz w:val="24"/>
        </w:rPr>
        <w:t>日期：</w:t>
      </w:r>
    </w:p>
    <w:p w14:paraId="22219539">
      <w:pPr>
        <w:spacing w:before="120"/>
        <w:ind w:firstLine="0" w:firstLineChars="0"/>
      </w:pPr>
    </w:p>
    <w:p w14:paraId="2A334A85">
      <w:pPr>
        <w:keepNext/>
        <w:spacing w:before="200" w:after="80"/>
        <w:ind w:firstLine="0" w:firstLineChars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乙方（成员）签署表</w:t>
      </w:r>
    </w:p>
    <w:tbl>
      <w:tblPr>
        <w:tblStyle w:val="32"/>
        <w:tblW w:w="9072" w:type="dxa"/>
        <w:tblInd w:w="0" w:type="dxa"/>
        <w:tbl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1701"/>
        <w:gridCol w:w="1587"/>
        <w:gridCol w:w="1701"/>
        <w:gridCol w:w="1701"/>
      </w:tblGrid>
      <w:tr w14:paraId="4D8EA2AB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0" w:type="dxa"/>
            <w:shd w:val="clear" w:color="auto" w:fill="F2F2F2"/>
            <w:vAlign w:val="center"/>
          </w:tcPr>
          <w:p w14:paraId="13BF7C82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B0C4D2B">
            <w:pPr>
              <w:spacing w:before="20" w:after="20" w:line="240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姓名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30F0237">
            <w:pPr>
              <w:spacing w:before="20" w:after="20" w:line="240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学号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EAF92FF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当前身份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12A7A8A">
            <w:pPr>
              <w:spacing w:before="20" w:after="20" w:line="240" w:lineRule="auto"/>
              <w:ind w:left="0" w:right="0" w:firstLine="0" w:firstLineChars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签字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BAF692A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签署日期</w:t>
            </w:r>
          </w:p>
        </w:tc>
      </w:tr>
      <w:tr w14:paraId="655B2166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7BBF8C42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759157B9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5C79BF30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4BCBBD4D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5EEA2106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5803B5FE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43776117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1B63F65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652A781B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46AAD49F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5503B56D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63874AAC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5EF46909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4D552752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F8DF0CD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0E790D3E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3C795CF2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6DF90DF1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7CD4F77A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353C0DF0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74179BF3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E69FBAD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41B30062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426B6922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02FE0C24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56285B7F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0B2F2D33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04C8B990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39405A6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1701" w:type="dxa"/>
            <w:vAlign w:val="center"/>
          </w:tcPr>
          <w:p w14:paraId="57450E8E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5C360990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1FC2A0A9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51C92051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496B6965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4DF2E6AC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A6C0AB5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1701" w:type="dxa"/>
            <w:vAlign w:val="center"/>
          </w:tcPr>
          <w:p w14:paraId="0FC6DF65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41ECA15F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3A716044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5AF0F874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2BAE3D53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3A9B81A8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C2ED169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1701" w:type="dxa"/>
            <w:vAlign w:val="center"/>
          </w:tcPr>
          <w:p w14:paraId="64A8BC89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4A083F76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67BE663E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70AAF776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2E570067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2B0A7278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0B864F8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1701" w:type="dxa"/>
            <w:vAlign w:val="center"/>
          </w:tcPr>
          <w:p w14:paraId="7379E083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6DA9C560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373F43F9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25C6C8B4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77BF8864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2940B5D9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0916950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1701" w:type="dxa"/>
            <w:vAlign w:val="center"/>
          </w:tcPr>
          <w:p w14:paraId="78A44F15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4FA7344E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46E514D6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556162CD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298D6D88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48171351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03ABD16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1701" w:type="dxa"/>
            <w:vAlign w:val="center"/>
          </w:tcPr>
          <w:p w14:paraId="77CC84AC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1B386BED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57CC428C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5518A743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46D977A9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4184C3EE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5E59382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w="1701" w:type="dxa"/>
            <w:vAlign w:val="center"/>
          </w:tcPr>
          <w:p w14:paraId="1596D90D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17B627C1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308228D9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73320196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4C757A0E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  <w:tr w14:paraId="53563814">
        <w:tblPrEx>
          <w:tblBorders>
            <w:top w:val="single" w:color="808080" w:sz="8" w:space="0"/>
            <w:left w:val="single" w:color="808080" w:sz="8" w:space="0"/>
            <w:bottom w:val="single" w:color="808080" w:sz="8" w:space="0"/>
            <w:right w:val="single" w:color="808080" w:sz="8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B8E08C1">
            <w:pPr>
              <w:spacing w:before="20" w:after="20" w:line="24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w="1701" w:type="dxa"/>
            <w:vAlign w:val="center"/>
          </w:tcPr>
          <w:p w14:paraId="718FF68A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6AE231D4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587" w:type="dxa"/>
            <w:vAlign w:val="center"/>
          </w:tcPr>
          <w:p w14:paraId="175CB08A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  <w:tc>
          <w:tcPr>
            <w:tcW w:w="1701" w:type="dxa"/>
            <w:vAlign w:val="center"/>
          </w:tcPr>
          <w:p w14:paraId="73F11D53">
            <w:pPr>
              <w:spacing w:before="20" w:after="20" w:line="240" w:lineRule="auto"/>
              <w:ind w:left="0" w:right="0" w:firstLine="0" w:firstLineChars="0"/>
              <w:jc w:val="left"/>
            </w:pPr>
          </w:p>
        </w:tc>
        <w:tc>
          <w:tcPr>
            <w:tcW w:w="1701" w:type="dxa"/>
            <w:vAlign w:val="center"/>
          </w:tcPr>
          <w:p w14:paraId="360F8A2C">
            <w:pPr>
              <w:spacing w:before="20" w:after="20" w:line="240" w:lineRule="auto"/>
              <w:ind w:left="0" w:right="0" w:firstLine="0" w:firstLineChars="0"/>
              <w:jc w:val="center"/>
            </w:pPr>
          </w:p>
        </w:tc>
      </w:tr>
    </w:tbl>
    <w:p w14:paraId="1319C294">
      <w:pPr>
        <w:spacing w:before="160"/>
        <w:ind w:firstLine="420"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说明：本协议可线下签字或电子签方式签署；乙方签署即视为已完整阅读并同意《手册》全部内容。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汇文明朝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B9F7B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b w:val="0"/>
        <w:color w:val="000000"/>
        <w:sz w:val="18"/>
      </w:rPr>
      <w:t>1</w:t>
    </w:r>
    <w:r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宋体"/>
        <w:b w:val="0"/>
        <w:color w:val="000000"/>
        <w:sz w:val="18"/>
      </w:rPr>
      <w:t>1</w:t>
    </w:r>
    <w:r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0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 w:line="24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4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2129</Words>
  <Characters>2586</Characters>
  <Lines>0</Lines>
  <Paragraphs>0</Paragraphs>
  <TotalTime>5</TotalTime>
  <ScaleCrop>false</ScaleCrop>
  <LinksUpToDate>false</LinksUpToDate>
  <CharactersWithSpaces>2611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DarrenPig</cp:lastModifiedBy>
  <dcterms:modified xsi:type="dcterms:W3CDTF">2026-09-21T05:39:32Z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E8B48DF46A48498A8EABA74F376FD98F_13</vt:lpwstr>
  </property>
</Properties>
</file>