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t xml:space="preserve"/>
      </w:r>
    </w:p>
    <w:p>
      <w:pPr>
        <w:spacing w:after="200" w:before="0"/>
        <w:jc w:val="center"/>
      </w:pPr>
      <w:r>
        <w:rPr>
          <w:rFonts w:ascii="Arial" w:cs="Arial" w:eastAsia="Arial" w:hAnsi="Arial"/>
          <w:b/>
          <w:bCs/>
          <w:color w:val="2E75B6"/>
          <w:sz w:val="24"/>
          <w:szCs w:val="24"/>
        </w:rPr>
        <w:t xml:space="preserve">TECHNICAL REPORT</w:t>
      </w:r>
    </w:p>
    <w:p>
      <w:pPr>
        <w:pBdr>
          <w:bottom w:val="single" w:color="2E75B6" w:sz="12" w:space="6"/>
        </w:pBdr>
        <w:spacing w:after="120" w:before="0"/>
        <w:jc w:val="center"/>
      </w:pPr>
      <w:r>
        <w:rPr>
          <w:rFonts w:ascii="Arial" w:cs="Arial" w:eastAsia="Arial" w:hAnsi="Arial"/>
          <w:b/>
          <w:bCs/>
          <w:color w:val="1E3A5F"/>
          <w:sz w:val="52"/>
          <w:szCs w:val="52"/>
        </w:rPr>
        <w:t xml:space="preserve">Intelligent Scalable Multi-Agent Architecture</w:t>
      </w:r>
    </w:p>
    <w:p>
      <w:pPr>
        <w:spacing w:after="600" w:before="120"/>
        <w:jc w:val="center"/>
      </w:pPr>
      <w:r>
        <w:rPr>
          <w:rFonts w:ascii="Arial" w:cs="Arial" w:eastAsia="Arial" w:hAnsi="Arial"/>
          <w:b/>
          <w:bCs/>
          <w:color w:val="1E3A5F"/>
          <w:sz w:val="44"/>
          <w:szCs w:val="44"/>
        </w:rPr>
        <w:t xml:space="preserve">for Product Development</w:t>
      </w:r>
    </w:p>
    <w:p>
      <w:pPr>
        <w:spacing w:after="120" w:before="0"/>
        <w:jc w:val="center"/>
      </w:pPr>
      <w:r>
        <w:rPr>
          <w:rFonts w:ascii="Arial" w:cs="Arial" w:eastAsia="Arial" w:hAnsi="Arial"/>
          <w:i/>
          <w:iCs/>
          <w:color w:val="595959"/>
          <w:sz w:val="24"/>
          <w:szCs w:val="24"/>
        </w:rPr>
        <w:t xml:space="preserve">A Hierarchical, Modular AI Framework Spanning Vehicle Systems from Concept to Validation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spacing w:after="40" w:before="60"/>
              <w:jc w:val="center"/>
            </w:pPr>
            <w:r>
              <w:rPr>
                <w:rFonts w:ascii="Arial" w:cs="Arial" w:eastAsia="Arial" w:hAnsi="Arial"/>
                <w:b/>
                <w:bCs/>
                <w:color w:val="1E3A5F"/>
                <w:sz w:val="22"/>
                <w:szCs w:val="22"/>
              </w:rPr>
              <w:t xml:space="preserve">Authors</w:t>
            </w:r>
          </w:p>
          <w:p>
            <w:pPr>
              <w:spacing w:after="40" w:before="40"/>
              <w:jc w:val="center"/>
            </w:pPr>
            <w:r>
              <w:rPr>
                <w:rFonts w:ascii="Arial" w:cs="Arial" w:eastAsia="Arial" w:hAnsi="Arial"/>
                <w:sz w:val="22"/>
                <w:szCs w:val="22"/>
              </w:rPr>
              <w:t xml:space="preserve">Madhupranavi S  |  Revanth Kannan G  |  Siddhant Erande</w:t>
            </w:r>
          </w:p>
          <w:p>
            <w:pPr>
              <w:spacing w:after="40" w:before="60"/>
              <w:jc w:val="center"/>
            </w:pPr>
            <w:r>
              <w:rPr>
                <w:rFonts w:ascii="Arial" w:cs="Arial" w:eastAsia="Arial" w:hAnsi="Arial"/>
                <w:i/>
                <w:iCs/>
                <w:color w:val="595959"/>
                <w:sz w:val="20"/>
                <w:szCs w:val="20"/>
              </w:rPr>
              <w:t xml:space="preserve">Domain: Vehicle Engineering &amp; AI Systems</w:t>
            </w:r>
          </w:p>
        </w:tc>
      </w:tr>
    </w:tbl>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1. Executive Summary</w:t>
      </w:r>
    </w:p>
    <w:p>
      <w:pPr>
        <w:spacing w:after="80" w:before="80"/>
      </w:pPr>
      <w:r>
        <w:rPr>
          <w:rFonts w:ascii="Arial" w:cs="Arial" w:eastAsia="Arial" w:hAnsi="Arial"/>
          <w:color w:val="000000"/>
          <w:sz w:val="22"/>
          <w:szCs w:val="22"/>
        </w:rPr>
        <w:t xml:space="preserve">This report presents the design, rationale, and technical implementation of an Intelligent Scalable Multi-Agent Architecture developed for complex, multi-domain product development environments. The framework is designed specifically for vehicle engineering programs, where multiple engineering domains — Integration, Vehicle System, CAB, Electrical &amp; Electronics, Drivetrain, and Engine — operate in parallel across the full product lifecycle.</w:t>
      </w:r>
    </w:p>
    <w:p>
      <w:pPr>
        <w:spacing w:after="40" w:before="40"/>
      </w:pPr>
      <w:r>
        <w:t xml:space="preserve"/>
      </w:r>
    </w:p>
    <w:p>
      <w:pPr>
        <w:spacing w:after="80" w:before="80"/>
      </w:pPr>
      <w:r>
        <w:rPr>
          <w:rFonts w:ascii="Arial" w:cs="Arial" w:eastAsia="Arial" w:hAnsi="Arial"/>
          <w:color w:val="000000"/>
          <w:sz w:val="22"/>
          <w:szCs w:val="22"/>
        </w:rPr>
        <w:t xml:space="preserve">The architecture introduces a three-level hierarchical agent structure (N → N-1 → N-2) with a Central Orchestrator at the top and a standardized, reusable agent layer at the subsystem level. Every subsystem is served by an identical set of AI agents — Expert Advisor, Design Calculation, Verification &amp; Validation, DFMEA, and more — ensuring modularity and infinite extensibility across the program.</w:t>
      </w:r>
    </w:p>
    <w:p>
      <w:pPr>
        <w:spacing w:after="40" w:before="40"/>
      </w:pPr>
      <w:r>
        <w:t xml:space="preserve"/>
      </w:r>
    </w:p>
    <w:p>
      <w:pPr>
        <w:spacing w:after="80" w:before="80"/>
      </w:pPr>
      <w:r>
        <w:rPr>
          <w:rFonts w:ascii="Arial" w:cs="Arial" w:eastAsia="Arial" w:hAnsi="Arial"/>
          <w:color w:val="000000"/>
          <w:sz w:val="22"/>
          <w:szCs w:val="22"/>
        </w:rPr>
        <w:t xml:space="preserve">To demonstrate the framework's real-world applicability, this report presents a complete technical implementation: ride comfort optimization for a 6×2 heavy commercial vehicle equipped with a Non-Reactive Suspension (NRS) system. Two complementary modeling approaches are developed — a physics-based ODE model and a Physics-Informed Neural Network (PINN) surrogate — and integrated with both single-objective (Bayesian Optimization) and multi-objective (NSGA-II) optimization strategies. The results are surfaced through an intelligent agent that manages execution, validates outputs, and maintains a full audit trail.</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2. Problem Statement</w:t>
      </w:r>
    </w:p>
    <w:p>
      <w:pPr>
        <w:spacing w:after="80" w:before="80"/>
      </w:pPr>
      <w:r>
        <w:rPr>
          <w:rFonts w:ascii="Arial" w:cs="Arial" w:eastAsia="Arial" w:hAnsi="Arial"/>
          <w:color w:val="000000"/>
          <w:sz w:val="22"/>
          <w:szCs w:val="22"/>
        </w:rPr>
        <w:t xml:space="preserve">Modern vehicle product development is one of the most complex engineering endeavors undertaken at industrial scale. A single vehicle program spans six or more major engineering domains, each containing multiple subsystems, each requiring specialized expertise, dedicated toolchains, and extensive validation workflows.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2.1 Scope of the Challenge</w:t>
      </w:r>
    </w:p>
    <w:p>
      <w:pPr>
        <w:spacing w:after="80" w:before="80"/>
      </w:pPr>
      <w:r>
        <w:rPr>
          <w:rFonts w:ascii="Arial" w:cs="Arial" w:eastAsia="Arial" w:hAnsi="Arial"/>
          <w:color w:val="000000"/>
          <w:sz w:val="22"/>
          <w:szCs w:val="22"/>
        </w:rPr>
        <w:t xml:space="preserve">The framework targets the following engineering domains and their constituent subsystems: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Domain Coverage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Cross-domain system coordination and interface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Vehicle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vehicle dynamics, chassis, and structural behavior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CAB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Cabin ergonomics, NVH, ride comfort, and driver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E&amp;E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Electrical architecture, control systems, and embedded software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Drivetrain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Powertrain, transmission, driveline, and torque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Combustion systems, thermal management, and calibration</w:t>
            </w:r>
          </w:p>
        </w:tc>
      </w:tr>
    </w:tbl>
    <w:p>
      <w:pPr>
        <w:spacing w:after="40" w:before="40"/>
      </w:pPr>
      <w:r>
        <w:t xml:space="preserve"/>
      </w:r>
    </w:p>
    <w:p>
      <w:pPr>
        <w:spacing w:after="80" w:before="80"/>
      </w:pPr>
      <w:r>
        <w:rPr>
          <w:rFonts w:ascii="Arial" w:cs="Arial" w:eastAsia="Arial" w:hAnsi="Arial"/>
          <w:color w:val="000000"/>
          <w:sz w:val="22"/>
          <w:szCs w:val="22"/>
        </w:rPr>
        <w:t xml:space="preserve">Within each domain, individual subsystems — Frames, Suspension, Steering, Fuel System, and others — each require the same engineering workflow: expert advisory, design calculations, verification and validation, and failure mode analysis.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2.2 Current Limitations</w:t>
      </w:r>
    </w:p>
    <w:p>
      <w:pPr>
        <w:pStyle w:val="ListParagraph"/>
        <w:numPr>
          <w:ilvl w:val="0"/>
          <w:numId w:val="2"/>
        </w:numPr>
        <w:spacing w:after="60" w:before="60"/>
      </w:pPr>
      <w:r>
        <w:rPr>
          <w:rFonts w:ascii="Arial" w:cs="Arial" w:eastAsia="Arial" w:hAnsi="Arial"/>
          <w:sz w:val="22"/>
          <w:szCs w:val="22"/>
        </w:rPr>
        <w:t xml:space="preserve">No shared intelligence layer across engineering domains — insights are siloed</w:t>
      </w:r>
    </w:p>
    <w:p>
      <w:pPr>
        <w:pStyle w:val="ListParagraph"/>
        <w:numPr>
          <w:ilvl w:val="0"/>
          <w:numId w:val="2"/>
        </w:numPr>
        <w:spacing w:after="60" w:before="60"/>
      </w:pPr>
      <w:r>
        <w:rPr>
          <w:rFonts w:ascii="Arial" w:cs="Arial" w:eastAsia="Arial" w:hAnsi="Arial"/>
          <w:sz w:val="22"/>
          <w:szCs w:val="22"/>
        </w:rPr>
        <w:t xml:space="preserve">Repetitive tasks are executed manually across teams and subsystems</w:t>
      </w:r>
    </w:p>
    <w:p>
      <w:pPr>
        <w:pStyle w:val="ListParagraph"/>
        <w:numPr>
          <w:ilvl w:val="0"/>
          <w:numId w:val="2"/>
        </w:numPr>
        <w:spacing w:after="60" w:before="60"/>
      </w:pPr>
      <w:r>
        <w:rPr>
          <w:rFonts w:ascii="Arial" w:cs="Arial" w:eastAsia="Arial" w:hAnsi="Arial"/>
          <w:sz w:val="22"/>
          <w:szCs w:val="22"/>
        </w:rPr>
        <w:t xml:space="preserve">No automated mechanism for surfacing cross-domain risks or dependencies</w:t>
      </w:r>
    </w:p>
    <w:p>
      <w:pPr>
        <w:pStyle w:val="ListParagraph"/>
        <w:numPr>
          <w:ilvl w:val="0"/>
          <w:numId w:val="2"/>
        </w:numPr>
        <w:spacing w:after="60" w:before="60"/>
      </w:pPr>
      <w:r>
        <w:rPr>
          <w:rFonts w:ascii="Arial" w:cs="Arial" w:eastAsia="Arial" w:hAnsi="Arial"/>
          <w:sz w:val="22"/>
          <w:szCs w:val="22"/>
        </w:rPr>
        <w:t xml:space="preserve">Generic AI tools lack domain-specific engineering knowledge</w:t>
      </w:r>
    </w:p>
    <w:p>
      <w:pPr>
        <w:pStyle w:val="ListParagraph"/>
        <w:numPr>
          <w:ilvl w:val="0"/>
          <w:numId w:val="2"/>
        </w:numPr>
        <w:spacing w:after="60" w:before="60"/>
      </w:pPr>
      <w:r>
        <w:rPr>
          <w:rFonts w:ascii="Arial" w:cs="Arial" w:eastAsia="Arial" w:hAnsi="Arial"/>
          <w:sz w:val="22"/>
          <w:szCs w:val="22"/>
        </w:rPr>
        <w:t xml:space="preserve">Computational bottlenecks in physics-based simulations limit design iteration speed</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2.3 Vision</w:t>
      </w:r>
    </w:p>
    <w:p>
      <w:pPr>
        <w:spacing w:after="80" w:before="80"/>
      </w:pPr>
      <w:r>
        <w:rPr>
          <w:rFonts w:ascii="Arial" w:cs="Arial" w:eastAsia="Arial" w:hAnsi="Arial"/>
          <w:color w:val="000000"/>
          <w:sz w:val="22"/>
          <w:szCs w:val="22"/>
        </w:rPr>
        <w:t xml:space="preserve">The objective is a connected, automated, intelligent layer across all product development systems with three defining properties:</w:t>
      </w:r>
    </w:p>
    <w:p>
      <w:pPr>
        <w:pStyle w:val="ListParagraph"/>
        <w:numPr>
          <w:ilvl w:val="0"/>
          <w:numId w:val="2"/>
        </w:numPr>
        <w:spacing w:after="60" w:before="60"/>
      </w:pPr>
      <w:r>
        <w:rPr>
          <w:rFonts w:ascii="Arial" w:cs="Arial" w:eastAsia="Arial" w:hAnsi="Arial"/>
          <w:sz w:val="22"/>
          <w:szCs w:val="22"/>
        </w:rPr>
        <w:t xml:space="preserve">Automated — AI agents handle repetitive engineering tasks end-to-end</w:t>
      </w:r>
    </w:p>
    <w:p>
      <w:pPr>
        <w:pStyle w:val="ListParagraph"/>
        <w:numPr>
          <w:ilvl w:val="0"/>
          <w:numId w:val="2"/>
        </w:numPr>
        <w:spacing w:after="60" w:before="60"/>
      </w:pPr>
      <w:r>
        <w:rPr>
          <w:rFonts w:ascii="Arial" w:cs="Arial" w:eastAsia="Arial" w:hAnsi="Arial"/>
          <w:sz w:val="22"/>
          <w:szCs w:val="22"/>
        </w:rPr>
        <w:t xml:space="preserve">Expert-Augmented — domain knowledge and engineering rules embedded in every agent, not just language capability</w:t>
      </w:r>
    </w:p>
    <w:p>
      <w:pPr>
        <w:pStyle w:val="ListParagraph"/>
        <w:numPr>
          <w:ilvl w:val="0"/>
          <w:numId w:val="2"/>
        </w:numPr>
        <w:spacing w:after="60" w:before="60"/>
      </w:pPr>
      <w:r>
        <w:rPr>
          <w:rFonts w:ascii="Arial" w:cs="Arial" w:eastAsia="Arial" w:hAnsi="Arial"/>
          <w:sz w:val="22"/>
          <w:szCs w:val="22"/>
        </w:rPr>
        <w:t xml:space="preserve">Connected — all systems communicate through a central orchestrator that maintains context across the full program</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3. Multi-Agent Architecture</w:t>
      </w:r>
    </w:p>
    <w:p>
      <w:pPr>
        <w:pStyle w:val="Heading2"/>
        <w:spacing w:after="100" w:before="280"/>
      </w:pPr>
      <w:r>
        <w:rPr>
          <w:rFonts w:ascii="Arial" w:cs="Arial" w:eastAsia="Arial" w:hAnsi="Arial"/>
          <w:b/>
          <w:bCs/>
          <w:color w:val="2E75B6"/>
          <w:sz w:val="28"/>
          <w:szCs w:val="28"/>
        </w:rPr>
        <w:t xml:space="preserve">3.1 Hierarchical Structure</w:t>
      </w:r>
    </w:p>
    <w:p>
      <w:pPr>
        <w:spacing w:after="80" w:before="80"/>
      </w:pPr>
      <w:r>
        <w:rPr>
          <w:rFonts w:ascii="Arial" w:cs="Arial" w:eastAsia="Arial" w:hAnsi="Arial"/>
          <w:color w:val="000000"/>
          <w:sz w:val="22"/>
          <w:szCs w:val="22"/>
        </w:rPr>
        <w:t xml:space="preserve">The architecture is organized as a three-level hierarchy, each level serving a distinct coordination function: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Architecture Levels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N — Central Orchestrator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The top-level coordination intelligence. Receives tasks, routes them to the appropriate domain, monitors execution progress, resolves conflicts, and consolidates outputs across the full program.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N-1 — Domain Systems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 domain agent per major engineering area (Integration, Vehicle System, CAB, E&amp;E, Drivetrain, Engine). Each manages the subsystems within its domain and communicates upward to the orchestrator.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N-2 — Subsystems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Individual engineering subsystems (Frames, Suspension, Steering, Fuel System, etc.). Each subsystem is a self-contained unit of engineering responsibility with its own dedicated agent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Agent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intelligence layer attached to every subsystem. Identical in structure across all subsystems — Expert Advisor, Design Calculation, V&amp;V, DFMEA, and extensible further agents.</w:t>
            </w:r>
          </w:p>
        </w:tc>
      </w:tr>
    </w:tbl>
    <w:p>
      <w:pPr>
        <w:spacing w:after="40" w:before="40"/>
      </w:pPr>
      <w:r>
        <w:t xml:space="preserve"/>
      </w:r>
    </w:p>
    <w:p>
      <w:pPr>
        <w:pStyle w:val="Heading2"/>
        <w:spacing w:after="100" w:before="280"/>
      </w:pPr>
      <w:r>
        <w:rPr>
          <w:rFonts w:ascii="Arial" w:cs="Arial" w:eastAsia="Arial" w:hAnsi="Arial"/>
          <w:b/>
          <w:bCs/>
          <w:color w:val="2E75B6"/>
          <w:sz w:val="28"/>
          <w:szCs w:val="28"/>
        </w:rPr>
        <w:t xml:space="preserve">3.2 Design Principles</w:t>
      </w:r>
    </w:p>
    <w:p>
      <w:pPr>
        <w:pStyle w:val="Heading3"/>
        <w:spacing w:after="80" w:before="200"/>
      </w:pPr>
      <w:r>
        <w:rPr>
          <w:rFonts w:ascii="Arial" w:cs="Arial" w:eastAsia="Arial" w:hAnsi="Arial"/>
          <w:b/>
          <w:bCs/>
          <w:color w:val="1E3A5F"/>
          <w:sz w:val="24"/>
          <w:szCs w:val="24"/>
        </w:rPr>
        <w:t xml:space="preserve">Modularity</w:t>
      </w:r>
    </w:p>
    <w:p>
      <w:pPr>
        <w:spacing w:after="80" w:before="80"/>
      </w:pPr>
      <w:r>
        <w:rPr>
          <w:rFonts w:ascii="Arial" w:cs="Arial" w:eastAsia="Arial" w:hAnsi="Arial"/>
          <w:color w:val="000000"/>
          <w:sz w:val="22"/>
          <w:szCs w:val="22"/>
        </w:rPr>
        <w:t xml:space="preserve">Every subsystem agent follows the exact same architectural pattern. Once the framework is implemented for one subsystem — for example, Suspension — the identical blueprint applies directly to Steering, Frames, Fuel System, and every other subsystem without redesign. This enables parallel development across teams from day one.</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Scalability</w:t>
      </w:r>
    </w:p>
    <w:p>
      <w:pPr>
        <w:spacing w:after="80" w:before="80"/>
      </w:pPr>
      <w:r>
        <w:rPr>
          <w:rFonts w:ascii="Arial" w:cs="Arial" w:eastAsia="Arial" w:hAnsi="Arial"/>
          <w:color w:val="000000"/>
          <w:sz w:val="22"/>
          <w:szCs w:val="22"/>
        </w:rPr>
        <w:t xml:space="preserve">The N → N-1 → N-2 hierarchy is designed to grow with the program. New domains, new subsystems, and new agent types can be added at any level without modifying existing components. As the engineering program expands, the architecture expands with it rather than constraining it.</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Human-in-the-Loop</w:t>
      </w:r>
    </w:p>
    <w:p>
      <w:pPr>
        <w:spacing w:after="80" w:before="80"/>
      </w:pPr>
      <w:r>
        <w:rPr>
          <w:rFonts w:ascii="Arial" w:cs="Arial" w:eastAsia="Arial" w:hAnsi="Arial"/>
          <w:color w:val="000000"/>
          <w:sz w:val="22"/>
          <w:szCs w:val="22"/>
        </w:rPr>
        <w:t xml:space="preserve">The system is designed as augmentation, not replacement. Agents surface recommendations, automate calculations, flag risks, and generate structured reports — but every critical design decision is reviewed, validated, and owned by the engineer. The system supports engineering judgment; it does not substitute it.</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Domain Awareness</w:t>
      </w:r>
    </w:p>
    <w:p>
      <w:pPr>
        <w:spacing w:after="80" w:before="80"/>
      </w:pPr>
      <w:r>
        <w:rPr>
          <w:rFonts w:ascii="Arial" w:cs="Arial" w:eastAsia="Arial" w:hAnsi="Arial"/>
          <w:color w:val="000000"/>
          <w:sz w:val="22"/>
          <w:szCs w:val="22"/>
        </w:rPr>
        <w:t xml:space="preserve">Generic AI capability is insufficient for precision engineering work. Each agent in this system is grounded in domain-specific knowledge — suspension dynamics, DFMEA methodology, V&amp;V standards, load cases — not just language understanding. The intelligence is engineering-first.</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Extensibility</w:t>
      </w:r>
    </w:p>
    <w:p>
      <w:pPr>
        <w:spacing w:after="80" w:before="80"/>
      </w:pPr>
      <w:r>
        <w:rPr>
          <w:rFonts w:ascii="Arial" w:cs="Arial" w:eastAsia="Arial" w:hAnsi="Arial"/>
          <w:color w:val="000000"/>
          <w:sz w:val="22"/>
          <w:szCs w:val="22"/>
        </w:rPr>
        <w:t xml:space="preserve">The agent layer is not fixed. As engineering needs evolve, new agents can be added to any subsystem — cost estimation, supplier selection, regulatory compliance, weight optimization — without structural change to the underlying architecture.</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4. Case Study: Ride Comfort Optimization</w:t>
      </w:r>
    </w:p>
    <w:p>
      <w:pPr>
        <w:pStyle w:val="Heading2"/>
        <w:spacing w:after="100" w:before="280"/>
      </w:pPr>
      <w:r>
        <w:rPr>
          <w:rFonts w:ascii="Arial" w:cs="Arial" w:eastAsia="Arial" w:hAnsi="Arial"/>
          <w:b/>
          <w:bCs/>
          <w:color w:val="2E75B6"/>
          <w:sz w:val="28"/>
          <w:szCs w:val="28"/>
        </w:rPr>
        <w:t xml:space="preserve">4.1 Background and Motivation</w:t>
      </w:r>
    </w:p>
    <w:p>
      <w:pPr>
        <w:spacing w:after="80" w:before="80"/>
      </w:pPr>
      <w:r>
        <w:rPr>
          <w:rFonts w:ascii="Arial" w:cs="Arial" w:eastAsia="Arial" w:hAnsi="Arial"/>
          <w:color w:val="000000"/>
          <w:sz w:val="22"/>
          <w:szCs w:val="22"/>
        </w:rPr>
        <w:t xml:space="preserve">Ride comfort is a critical quality attribute for heavy commercial vehicles. Drivers of 6×2 trucks are exposed to continuous road-induced vibrations throughout extended operational shifts. These vibrations propagate through the suspension system, into the chassis, through the cabin structure, and ultimately reach the driver's seat.</w:t>
      </w:r>
    </w:p>
    <w:p>
      <w:pPr>
        <w:spacing w:after="40" w:before="40"/>
      </w:pPr>
      <w:r>
        <w:t xml:space="preserve"/>
      </w:r>
    </w:p>
    <w:p>
      <w:pPr>
        <w:spacing w:after="80" w:before="80"/>
      </w:pPr>
      <w:r>
        <w:rPr>
          <w:rFonts w:ascii="Arial" w:cs="Arial" w:eastAsia="Arial" w:hAnsi="Arial"/>
          <w:color w:val="000000"/>
          <w:sz w:val="22"/>
          <w:szCs w:val="22"/>
        </w:rPr>
        <w:t xml:space="preserve">The primary metric for quantifying ride comfort is the Root Mean Square (RMS) acceleration at the cabin seat level. This metric is directly linked to:</w:t>
      </w:r>
    </w:p>
    <w:p>
      <w:pPr>
        <w:pStyle w:val="ListParagraph"/>
        <w:numPr>
          <w:ilvl w:val="0"/>
          <w:numId w:val="2"/>
        </w:numPr>
        <w:spacing w:after="60" w:before="60"/>
      </w:pPr>
      <w:r>
        <w:rPr>
          <w:rFonts w:ascii="Arial" w:cs="Arial" w:eastAsia="Arial" w:hAnsi="Arial"/>
          <w:sz w:val="22"/>
          <w:szCs w:val="22"/>
        </w:rPr>
        <w:t xml:space="preserve">Driver fatigue and reduction in alertness over long shifts</w:t>
      </w:r>
    </w:p>
    <w:p>
      <w:pPr>
        <w:pStyle w:val="ListParagraph"/>
        <w:numPr>
          <w:ilvl w:val="0"/>
          <w:numId w:val="2"/>
        </w:numPr>
        <w:spacing w:after="60" w:before="60"/>
      </w:pPr>
      <w:r>
        <w:rPr>
          <w:rFonts w:ascii="Arial" w:cs="Arial" w:eastAsia="Arial" w:hAnsi="Arial"/>
          <w:sz w:val="22"/>
          <w:szCs w:val="22"/>
        </w:rPr>
        <w:t xml:space="preserve">Physical discomfort and musculoskeletal stress</w:t>
      </w:r>
    </w:p>
    <w:p>
      <w:pPr>
        <w:pStyle w:val="ListParagraph"/>
        <w:numPr>
          <w:ilvl w:val="0"/>
          <w:numId w:val="2"/>
        </w:numPr>
        <w:spacing w:after="60" w:before="60"/>
      </w:pPr>
      <w:r>
        <w:rPr>
          <w:rFonts w:ascii="Arial" w:cs="Arial" w:eastAsia="Arial" w:hAnsi="Arial"/>
          <w:sz w:val="22"/>
          <w:szCs w:val="22"/>
        </w:rPr>
        <w:t xml:space="preserve">Long-term health impacts including whole-body vibration exposure (ISO 2631 standards)</w:t>
      </w:r>
    </w:p>
    <w:p>
      <w:pPr>
        <w:pStyle w:val="ListParagraph"/>
        <w:numPr>
          <w:ilvl w:val="0"/>
          <w:numId w:val="2"/>
        </w:numPr>
        <w:spacing w:after="60" w:before="60"/>
      </w:pPr>
      <w:r>
        <w:rPr>
          <w:rFonts w:ascii="Arial" w:cs="Arial" w:eastAsia="Arial" w:hAnsi="Arial"/>
          <w:sz w:val="22"/>
          <w:szCs w:val="22"/>
        </w:rPr>
        <w:t xml:space="preserve">Fleet productivity and driver retention</w:t>
      </w:r>
    </w:p>
    <w:p>
      <w:pPr>
        <w:spacing w:after="40" w:before="40"/>
      </w:pPr>
      <w:r>
        <w:t xml:space="preserve"/>
      </w:r>
    </w:p>
    <w:p>
      <w:pPr>
        <w:spacing w:after="80" w:before="80"/>
      </w:pPr>
      <w:r>
        <w:rPr>
          <w:rFonts w:ascii="Arial" w:cs="Arial" w:eastAsia="Arial" w:hAnsi="Arial"/>
          <w:color w:val="000000"/>
          <w:sz w:val="22"/>
          <w:szCs w:val="22"/>
        </w:rPr>
        <w:t xml:space="preserve">The suspension system is the principal engineering lever available to control seat-level vibration. The challenge lies in identifying the optimal configuration of suspension parameters given the high complexity of the system.</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4.2 System Definition</w:t>
      </w:r>
    </w:p>
    <w:p>
      <w:pPr>
        <w:pStyle w:val="Heading3"/>
        <w:spacing w:after="80" w:before="200"/>
      </w:pPr>
      <w:r>
        <w:rPr>
          <w:rFonts w:ascii="Arial" w:cs="Arial" w:eastAsia="Arial" w:hAnsi="Arial"/>
          <w:b/>
          <w:bCs/>
          <w:color w:val="1E3A5F"/>
          <w:sz w:val="24"/>
          <w:szCs w:val="24"/>
        </w:rPr>
        <w:t xml:space="preserve">Vehicle Configuration</w:t>
      </w:r>
    </w:p>
    <w:p>
      <w:pPr>
        <w:spacing w:after="80" w:before="80"/>
      </w:pPr>
      <w:r>
        <w:rPr>
          <w:rFonts w:ascii="Arial" w:cs="Arial" w:eastAsia="Arial" w:hAnsi="Arial"/>
          <w:color w:val="000000"/>
          <w:sz w:val="22"/>
          <w:szCs w:val="22"/>
        </w:rPr>
        <w:t xml:space="preserve">The vehicle under study is a 6×2 heavy commercial vehicle equipped with a Non-Reactive Suspension (NRS) configuration. The NRS mechanically couples the rear tandem axles, enabling load sharing across both axles without introducing additional pitch or roll moments. This arrangement preserves vehicle attitude stability while distributing axle loads effectively.</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Degrees of Freedom</w:t>
      </w:r>
    </w:p>
    <w:p>
      <w:pPr>
        <w:spacing w:after="80" w:before="80"/>
      </w:pPr>
      <w:r>
        <w:rPr>
          <w:rFonts w:ascii="Arial" w:cs="Arial" w:eastAsia="Arial" w:hAnsi="Arial"/>
          <w:color w:val="000000"/>
          <w:sz w:val="22"/>
          <w:szCs w:val="22"/>
        </w:rPr>
        <w:t xml:space="preserve">The system is modeled as a multi-body dynamic system with the following degrees of freedom: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Degrees of Freedom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Sprung Mass (Cabin + Chassis)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Bounce (vertical translation, z), Pitch (fore-aft rotation, θ), Roll (lateral rotation, φ)</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Each Axle (3 axles)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Bounce (z) and Roll (φ) — pitch is mechanically constrained at axle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Total DOFs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3 (sprung) + 2 per axle × 3 axles = 9 degrees of freedom</w:t>
            </w:r>
          </w:p>
        </w:tc>
      </w:tr>
    </w:tbl>
    <w:p>
      <w:pPr>
        <w:spacing w:after="40" w:before="40"/>
      </w:pPr>
      <w:r>
        <w:t xml:space="preserve"/>
      </w:r>
    </w:p>
    <w:p>
      <w:pPr>
        <w:spacing w:after="80" w:before="80"/>
      </w:pPr>
      <w:r>
        <w:rPr>
          <w:rFonts w:ascii="Arial" w:cs="Arial" w:eastAsia="Arial" w:hAnsi="Arial"/>
          <w:color w:val="000000"/>
          <w:sz w:val="22"/>
          <w:szCs w:val="22"/>
        </w:rPr>
        <w:t xml:space="preserve">Note: Pitch is not modeled at the axle level because each axle is a rigid, laterally symmetric structure constrained at both ends by the suspension and road surface. Meaningful independent pitch rotation at the axle is mechanically prevented; any axle-level pitch behavior is captured through the sprung mass pitch DOF.</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Tunable Parameters</w:t>
      </w:r>
    </w:p>
    <w:p>
      <w:pPr>
        <w:spacing w:after="80" w:before="80"/>
      </w:pPr>
      <w:r>
        <w:rPr>
          <w:rFonts w:ascii="Arial" w:cs="Arial" w:eastAsia="Arial" w:hAnsi="Arial"/>
          <w:color w:val="000000"/>
          <w:sz w:val="22"/>
          <w:szCs w:val="22"/>
        </w:rPr>
        <w:t xml:space="preserve">The optimization targets four key suspension parameters: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Tunable Suspension Parameters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K_F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Front axle spring stiffness — controls the suspension compliance at the steer axle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C_F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 axle damping coefficient — controls energy dissipation at the front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K_2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Rear axle 1 spring stiffness — controls compliance at the first drive axle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K_3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Rear axle 2 spring stiffness — controls compliance at the second drive axle</w:t>
            </w:r>
          </w:p>
        </w:tc>
      </w:tr>
    </w:tbl>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5. Physics-Based Modeling Approach</w:t>
      </w:r>
    </w:p>
    <w:p>
      <w:pPr>
        <w:pStyle w:val="Heading2"/>
        <w:spacing w:after="100" w:before="280"/>
      </w:pPr>
      <w:r>
        <w:rPr>
          <w:rFonts w:ascii="Arial" w:cs="Arial" w:eastAsia="Arial" w:hAnsi="Arial"/>
          <w:b/>
          <w:bCs/>
          <w:color w:val="2E75B6"/>
          <w:sz w:val="28"/>
          <w:szCs w:val="28"/>
        </w:rPr>
        <w:t xml:space="preserve">5.1 ODE System Formulation</w:t>
      </w:r>
    </w:p>
    <w:p>
      <w:pPr>
        <w:spacing w:after="80" w:before="80"/>
      </w:pPr>
      <w:r>
        <w:rPr>
          <w:rFonts w:ascii="Arial" w:cs="Arial" w:eastAsia="Arial" w:hAnsi="Arial"/>
          <w:color w:val="000000"/>
          <w:sz w:val="22"/>
          <w:szCs w:val="22"/>
        </w:rPr>
        <w:t xml:space="preserve">The suspension system dynamics are described by a system of Ordinary Differential Equations (ODEs) derived from Newton-Euler equations of motion. These equations encode the physical relationships between:</w:t>
      </w:r>
    </w:p>
    <w:p>
      <w:pPr>
        <w:pStyle w:val="ListParagraph"/>
        <w:numPr>
          <w:ilvl w:val="0"/>
          <w:numId w:val="2"/>
        </w:numPr>
        <w:spacing w:after="60" w:before="60"/>
      </w:pPr>
      <w:r>
        <w:rPr>
          <w:rFonts w:ascii="Arial" w:cs="Arial" w:eastAsia="Arial" w:hAnsi="Arial"/>
          <w:sz w:val="22"/>
          <w:szCs w:val="22"/>
        </w:rPr>
        <w:t xml:space="preserve">Spring forces (proportional to displacement)</w:t>
      </w:r>
    </w:p>
    <w:p>
      <w:pPr>
        <w:pStyle w:val="ListParagraph"/>
        <w:numPr>
          <w:ilvl w:val="0"/>
          <w:numId w:val="2"/>
        </w:numPr>
        <w:spacing w:after="60" w:before="60"/>
      </w:pPr>
      <w:r>
        <w:rPr>
          <w:rFonts w:ascii="Arial" w:cs="Arial" w:eastAsia="Arial" w:hAnsi="Arial"/>
          <w:sz w:val="22"/>
          <w:szCs w:val="22"/>
        </w:rPr>
        <w:t xml:space="preserve">Damping forces (proportional to velocity)</w:t>
      </w:r>
    </w:p>
    <w:p>
      <w:pPr>
        <w:pStyle w:val="ListParagraph"/>
        <w:numPr>
          <w:ilvl w:val="0"/>
          <w:numId w:val="2"/>
        </w:numPr>
        <w:spacing w:after="60" w:before="60"/>
      </w:pPr>
      <w:r>
        <w:rPr>
          <w:rFonts w:ascii="Arial" w:cs="Arial" w:eastAsia="Arial" w:hAnsi="Arial"/>
          <w:sz w:val="22"/>
          <w:szCs w:val="22"/>
        </w:rPr>
        <w:t xml:space="preserve">Inertial forces (proportional to acceleration via mass and moment of inertia)</w:t>
      </w:r>
    </w:p>
    <w:p>
      <w:pPr>
        <w:pStyle w:val="ListParagraph"/>
        <w:numPr>
          <w:ilvl w:val="0"/>
          <w:numId w:val="2"/>
        </w:numPr>
        <w:spacing w:after="60" w:before="60"/>
      </w:pPr>
      <w:r>
        <w:rPr>
          <w:rFonts w:ascii="Arial" w:cs="Arial" w:eastAsia="Arial" w:hAnsi="Arial"/>
          <w:sz w:val="22"/>
          <w:szCs w:val="22"/>
        </w:rPr>
        <w:t xml:space="preserve">Road excitation inputs (prescribed displacement profiles at each wheel)</w:t>
      </w:r>
    </w:p>
    <w:p>
      <w:pPr>
        <w:spacing w:after="40" w:before="40"/>
      </w:pPr>
      <w:r>
        <w:t xml:space="preserve"/>
      </w:r>
    </w:p>
    <w:p>
      <w:pPr>
        <w:spacing w:after="80" w:before="80"/>
      </w:pPr>
      <w:r>
        <w:rPr>
          <w:rFonts w:ascii="Arial" w:cs="Arial" w:eastAsia="Arial" w:hAnsi="Arial"/>
          <w:color w:val="000000"/>
          <w:sz w:val="22"/>
          <w:szCs w:val="22"/>
        </w:rPr>
        <w:t xml:space="preserve">Solving the ODE system produces the time history of accelerations at the cabin seat level. The RMS of these accelerations — computed across bounce, pitch, and roll components — is the objective function for optimization.</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5.2 Constrained Dynamics: KKT Formulation</w:t>
      </w:r>
    </w:p>
    <w:p>
      <w:pPr>
        <w:spacing w:after="80" w:before="80"/>
      </w:pPr>
      <w:r>
        <w:rPr>
          <w:rFonts w:ascii="Arial" w:cs="Arial" w:eastAsia="Arial" w:hAnsi="Arial"/>
          <w:color w:val="000000"/>
          <w:sz w:val="22"/>
          <w:szCs w:val="22"/>
        </w:rPr>
        <w:t xml:space="preserve">The 6-DOF suspension model incorporates two geometric constraints representing the mechanical coupling between the rear tandem axles in the NRS configuration. To enforce these constraints within the ODE framework, the Karush-Kuhn-Tucker (KKT) conditions are applied.</w:t>
      </w:r>
    </w:p>
    <w:p>
      <w:pPr>
        <w:spacing w:after="40" w:before="40"/>
      </w:pPr>
      <w:r>
        <w:t xml:space="preserve"/>
      </w:r>
    </w:p>
    <w:p>
      <w:pPr>
        <w:spacing w:after="80" w:before="80"/>
      </w:pPr>
      <w:r>
        <w:rPr>
          <w:rFonts w:ascii="Arial" w:cs="Arial" w:eastAsia="Arial" w:hAnsi="Arial"/>
          <w:color w:val="000000"/>
          <w:sz w:val="22"/>
          <w:szCs w:val="22"/>
        </w:rPr>
        <w:t xml:space="preserve">Lagrange multipliers are introduced to generate constraint forces, where G(q) = ∂g/∂q represents the constraint Jacobian. The KKT formulation ensures that the numerical solution at every time step respects the physical mechanical boundaries of the NRS system.</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5.3 Baumgarte Stabilization</w:t>
      </w:r>
    </w:p>
    <w:p>
      <w:pPr>
        <w:spacing w:after="80" w:before="80"/>
      </w:pPr>
      <w:r>
        <w:rPr>
          <w:rFonts w:ascii="Arial" w:cs="Arial" w:eastAsia="Arial" w:hAnsi="Arial"/>
          <w:color w:val="000000"/>
          <w:sz w:val="22"/>
          <w:szCs w:val="22"/>
        </w:rPr>
        <w:t xml:space="preserve">Numerical integration of constrained differential-algebraic equations introduces constraint drift — an accumulation of numerical errors over time that causes the constraint to be gradually violated. Left uncorrected, this drift grows unboundedly and produces physically meaningless results.</w:t>
      </w:r>
    </w:p>
    <w:p>
      <w:pPr>
        <w:spacing w:after="40" w:before="40"/>
      </w:pPr>
      <w:r>
        <w:t xml:space="preserve"/>
      </w:r>
    </w:p>
    <w:p>
      <w:pPr>
        <w:spacing w:after="80" w:before="80"/>
      </w:pPr>
      <w:r>
        <w:rPr>
          <w:rFonts w:ascii="Arial" w:cs="Arial" w:eastAsia="Arial" w:hAnsi="Arial"/>
          <w:color w:val="000000"/>
          <w:sz w:val="22"/>
          <w:szCs w:val="22"/>
        </w:rPr>
        <w:t xml:space="preserve">This is addressed using Baumgarte Stabilization, which adds a correction term to the constraint equations. The correction acts as a critically damped spring that continuously drives any constraint violation back toward zero. The stabilization parameters control the rate of correction, balancing numerical stability against over-correction artifacts.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5.4 Shock Absorber Modeling: Asymmetric Nonlinear Damper</w:t>
      </w:r>
    </w:p>
    <w:p>
      <w:pPr>
        <w:spacing w:after="80" w:before="80"/>
      </w:pPr>
      <w:r>
        <w:rPr>
          <w:rFonts w:ascii="Arial" w:cs="Arial" w:eastAsia="Arial" w:hAnsi="Arial"/>
          <w:color w:val="000000"/>
          <w:sz w:val="22"/>
          <w:szCs w:val="22"/>
        </w:rPr>
        <w:t xml:space="preserve">Real-world heavy commercial vehicle shock absorbers exhibit asymmetric, nonlinear force-velocity characteristics. Compression damping and rebound damping differ by design — this asymmetry gives engineers direct control over how the suspension responds to different road events, independently in each direction of travel.</w:t>
      </w:r>
    </w:p>
    <w:p>
      <w:pPr>
        <w:spacing w:after="40" w:before="40"/>
      </w:pPr>
      <w:r>
        <w:t xml:space="preserve"/>
      </w:r>
    </w:p>
    <w:p>
      <w:pPr>
        <w:spacing w:after="80" w:before="80"/>
      </w:pPr>
      <w:r>
        <w:rPr>
          <w:rFonts w:ascii="Arial" w:cs="Arial" w:eastAsia="Arial" w:hAnsi="Arial"/>
          <w:color w:val="000000"/>
          <w:sz w:val="22"/>
          <w:szCs w:val="22"/>
        </w:rPr>
        <w:t xml:space="preserve">Two design strategies were developed and evaluated for incorporating this nonlinear behavior:</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Option 1: Direct Optimization</w:t>
      </w:r>
    </w:p>
    <w:p>
      <w:pPr>
        <w:spacing w:after="80" w:before="80"/>
      </w:pPr>
      <w:r>
        <w:rPr>
          <w:rFonts w:ascii="Arial" w:cs="Arial" w:eastAsia="Arial" w:hAnsi="Arial"/>
          <w:color w:val="000000"/>
          <w:sz w:val="22"/>
          <w:szCs w:val="22"/>
        </w:rPr>
        <w:t xml:space="preserve">The full nonlinear damper model is embedded directly within the ODE framework. The optimizer simultaneously tunes all parameters in a single optimization loop:</w:t>
      </w:r>
    </w:p>
    <w:p>
      <w:pPr>
        <w:pStyle w:val="ListParagraph"/>
        <w:numPr>
          <w:ilvl w:val="0"/>
          <w:numId w:val="2"/>
        </w:numPr>
        <w:spacing w:after="60" w:before="60"/>
      </w:pPr>
      <w:r>
        <w:rPr>
          <w:rFonts w:ascii="Arial" w:cs="Arial" w:eastAsia="Arial" w:hAnsi="Arial"/>
          <w:sz w:val="22"/>
          <w:szCs w:val="22"/>
        </w:rPr>
        <w:t xml:space="preserve">Linear parameters: K_F, C_F, K_2, K_3</w:t>
      </w:r>
    </w:p>
    <w:p>
      <w:pPr>
        <w:pStyle w:val="ListParagraph"/>
        <w:numPr>
          <w:ilvl w:val="0"/>
          <w:numId w:val="2"/>
        </w:numPr>
        <w:spacing w:after="60" w:before="60"/>
      </w:pPr>
      <w:r>
        <w:rPr>
          <w:rFonts w:ascii="Arial" w:cs="Arial" w:eastAsia="Arial" w:hAnsi="Arial"/>
          <w:sz w:val="22"/>
          <w:szCs w:val="22"/>
        </w:rPr>
        <w:t xml:space="preserve">Nonlinear damper parameters: compression damping (cₛ⁻), asymmetry ratio, compression factor (γc), rebound factor (γr)</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Option 2: Two-Phase Optimization with Curve Fitting</w:t>
      </w:r>
    </w:p>
    <w:p>
      <w:pPr>
        <w:spacing w:after="80" w:before="80"/>
      </w:pPr>
      <w:r>
        <w:rPr>
          <w:rFonts w:ascii="Arial" w:cs="Arial" w:eastAsia="Arial" w:hAnsi="Arial"/>
          <w:color w:val="000000"/>
          <w:sz w:val="22"/>
          <w:szCs w:val="22"/>
        </w:rPr>
        <w:t xml:space="preserve">A sequential strategy separating linear and nonlinear optimization:</w:t>
      </w:r>
    </w:p>
    <w:p>
      <w:pPr>
        <w:pStyle w:val="ListParagraph"/>
        <w:numPr>
          <w:ilvl w:val="0"/>
          <w:numId w:val="2"/>
        </w:numPr>
        <w:spacing w:after="60" w:before="60"/>
      </w:pPr>
      <w:r>
        <w:rPr>
          <w:rFonts w:ascii="Arial" w:cs="Arial" w:eastAsia="Arial" w:hAnsi="Arial"/>
          <w:sz w:val="22"/>
          <w:szCs w:val="22"/>
        </w:rPr>
        <w:t xml:space="preserve">Phase 1: Optimize linear suspension parameters (K_F, C_F, K_2, K_3) using the linear ODE model</w:t>
      </w:r>
    </w:p>
    <w:p>
      <w:pPr>
        <w:pStyle w:val="ListParagraph"/>
        <w:numPr>
          <w:ilvl w:val="0"/>
          <w:numId w:val="2"/>
        </w:numPr>
        <w:spacing w:after="60" w:before="60"/>
      </w:pPr>
      <w:r>
        <w:rPr>
          <w:rFonts w:ascii="Arial" w:cs="Arial" w:eastAsia="Arial" w:hAnsi="Arial"/>
          <w:sz w:val="22"/>
          <w:szCs w:val="22"/>
        </w:rPr>
        <w:t xml:space="preserve">Phase 2: Extract the front damper relative velocity time history from Phase 1 and fit the nonlinear damper parameters using weighted least-squares curve fitting</w:t>
      </w:r>
    </w:p>
    <w:p>
      <w:pPr>
        <w:spacing w:after="40" w:before="40"/>
      </w:pPr>
      <w:r>
        <w:t xml:space="preserve"/>
      </w:r>
    </w:p>
    <w:p>
      <w:pPr>
        <w:pStyle w:val="Heading3"/>
        <w:spacing w:after="80" w:before="200"/>
      </w:pPr>
      <w:r>
        <w:rPr>
          <w:rFonts w:ascii="Arial" w:cs="Arial" w:eastAsia="Arial" w:hAnsi="Arial"/>
          <w:b/>
          <w:bCs/>
          <w:color w:val="1E3A5F"/>
          <w:sz w:val="24"/>
          <w:szCs w:val="24"/>
        </w:rPr>
        <w:t xml:space="preserve">Comparison and Recommendation</w:t>
      </w:r>
    </w:p>
    <w:p>
      <w:pPr>
        <w:spacing w:after="80" w:before="80"/>
      </w:pPr>
      <w:r>
        <w:rPr>
          <w:rFonts w:ascii="Arial" w:cs="Arial" w:eastAsia="Arial" w:hAnsi="Arial"/>
          <w:color w:val="000000"/>
          <w:sz w:val="22"/>
          <w:szCs w:val="22"/>
        </w:rPr>
        <w:t xml:space="preserve">Both options produced comparable RMS acceleration results. Option 1 is the recommended approach for the following reasons:</w:t>
      </w:r>
    </w:p>
    <w:p>
      <w:pPr>
        <w:pStyle w:val="ListParagraph"/>
        <w:numPr>
          <w:ilvl w:val="0"/>
          <w:numId w:val="2"/>
        </w:numPr>
        <w:spacing w:after="60" w:before="60"/>
      </w:pPr>
      <w:r>
        <w:rPr>
          <w:rFonts w:ascii="Arial" w:cs="Arial" w:eastAsia="Arial" w:hAnsi="Arial"/>
          <w:sz w:val="22"/>
          <w:szCs w:val="22"/>
        </w:rPr>
        <w:t xml:space="preserve">The optimizer always operates on the true system representation — no post-processing approximation</w:t>
      </w:r>
    </w:p>
    <w:p>
      <w:pPr>
        <w:pStyle w:val="ListParagraph"/>
        <w:numPr>
          <w:ilvl w:val="0"/>
          <w:numId w:val="2"/>
        </w:numPr>
        <w:spacing w:after="60" w:before="60"/>
      </w:pPr>
      <w:r>
        <w:rPr>
          <w:rFonts w:ascii="Arial" w:cs="Arial" w:eastAsia="Arial" w:hAnsi="Arial"/>
          <w:sz w:val="22"/>
          <w:szCs w:val="22"/>
        </w:rPr>
        <w:t xml:space="preserve">Physical consistency is preserved throughout the entire optimization loop</w:t>
      </w:r>
    </w:p>
    <w:p>
      <w:pPr>
        <w:pStyle w:val="ListParagraph"/>
        <w:numPr>
          <w:ilvl w:val="0"/>
          <w:numId w:val="2"/>
        </w:numPr>
        <w:spacing w:after="60" w:before="60"/>
      </w:pPr>
      <w:r>
        <w:rPr>
          <w:rFonts w:ascii="Arial" w:cs="Arial" w:eastAsia="Arial" w:hAnsi="Arial"/>
          <w:sz w:val="22"/>
          <w:szCs w:val="22"/>
        </w:rPr>
        <w:t xml:space="preserve">Eliminates the approximation error introduced by nonlinear curve fitting after the fact</w:t>
      </w:r>
    </w:p>
    <w:p>
      <w:pPr>
        <w:pStyle w:val="ListParagraph"/>
        <w:numPr>
          <w:ilvl w:val="0"/>
          <w:numId w:val="2"/>
        </w:numPr>
        <w:spacing w:after="60" w:before="60"/>
      </w:pPr>
      <w:r>
        <w:rPr>
          <w:rFonts w:ascii="Arial" w:cs="Arial" w:eastAsia="Arial" w:hAnsi="Arial"/>
          <w:sz w:val="22"/>
          <w:szCs w:val="22"/>
        </w:rPr>
        <w:t xml:space="preserve">A cleaner, more rigorous pipeline with fewer sequential dependencies</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6. Optimization Framework</w:t>
      </w:r>
    </w:p>
    <w:p>
      <w:pPr>
        <w:pStyle w:val="Heading2"/>
        <w:spacing w:after="100" w:before="280"/>
      </w:pPr>
      <w:r>
        <w:rPr>
          <w:rFonts w:ascii="Arial" w:cs="Arial" w:eastAsia="Arial" w:hAnsi="Arial"/>
          <w:b/>
          <w:bCs/>
          <w:color w:val="2E75B6"/>
          <w:sz w:val="28"/>
          <w:szCs w:val="28"/>
        </w:rPr>
        <w:t xml:space="preserve">6.1 Objective Function</w:t>
      </w:r>
    </w:p>
    <w:p>
      <w:pPr>
        <w:spacing w:after="80" w:before="80"/>
      </w:pPr>
      <w:r>
        <w:rPr>
          <w:rFonts w:ascii="Arial" w:cs="Arial" w:eastAsia="Arial" w:hAnsi="Arial"/>
          <w:color w:val="000000"/>
          <w:sz w:val="22"/>
          <w:szCs w:val="22"/>
        </w:rPr>
        <w:t xml:space="preserve">The optimization objective is to minimize the cabin seat RMS acceleration, computed as a combined measure of three acceleration components evaluated at the seat level:</w:t>
      </w:r>
    </w:p>
    <w:p>
      <w:pPr>
        <w:pStyle w:val="ListParagraph"/>
        <w:numPr>
          <w:ilvl w:val="0"/>
          <w:numId w:val="2"/>
        </w:numPr>
        <w:spacing w:after="60" w:before="60"/>
      </w:pPr>
      <w:r>
        <w:rPr>
          <w:rFonts w:ascii="Arial" w:cs="Arial" w:eastAsia="Arial" w:hAnsi="Arial"/>
          <w:sz w:val="22"/>
          <w:szCs w:val="22"/>
        </w:rPr>
        <w:t xml:space="preserve">Bounce acceleration (Ẍc) — vertical motion of the cabin</w:t>
      </w:r>
    </w:p>
    <w:p>
      <w:pPr>
        <w:pStyle w:val="ListParagraph"/>
        <w:numPr>
          <w:ilvl w:val="0"/>
          <w:numId w:val="2"/>
        </w:numPr>
        <w:spacing w:after="60" w:before="60"/>
      </w:pPr>
      <w:r>
        <w:rPr>
          <w:rFonts w:ascii="Arial" w:cs="Arial" w:eastAsia="Arial" w:hAnsi="Arial"/>
          <w:sz w:val="22"/>
          <w:szCs w:val="22"/>
        </w:rPr>
        <w:t xml:space="preserve">Roll acceleration (φ̈c) — lateral tilt oscillation of the cabin</w:t>
      </w:r>
    </w:p>
    <w:p>
      <w:pPr>
        <w:pStyle w:val="ListParagraph"/>
        <w:numPr>
          <w:ilvl w:val="0"/>
          <w:numId w:val="2"/>
        </w:numPr>
        <w:spacing w:after="60" w:before="60"/>
      </w:pPr>
      <w:r>
        <w:rPr>
          <w:rFonts w:ascii="Arial" w:cs="Arial" w:eastAsia="Arial" w:hAnsi="Arial"/>
          <w:sz w:val="22"/>
          <w:szCs w:val="22"/>
        </w:rPr>
        <w:t xml:space="preserve">Pitch acceleration (θ̈c) — fore-aft tilt oscillation of the cabin</w:t>
      </w:r>
    </w:p>
    <w:p>
      <w:pPr>
        <w:spacing w:after="40" w:before="40"/>
      </w:pPr>
      <w:r>
        <w:t xml:space="preserve"/>
      </w:r>
    </w:p>
    <w:p>
      <w:pPr>
        <w:spacing w:after="80" w:before="80"/>
      </w:pPr>
      <w:r>
        <w:rPr>
          <w:rFonts w:ascii="Arial" w:cs="Arial" w:eastAsia="Arial" w:hAnsi="Arial"/>
          <w:color w:val="000000"/>
          <w:sz w:val="22"/>
          <w:szCs w:val="22"/>
        </w:rPr>
        <w:t xml:space="preserve">These three components together provide a complete characterization of the vibration environment experienced by the driver, consistent with whole-body vibration assessment standards.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6.2 Optimization Strategies</w:t>
      </w:r>
    </w:p>
    <w:p>
      <w:pPr>
        <w:spacing w:after="80" w:before="80"/>
      </w:pPr>
      <w:r>
        <w:rPr>
          <w:rFonts w:ascii="Arial" w:cs="Arial" w:eastAsia="Arial" w:hAnsi="Arial"/>
          <w:color w:val="000000"/>
          <w:sz w:val="22"/>
          <w:szCs w:val="22"/>
        </w:rPr>
        <w:t xml:space="preserve">The framework supports two complementary optimization formulations, both embedded within the agentic workflow: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Single-Objective: Bayesian Optimization</w:t>
            </w:r>
          </w:p>
        </w:tc>
        <w:tc>
          <w:tcPr>
            <w:tcW w:type="dxa" w:w="37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Multi-Objective: NSGA-II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Overview</w:t>
            </w:r>
          </w:p>
        </w:tc>
        <w:tc>
          <w:tcPr>
            <w:tcW w:type="dxa" w:w="37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Probabilistic global optimization using a Gaussian Process surrogate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Population-based evolutionary search for Pareto-optimal solutions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Key Features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Acquisition function balances exploration vs exploitation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Non-dominated sorting, crowding distance for diversity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Output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Single optimal solution</w:t>
            </w:r>
          </w:p>
        </w:tc>
        <w:tc>
          <w:tcPr>
            <w:tcW w:type="dxa" w:w="37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Pareto front — set of trade-off solutions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Advantages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Efficient with fewer function evaluations; ideal for expensive simulations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Simultaneously optimizes multiple conflicting objectives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Ideal For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Problems with one main objective where evaluations are costly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Problems with multiple conflicting objectives requiring trade-off analysis</w:t>
            </w:r>
          </w:p>
        </w:tc>
      </w:tr>
    </w:tbl>
    <w:p>
      <w:pPr>
        <w:spacing w:after="40" w:before="40"/>
      </w:pPr>
      <w:r>
        <w:t xml:space="preserve"/>
      </w:r>
    </w:p>
    <w:p>
      <w:pPr>
        <w:pStyle w:val="Heading2"/>
        <w:spacing w:after="100" w:before="280"/>
      </w:pPr>
      <w:r>
        <w:rPr>
          <w:rFonts w:ascii="Arial" w:cs="Arial" w:eastAsia="Arial" w:hAnsi="Arial"/>
          <w:b/>
          <w:bCs/>
          <w:color w:val="2E75B6"/>
          <w:sz w:val="28"/>
          <w:szCs w:val="28"/>
        </w:rPr>
        <w:t xml:space="preserve">6.3 Key Observations from Results</w:t>
      </w:r>
    </w:p>
    <w:p>
      <w:pPr>
        <w:spacing w:after="80" w:before="80"/>
      </w:pPr>
      <w:r>
        <w:rPr>
          <w:rFonts w:ascii="Arial" w:cs="Arial" w:eastAsia="Arial" w:hAnsi="Arial"/>
          <w:color w:val="000000"/>
          <w:sz w:val="22"/>
          <w:szCs w:val="22"/>
        </w:rPr>
        <w:t xml:space="preserve">Multi-objective optimization using NSGA-II outperforms single-objective optimization in terms of engineering utility. Rather than returning a single aggregated answer, NSGA-II provides the complete Pareto front — giving the engineer flexibility to select a solution based on their specific design priorities (e.g., prioritizing bounce comfort over roll, or balanced performance across all DOFs).</w:t>
      </w:r>
    </w:p>
    <w:p>
      <w:pPr>
        <w:spacing w:after="40" w:before="40"/>
      </w:pPr>
      <w:r>
        <w:t xml:space="preserve"/>
      </w:r>
    </w:p>
    <w:p>
      <w:pPr>
        <w:spacing w:after="80" w:before="80"/>
      </w:pPr>
      <w:r>
        <w:rPr>
          <w:rFonts w:ascii="Arial" w:cs="Arial" w:eastAsia="Arial" w:hAnsi="Arial"/>
          <w:color w:val="000000"/>
          <w:sz w:val="22"/>
          <w:szCs w:val="22"/>
        </w:rPr>
        <w:t xml:space="preserve">Both optimization strategies are available within the framework. The choice can be embedded in the workflow based on design parameters, frequency range of interest, and whether a single deliverable or a trade-off space is required.</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7. Physics-Informed Neural Network Surrogate</w:t>
      </w:r>
    </w:p>
    <w:p>
      <w:pPr>
        <w:pStyle w:val="Heading2"/>
        <w:spacing w:after="100" w:before="280"/>
      </w:pPr>
      <w:r>
        <w:rPr>
          <w:rFonts w:ascii="Arial" w:cs="Arial" w:eastAsia="Arial" w:hAnsi="Arial"/>
          <w:b/>
          <w:bCs/>
          <w:color w:val="2E75B6"/>
          <w:sz w:val="28"/>
          <w:szCs w:val="28"/>
        </w:rPr>
        <w:t xml:space="preserve">7.1 Motivation</w:t>
      </w:r>
    </w:p>
    <w:p>
      <w:pPr>
        <w:spacing w:after="80" w:before="80"/>
      </w:pPr>
      <w:r>
        <w:rPr>
          <w:rFonts w:ascii="Arial" w:cs="Arial" w:eastAsia="Arial" w:hAnsi="Arial"/>
          <w:color w:val="000000"/>
          <w:sz w:val="22"/>
          <w:szCs w:val="22"/>
        </w:rPr>
        <w:t xml:space="preserve">The physics-based ODE approach, despite its accuracy and full interpretability, requires 10 to 11 hours per complete optimization run. Any modification to the simulation setup — road class, vehicle speed, parameter bounds, damper model — requires a full re-run. For an engineering team iterating rapidly across design variants, this compute time is a significant operational bottleneck.</w:t>
      </w:r>
    </w:p>
    <w:p>
      <w:pPr>
        <w:spacing w:after="40" w:before="40"/>
      </w:pPr>
      <w:r>
        <w:t xml:space="preserve"/>
      </w:r>
    </w:p>
    <w:p>
      <w:pPr>
        <w:spacing w:after="80" w:before="80"/>
      </w:pPr>
      <w:r>
        <w:rPr>
          <w:rFonts w:ascii="Arial" w:cs="Arial" w:eastAsia="Arial" w:hAnsi="Arial"/>
          <w:color w:val="000000"/>
          <w:sz w:val="22"/>
          <w:szCs w:val="22"/>
        </w:rPr>
        <w:t xml:space="preserve">A surrogate model trained on ODE simulation data can reduce inference time to milliseconds, enabling hundreds of optimization iterations at negligible computational cost. However, a purely data-driven surrogate risks learning physically inconsistent relationships — especially in regions of the parameter space where training data is sparse.</w:t>
      </w:r>
    </w:p>
    <w:p>
      <w:pPr>
        <w:spacing w:after="40" w:before="40"/>
      </w:pPr>
      <w:r>
        <w:t xml:space="preserve"/>
      </w:r>
    </w:p>
    <w:p>
      <w:pPr>
        <w:spacing w:after="80" w:before="80"/>
      </w:pPr>
      <w:r>
        <w:rPr>
          <w:rFonts w:ascii="Arial" w:cs="Arial" w:eastAsia="Arial" w:hAnsi="Arial"/>
          <w:color w:val="000000"/>
          <w:sz w:val="22"/>
          <w:szCs w:val="22"/>
        </w:rPr>
        <w:t xml:space="preserve">The solution is a Physics-Informed Neural Network (PINN): a deep learning model trained not only to reproduce simulation outputs but also constrained to satisfy the governing equations of motion. The physics acts as a hard regularizer, ensuring the network only learns solutions that are physically consistent.</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7.2 PINN Loss Formulation</w:t>
      </w:r>
    </w:p>
    <w:p>
      <w:pPr>
        <w:spacing w:after="80" w:before="80"/>
      </w:pPr>
      <w:r>
        <w:rPr>
          <w:rFonts w:ascii="Arial" w:cs="Arial" w:eastAsia="Arial" w:hAnsi="Arial"/>
          <w:color w:val="000000"/>
          <w:sz w:val="22"/>
          <w:szCs w:val="22"/>
        </w:rPr>
        <w:t xml:space="preserve">The PINN training loss combines two components: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PINN Loss Function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Data Loss (Lₐₐₜₐ)</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MSE between predicted and simulated outputs: Lₐₐₜₐ = MSE(ŷ, 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Physics Loss (Lₚʰʸˢ)</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Squared ODE residual: Lₚʰʸˢ = (ODE Residual)² — penalises violations of the equations of motion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Total Loss (L)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Weighted combination: L = λ₁ · Lₐₐₜₐ + λ₂ · Lₚʰʸˢ</w:t>
            </w:r>
          </w:p>
        </w:tc>
      </w:tr>
    </w:tbl>
    <w:p>
      <w:pPr>
        <w:spacing w:after="40" w:before="40"/>
      </w:pPr>
      <w:r>
        <w:t xml:space="preserve"/>
      </w:r>
    </w:p>
    <w:p>
      <w:pPr>
        <w:spacing w:after="80" w:before="80"/>
      </w:pPr>
      <w:r>
        <w:rPr>
          <w:rFonts w:ascii="Arial" w:cs="Arial" w:eastAsia="Arial" w:hAnsi="Arial"/>
          <w:color w:val="000000"/>
          <w:sz w:val="22"/>
          <w:szCs w:val="22"/>
        </w:rPr>
        <w:t xml:space="preserve">The weighting parameters λ₁ and λ₂ balance fidelity to training data against adherence to physical laws. If the network's prediction violates the equation of motion at a given point, the physics loss penalizes it regardless of data fit — the network cannot overfit to noisy data in physically inconsistent ways.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7.3 Network Architecture</w:t>
      </w:r>
    </w:p>
    <w:p>
      <w:pPr>
        <w:spacing w:after="80" w:before="80"/>
      </w:pPr>
      <w:r>
        <w:rPr>
          <w:rFonts w:ascii="Arial" w:cs="Arial" w:eastAsia="Arial" w:hAnsi="Arial"/>
          <w:color w:val="000000"/>
          <w:sz w:val="22"/>
          <w:szCs w:val="22"/>
        </w:rPr>
        <w:t xml:space="preserve">The surrogate model architecture is designed to handle the temporal nature of road input signals while incorporating physical parameters as conditioning inputs: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Architecture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Input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Road profile time series + physical suspension parameters (masses, stiffness, damping bounds)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TCN Encoder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Temporal Convolutional Network processes road input time series — handles long-range dependencies through dilated convolutions with stable gradient 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Parameter MLP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Separate multi-layer perceptron processes scalar physical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Feature Fusion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TCN and MLP feature streams are concatenated to form a joint representation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LSTM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Long Short-Term Memory network models temporal dynamics of the combined feature representation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Output Heads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Separate heads predict system states and accelerations (bounce, roll, pitch)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Training Loss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Physics-informed loss applied across all outputs during training</w:t>
            </w:r>
          </w:p>
        </w:tc>
      </w:tr>
    </w:tbl>
    <w:p>
      <w:pPr>
        <w:spacing w:after="40" w:before="40"/>
      </w:pPr>
      <w:r>
        <w:t xml:space="preserve"/>
      </w:r>
    </w:p>
    <w:p>
      <w:pPr>
        <w:pStyle w:val="Heading2"/>
        <w:spacing w:after="100" w:before="280"/>
      </w:pPr>
      <w:r>
        <w:rPr>
          <w:rFonts w:ascii="Arial" w:cs="Arial" w:eastAsia="Arial" w:hAnsi="Arial"/>
          <w:b/>
          <w:bCs/>
          <w:color w:val="2E75B6"/>
          <w:sz w:val="28"/>
          <w:szCs w:val="28"/>
        </w:rPr>
        <w:t xml:space="preserve">7.4 TCN and LSTM: Complementary Roles</w:t>
      </w:r>
    </w:p>
    <w:p>
      <w:pPr>
        <w:spacing w:after="80" w:before="80"/>
      </w:pPr>
      <w:r>
        <w:rPr>
          <w:rFonts w:ascii="Arial" w:cs="Arial" w:eastAsia="Arial" w:hAnsi="Arial"/>
          <w:color w:val="000000"/>
          <w:sz w:val="22"/>
          <w:szCs w:val="22"/>
        </w:rPr>
        <w:t xml:space="preserve">The combination of TCN and LSTM is deliberate and addresses the vanishing gradient limitation of pure LSTM architectures on long sequences:</w:t>
      </w:r>
    </w:p>
    <w:p>
      <w:pPr>
        <w:pStyle w:val="ListParagraph"/>
        <w:numPr>
          <w:ilvl w:val="0"/>
          <w:numId w:val="2"/>
        </w:numPr>
        <w:spacing w:after="60" w:before="60"/>
      </w:pPr>
      <w:r>
        <w:rPr>
          <w:rFonts w:ascii="Arial" w:cs="Arial" w:eastAsia="Arial" w:hAnsi="Arial"/>
          <w:sz w:val="22"/>
          <w:szCs w:val="22"/>
        </w:rPr>
        <w:t xml:space="preserve">The TCN encoder processes the raw road profile — which can span thousands of time steps — using dilated convolutions that maintain stable gradient flow regardless of sequence length. By the time the sequence reaches the LSTM, it is already a compressed, semantically rich representation.</w:t>
      </w:r>
    </w:p>
    <w:p>
      <w:pPr>
        <w:pStyle w:val="ListParagraph"/>
        <w:numPr>
          <w:ilvl w:val="0"/>
          <w:numId w:val="2"/>
        </w:numPr>
        <w:spacing w:after="60" w:before="60"/>
      </w:pPr>
      <w:r>
        <w:rPr>
          <w:rFonts w:ascii="Arial" w:cs="Arial" w:eastAsia="Arial" w:hAnsi="Arial"/>
          <w:sz w:val="22"/>
          <w:szCs w:val="22"/>
        </w:rPr>
        <w:t xml:space="preserve">The LSTM then models the system's dynamic state transitions over this compressed representation — a much shorter and more tractable dependency window than the raw road profile.</w:t>
      </w:r>
    </w:p>
    <w:p>
      <w:pPr>
        <w:pStyle w:val="ListParagraph"/>
        <w:numPr>
          <w:ilvl w:val="0"/>
          <w:numId w:val="2"/>
        </w:numPr>
        <w:spacing w:after="60" w:before="60"/>
      </w:pPr>
      <w:r>
        <w:rPr>
          <w:rFonts w:ascii="Arial" w:cs="Arial" w:eastAsia="Arial" w:hAnsi="Arial"/>
          <w:sz w:val="22"/>
          <w:szCs w:val="22"/>
        </w:rPr>
        <w:t xml:space="preserve">Gradient clipping during training and the physics-informed loss as regularizer further stabilize the training process.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7.5 Surrogate Model Results</w:t>
      </w:r>
    </w:p>
    <w:p>
      <w:pPr>
        <w:spacing w:after="80" w:before="80"/>
      </w:pPr>
      <w:r>
        <w:rPr>
          <w:rFonts w:ascii="Arial" w:cs="Arial" w:eastAsia="Arial" w:hAnsi="Arial"/>
          <w:color w:val="000000"/>
          <w:sz w:val="22"/>
          <w:szCs w:val="22"/>
        </w:rPr>
        <w:t xml:space="preserve">The trained surrogate model successfully converged to an optimized suspension configuration. Critically, the optimization that requires 10 to 11 hours using the physics-based ODE approach completes in minutes using the trained PINN surrogate — with no loss in optimization quality for configurations within the training distribution.</w:t>
      </w:r>
    </w:p>
    <w:p>
      <w:pPr>
        <w:spacing w:after="40" w:before="40"/>
      </w:pPr>
      <w:r>
        <w:t xml:space="preserve"/>
      </w:r>
    </w:p>
    <w:p>
      <w:pPr>
        <w:spacing w:after="80" w:before="80"/>
      </w:pPr>
      <w:r>
        <w:rPr>
          <w:rFonts w:ascii="Arial" w:cs="Arial" w:eastAsia="Arial" w:hAnsi="Arial"/>
          <w:color w:val="000000"/>
          <w:sz w:val="22"/>
          <w:szCs w:val="22"/>
        </w:rPr>
        <w:t xml:space="preserve">The framework is deployment-ready. The current training data is simulation-derived. Replacing or augmenting it with real measured road and vehicle response data would further improve prediction accuracy and make the optimized parameters directly reflective of real operating conditions — the natural next step in production deployment.</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8. Approach Comparison</w:t>
      </w:r>
    </w:p>
    <w:p>
      <w:pPr>
        <w:spacing w:after="80" w:before="80"/>
      </w:pPr>
      <w:r>
        <w:rPr>
          <w:rFonts w:ascii="Arial" w:cs="Arial" w:eastAsia="Arial" w:hAnsi="Arial"/>
          <w:color w:val="000000"/>
          <w:sz w:val="22"/>
          <w:szCs w:val="22"/>
        </w:rPr>
        <w:t xml:space="preserve">The two modeling approaches serve complementary roles within the generalized framework. Neither replaces the other: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Physics-Based (ODE)</w:t>
            </w:r>
          </w:p>
        </w:tc>
        <w:tc>
          <w:tcPr>
            <w:tcW w:type="dxa" w:w="3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Deep Learning Surrogate (PINN)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Approach</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Solve governing ODEs numerically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Train neural network on ODE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Compute Time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10–11 hours per full run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Milliseconds per inference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Data Requirement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None — first principles only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Requires simulation training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Accuracy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Exact — ground truth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Bounded by training data quality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Interpretability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Fully interpretable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Black box (mitigated by physics loss)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Scalability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Limited — every change = full re-run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Scales easily across configurations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Physics Consistency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Inherent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Enforced via PINN loss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Best Used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Validation, ground truth generation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Rapid design iteration</w:t>
            </w:r>
          </w:p>
        </w:tc>
      </w:tr>
    </w:tbl>
    <w:p>
      <w:pPr>
        <w:spacing w:after="40" w:before="40"/>
      </w:pPr>
      <w:r>
        <w:t xml:space="preserve"/>
      </w:r>
    </w:p>
    <w:p>
      <w:pPr>
        <w:spacing w:after="80" w:before="80"/>
      </w:pPr>
      <w:r>
        <w:rPr>
          <w:rFonts w:ascii="Arial" w:cs="Arial" w:eastAsia="Arial" w:hAnsi="Arial"/>
          <w:color w:val="000000"/>
          <w:sz w:val="22"/>
          <w:szCs w:val="22"/>
        </w:rPr>
        <w:t xml:space="preserve">The physics-based ODE model remains the ground truth. It is the source of training data for the surrogate, the validation benchmark for surrogate outputs, and the fallback for any configuration outside the surrogate's training distribution. The PINN surrogate enables the rapid design iteration that the ODE model alone cannot support at scale.</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9. Generalised Engineering Optimization Framework</w:t>
      </w:r>
    </w:p>
    <w:p>
      <w:pPr>
        <w:spacing w:after="80" w:before="80"/>
      </w:pPr>
      <w:r>
        <w:rPr>
          <w:rFonts w:ascii="Arial" w:cs="Arial" w:eastAsia="Arial" w:hAnsi="Arial"/>
          <w:color w:val="000000"/>
          <w:sz w:val="22"/>
          <w:szCs w:val="22"/>
        </w:rPr>
        <w:t xml:space="preserve">The ride optimization implementation demonstrates a generalised framework applicable to any engineering subsystem optimization problem where a physical model and an objective function can be defined. The framework has four defining properties: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Dual-mode modeling — integrates both ODE-based and surrogate-based approaches within a single framework, allowing seamless switching based on speed vs. accuracy requirements</w:t>
      </w:r>
    </w:p>
    <w:p>
      <w:pPr>
        <w:pStyle w:val="ListParagraph"/>
        <w:numPr>
          <w:ilvl w:val="0"/>
          <w:numId w:val="2"/>
        </w:numPr>
        <w:spacing w:after="60" w:before="60"/>
      </w:pPr>
      <w:r>
        <w:rPr>
          <w:rFonts w:ascii="Arial" w:cs="Arial" w:eastAsia="Arial" w:hAnsi="Arial"/>
          <w:sz w:val="22"/>
          <w:szCs w:val="22"/>
        </w:rPr>
        <w:t xml:space="preserve">Algorithm-agnostic optimization — supports single-objective (Bayesian Optimization), multi-objective (NSGA-II), gradient-based, and evolutionary algorithms depending on problem structure</w:t>
      </w:r>
    </w:p>
    <w:p>
      <w:pPr>
        <w:pStyle w:val="ListParagraph"/>
        <w:numPr>
          <w:ilvl w:val="0"/>
          <w:numId w:val="2"/>
        </w:numPr>
        <w:spacing w:after="60" w:before="60"/>
      </w:pPr>
      <w:r>
        <w:rPr>
          <w:rFonts w:ascii="Arial" w:cs="Arial" w:eastAsia="Arial" w:hAnsi="Arial"/>
          <w:sz w:val="22"/>
          <w:szCs w:val="22"/>
        </w:rPr>
        <w:t xml:space="preserve">Result comparison — facilitates direct comparison across methods, supporting model validation and better decision-making</w:t>
      </w:r>
    </w:p>
    <w:p>
      <w:pPr>
        <w:pStyle w:val="ListParagraph"/>
        <w:numPr>
          <w:ilvl w:val="0"/>
          <w:numId w:val="2"/>
        </w:numPr>
        <w:spacing w:after="60" w:before="60"/>
      </w:pPr>
      <w:r>
        <w:rPr>
          <w:rFonts w:ascii="Arial" w:cs="Arial" w:eastAsia="Arial" w:hAnsi="Arial"/>
          <w:sz w:val="22"/>
          <w:szCs w:val="22"/>
        </w:rPr>
        <w:t xml:space="preserve">Domain-transferable — the same framework structure applies to any subsystem with a definable physical model: Steering, Frames, Drivetrain NVH, thermal management, and others</w:t>
      </w:r>
    </w:p>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10. Integration with the Agentic Architecture</w:t>
      </w:r>
    </w:p>
    <w:p>
      <w:pPr>
        <w:pStyle w:val="Heading2"/>
        <w:spacing w:after="100" w:before="280"/>
      </w:pPr>
      <w:r>
        <w:rPr>
          <w:rFonts w:ascii="Arial" w:cs="Arial" w:eastAsia="Arial" w:hAnsi="Arial"/>
          <w:b/>
          <w:bCs/>
          <w:color w:val="2E75B6"/>
          <w:sz w:val="28"/>
          <w:szCs w:val="28"/>
        </w:rPr>
        <w:t xml:space="preserve">10.1 The Agent's Role</w:t>
      </w:r>
    </w:p>
    <w:p>
      <w:pPr>
        <w:spacing w:after="80" w:before="80"/>
      </w:pPr>
      <w:r>
        <w:rPr>
          <w:rFonts w:ascii="Arial" w:cs="Arial" w:eastAsia="Arial" w:hAnsi="Arial"/>
          <w:color w:val="000000"/>
          <w:sz w:val="22"/>
          <w:szCs w:val="22"/>
        </w:rPr>
        <w:t xml:space="preserve">The ODE solver, PINN surrogate, and optimization algorithms are tools that the agent calls. They execute computation — but they do not decide whether results are trustworthy, or what to do when execution fails. That reasoning layer is the agent's responsibility.</w:t>
      </w:r>
    </w:p>
    <w:p>
      <w:pPr>
        <w:spacing w:after="40" w:before="40"/>
      </w:pPr>
      <w:r>
        <w:t xml:space="preserve"/>
      </w:r>
    </w:p>
    <w:p>
      <w:pPr>
        <w:spacing w:after="80" w:before="80"/>
      </w:pPr>
      <w:r>
        <w:rPr>
          <w:rFonts w:ascii="Arial" w:cs="Arial" w:eastAsia="Arial" w:hAnsi="Arial"/>
          <w:color w:val="000000"/>
          <w:sz w:val="22"/>
          <w:szCs w:val="22"/>
        </w:rPr>
        <w:t xml:space="preserve">The physics never changes run to run. What the agent adds is a structured decision and audit layer above the physics — ensuring that downstream agents and engineers always receive complete, validated, and interpretable outputs.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10.2 Decision Framework</w:t>
      </w:r>
    </w:p>
    <w:p>
      <w:pPr>
        <w:spacing w:after="80" w:before="80"/>
      </w:pPr>
      <w:r>
        <w:rPr>
          <w:rFonts w:ascii="Arial" w:cs="Arial" w:eastAsia="Arial" w:hAnsi="Arial"/>
          <w:color w:val="000000"/>
          <w:sz w:val="22"/>
          <w:szCs w:val="22"/>
        </w:rPr>
        <w:t xml:space="preserve">At every stage of the workflow, the agent evaluates the output and selects one of four execution paths: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Agent Decision Paths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Proceed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Stage completed cleanly and within expected bounds — move to the next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Retry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Recoverable failure detected — reattempt the stage before deciding whether to continue or escalate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Warn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Stage completed but result is outside expected physical bounds — flag the anomaly, continue with a recorded warning in the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Failure makes continuation meaningless — halt execution and return a structured explanation to the user and downstream agents</w:t>
            </w:r>
          </w:p>
        </w:tc>
      </w:tr>
    </w:tbl>
    <w:p>
      <w:pPr>
        <w:spacing w:after="40" w:before="40"/>
      </w:pPr>
      <w:r>
        <w:t xml:space="preserve"/>
      </w:r>
    </w:p>
    <w:p>
      <w:pPr>
        <w:spacing w:after="80" w:before="80"/>
      </w:pPr>
      <w:r>
        <w:rPr>
          <w:rFonts w:ascii="Arial" w:cs="Arial" w:eastAsia="Arial" w:hAnsi="Arial"/>
          <w:color w:val="000000"/>
          <w:sz w:val="22"/>
          <w:szCs w:val="22"/>
        </w:rPr>
        <w:t xml:space="preserve">Every decision is logged — which path was taken, and why. This audit trail is embedded in the structured output available to downstream agents and to the engineer reviewing results.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10.3 Execution Workflow</w:t>
      </w:r>
    </w:p>
    <w:p>
      <w:pPr>
        <w:spacing w:after="80" w:before="80"/>
      </w:pPr>
      <w:r>
        <w:rPr>
          <w:rFonts w:ascii="Arial" w:cs="Arial" w:eastAsia="Arial" w:hAnsi="Arial"/>
          <w:color w:val="000000"/>
          <w:sz w:val="22"/>
          <w:szCs w:val="22"/>
        </w:rPr>
        <w:t xml:space="preserve">The agent executes the following five-stage workflow for each optimization task: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Five-Stage Agent Workflow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Stage 1: Parse &amp; Validate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Physics code checked for syntax correctness and model validity before any computation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Stage 2: Load Road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Input road profile loaded, format verified, and signal integrity 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Stage 3: Pre-flight Test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Numerical stability check performed; compute-time estimated and reported to the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3A5F"/>
                <w:sz w:val="20"/>
                <w:szCs w:val="20"/>
              </w:rPr>
              <w:t xml:space="preserve">Stage 4: Run Optimiser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Multi-objective (Pareto) or single-objective optimization executed based on configured parameters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E3A5F"/>
                <w:sz w:val="20"/>
                <w:szCs w:val="20"/>
              </w:rPr>
              <w:t xml:space="preserve">Stage 5: Generate Outputs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0"/>
                <w:szCs w:val="20"/>
              </w:rPr>
              <w:t xml:space="preserve">Results packaged into a structured summary with full parameter sets, objective values, and decision audit trail</w:t>
            </w:r>
          </w:p>
        </w:tc>
      </w:tr>
    </w:tbl>
    <w:p>
      <w:r>
        <w:br w:type="page"/>
      </w:r>
    </w:p>
    <w:p>
      <w:pPr>
        <w:pStyle w:val="Heading1"/>
        <w:pBdr>
          <w:bottom w:val="single" w:color="2E75B6" w:sz="8" w:space="4"/>
        </w:pBdr>
        <w:spacing w:after="120" w:before="360"/>
      </w:pPr>
      <w:r>
        <w:rPr>
          <w:rFonts w:ascii="Arial" w:cs="Arial" w:eastAsia="Arial" w:hAnsi="Arial"/>
          <w:b/>
          <w:bCs/>
          <w:color w:val="1E3A5F"/>
          <w:sz w:val="36"/>
          <w:szCs w:val="36"/>
        </w:rPr>
        <w:t xml:space="preserve">11. Conclusions and Future Work</w:t>
      </w:r>
    </w:p>
    <w:p>
      <w:pPr>
        <w:pStyle w:val="Heading2"/>
        <w:spacing w:after="100" w:before="280"/>
      </w:pPr>
      <w:r>
        <w:rPr>
          <w:rFonts w:ascii="Arial" w:cs="Arial" w:eastAsia="Arial" w:hAnsi="Arial"/>
          <w:b/>
          <w:bCs/>
          <w:color w:val="2E75B6"/>
          <w:sz w:val="28"/>
          <w:szCs w:val="28"/>
        </w:rPr>
        <w:t xml:space="preserve">11.1 Summary</w:t>
      </w:r>
    </w:p>
    <w:p>
      <w:pPr>
        <w:spacing w:after="80" w:before="80"/>
      </w:pPr>
      <w:r>
        <w:rPr>
          <w:rFonts w:ascii="Arial" w:cs="Arial" w:eastAsia="Arial" w:hAnsi="Arial"/>
          <w:color w:val="000000"/>
          <w:sz w:val="22"/>
          <w:szCs w:val="22"/>
        </w:rPr>
        <w:t xml:space="preserve">This report has presented a hierarchical multi-agent architecture for AI-augmented product development, and demonstrated its implementation through a full-cycle ride comfort optimization case study for a 6×2 heavy commercial vehicle.</w:t>
      </w:r>
    </w:p>
    <w:p>
      <w:pPr>
        <w:spacing w:after="40" w:before="40"/>
      </w:pPr>
      <w:r>
        <w:t xml:space="preserve"/>
      </w:r>
    </w:p>
    <w:p>
      <w:pPr>
        <w:spacing w:after="80" w:before="80"/>
      </w:pPr>
      <w:r>
        <w:rPr>
          <w:rFonts w:ascii="Arial" w:cs="Arial" w:eastAsia="Arial" w:hAnsi="Arial"/>
          <w:color w:val="000000"/>
          <w:sz w:val="22"/>
          <w:szCs w:val="22"/>
        </w:rPr>
        <w:t xml:space="preserve">Key contributions include:</w:t>
      </w:r>
    </w:p>
    <w:p>
      <w:pPr>
        <w:pStyle w:val="ListParagraph"/>
        <w:numPr>
          <w:ilvl w:val="0"/>
          <w:numId w:val="2"/>
        </w:numPr>
        <w:spacing w:after="60" w:before="60"/>
      </w:pPr>
      <w:r>
        <w:rPr>
          <w:rFonts w:ascii="Arial" w:cs="Arial" w:eastAsia="Arial" w:hAnsi="Arial"/>
          <w:sz w:val="22"/>
          <w:szCs w:val="22"/>
        </w:rPr>
        <w:t xml:space="preserve">A modular, scalable, human-in-the-loop agent architecture applicable to the full breadth of vehicle engineering domains</w:t>
      </w:r>
    </w:p>
    <w:p>
      <w:pPr>
        <w:pStyle w:val="ListParagraph"/>
        <w:numPr>
          <w:ilvl w:val="0"/>
          <w:numId w:val="2"/>
        </w:numPr>
        <w:spacing w:after="60" w:before="60"/>
      </w:pPr>
      <w:r>
        <w:rPr>
          <w:rFonts w:ascii="Arial" w:cs="Arial" w:eastAsia="Arial" w:hAnsi="Arial"/>
          <w:sz w:val="22"/>
          <w:szCs w:val="22"/>
        </w:rPr>
        <w:t xml:space="preserve">A physics-based ODE suspension model with KKT-constrained formulation and Baumgarte stabilization for numerical robustness</w:t>
      </w:r>
    </w:p>
    <w:p>
      <w:pPr>
        <w:pStyle w:val="ListParagraph"/>
        <w:numPr>
          <w:ilvl w:val="0"/>
          <w:numId w:val="2"/>
        </w:numPr>
        <w:spacing w:after="60" w:before="60"/>
      </w:pPr>
      <w:r>
        <w:rPr>
          <w:rFonts w:ascii="Arial" w:cs="Arial" w:eastAsia="Arial" w:hAnsi="Arial"/>
          <w:sz w:val="22"/>
          <w:szCs w:val="22"/>
        </w:rPr>
        <w:t xml:space="preserve">A direct optimization approach for asymmetric nonlinear damper design, demonstrated to be superior to sequential curve-fitting</w:t>
      </w:r>
    </w:p>
    <w:p>
      <w:pPr>
        <w:pStyle w:val="ListParagraph"/>
        <w:numPr>
          <w:ilvl w:val="0"/>
          <w:numId w:val="2"/>
        </w:numPr>
        <w:spacing w:after="60" w:before="60"/>
      </w:pPr>
      <w:r>
        <w:rPr>
          <w:rFonts w:ascii="Arial" w:cs="Arial" w:eastAsia="Arial" w:hAnsi="Arial"/>
          <w:sz w:val="22"/>
          <w:szCs w:val="22"/>
        </w:rPr>
        <w:t xml:space="preserve">A Physics-Informed Neural Network surrogate that reduces optimization runtime from 10+ hours to minutes while preserving physical consistency</w:t>
      </w:r>
    </w:p>
    <w:p>
      <w:pPr>
        <w:pStyle w:val="ListParagraph"/>
        <w:numPr>
          <w:ilvl w:val="0"/>
          <w:numId w:val="2"/>
        </w:numPr>
        <w:spacing w:after="60" w:before="60"/>
      </w:pPr>
      <w:r>
        <w:rPr>
          <w:rFonts w:ascii="Arial" w:cs="Arial" w:eastAsia="Arial" w:hAnsi="Arial"/>
          <w:sz w:val="22"/>
          <w:szCs w:val="22"/>
        </w:rPr>
        <w:t xml:space="preserve">A multi-objective NSGA-II optimization framework providing Pareto-optimal trade-off solutions superior in engineering utility to single-objective aggregation</w:t>
      </w:r>
    </w:p>
    <w:p>
      <w:pPr>
        <w:pStyle w:val="ListParagraph"/>
        <w:numPr>
          <w:ilvl w:val="0"/>
          <w:numId w:val="2"/>
        </w:numPr>
        <w:spacing w:after="60" w:before="60"/>
      </w:pPr>
      <w:r>
        <w:rPr>
          <w:rFonts w:ascii="Arial" w:cs="Arial" w:eastAsia="Arial" w:hAnsi="Arial"/>
          <w:sz w:val="22"/>
          <w:szCs w:val="22"/>
        </w:rPr>
        <w:t xml:space="preserve">An intelligent agent wrapper with structured decision logic, four-path execution control, and full audit trail generation</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11.2 Future Work</w:t>
      </w:r>
    </w:p>
    <w:p>
      <w:pPr>
        <w:pStyle w:val="ListParagraph"/>
        <w:numPr>
          <w:ilvl w:val="0"/>
          <w:numId w:val="2"/>
        </w:numPr>
        <w:spacing w:after="60" w:before="60"/>
      </w:pPr>
      <w:r>
        <w:rPr>
          <w:rFonts w:ascii="Arial" w:cs="Arial" w:eastAsia="Arial" w:hAnsi="Arial"/>
          <w:sz w:val="22"/>
          <w:szCs w:val="22"/>
        </w:rPr>
        <w:t xml:space="preserve">Integration of real measured road and vehicle response data into PINN training for production-grade surrogate accuracy</w:t>
      </w:r>
    </w:p>
    <w:p>
      <w:pPr>
        <w:pStyle w:val="ListParagraph"/>
        <w:numPr>
          <w:ilvl w:val="0"/>
          <w:numId w:val="2"/>
        </w:numPr>
        <w:spacing w:after="60" w:before="60"/>
      </w:pPr>
      <w:r>
        <w:rPr>
          <w:rFonts w:ascii="Arial" w:cs="Arial" w:eastAsia="Arial" w:hAnsi="Arial"/>
          <w:sz w:val="22"/>
          <w:szCs w:val="22"/>
        </w:rPr>
        <w:t xml:space="preserve">Extension of the agent framework to additional subsystems — Steering, Frames, and Drivetrain NVH — using the same agent blueprint</w:t>
      </w:r>
    </w:p>
    <w:p>
      <w:pPr>
        <w:pStyle w:val="ListParagraph"/>
        <w:numPr>
          <w:ilvl w:val="0"/>
          <w:numId w:val="2"/>
        </w:numPr>
        <w:spacing w:after="60" w:before="60"/>
      </w:pPr>
      <w:r>
        <w:rPr>
          <w:rFonts w:ascii="Arial" w:cs="Arial" w:eastAsia="Arial" w:hAnsi="Arial"/>
          <w:sz w:val="22"/>
          <w:szCs w:val="22"/>
        </w:rPr>
        <w:t xml:space="preserve">Development of cross-domain orchestration logic for managing interdependencies between subsystem optimization results</w:t>
      </w:r>
    </w:p>
    <w:p>
      <w:pPr>
        <w:pStyle w:val="ListParagraph"/>
        <w:numPr>
          <w:ilvl w:val="0"/>
          <w:numId w:val="2"/>
        </w:numPr>
        <w:spacing w:after="60" w:before="60"/>
      </w:pPr>
      <w:r>
        <w:rPr>
          <w:rFonts w:ascii="Arial" w:cs="Arial" w:eastAsia="Arial" w:hAnsi="Arial"/>
          <w:sz w:val="22"/>
          <w:szCs w:val="22"/>
        </w:rPr>
        <w:t xml:space="preserve">Real-time deployment of the optimization agent integrated with instrumented vehicle test data pipelines</w:t>
      </w:r>
    </w:p>
    <w:p>
      <w:pPr>
        <w:pStyle w:val="ListParagraph"/>
        <w:numPr>
          <w:ilvl w:val="0"/>
          <w:numId w:val="2"/>
        </w:numPr>
        <w:spacing w:after="60" w:before="60"/>
      </w:pPr>
      <w:r>
        <w:rPr>
          <w:rFonts w:ascii="Arial" w:cs="Arial" w:eastAsia="Arial" w:hAnsi="Arial"/>
          <w:sz w:val="22"/>
          <w:szCs w:val="22"/>
        </w:rPr>
        <w:t xml:space="preserve">Expansion of the agent decision framework to include supplier selection, regulatory compliance checking, and weight optimization agents</w:t>
      </w:r>
    </w:p>
    <w:p>
      <w:pPr>
        <w:spacing w:after="40" w:before="40"/>
      </w:pPr>
      <w:r>
        <w:t xml:space="preserve"/>
      </w:r>
    </w:p>
    <w:p>
      <w:pPr>
        <w:pStyle w:val="Heading2"/>
        <w:spacing w:after="100" w:before="280"/>
      </w:pPr>
      <w:r>
        <w:rPr>
          <w:rFonts w:ascii="Arial" w:cs="Arial" w:eastAsia="Arial" w:hAnsi="Arial"/>
          <w:b/>
          <w:bCs/>
          <w:color w:val="2E75B6"/>
          <w:sz w:val="28"/>
          <w:szCs w:val="28"/>
        </w:rPr>
        <w:t xml:space="preserve">11.3 Closing Statement</w:t>
      </w:r>
    </w:p>
    <w:p>
      <w:pPr>
        <w:spacing w:after="80" w:before="80"/>
      </w:pPr>
      <w:r>
        <w:rPr>
          <w:rFonts w:ascii="Arial" w:cs="Arial" w:eastAsia="Arial" w:hAnsi="Arial"/>
          <w:color w:val="000000"/>
          <w:sz w:val="22"/>
          <w:szCs w:val="22"/>
        </w:rPr>
        <w:t xml:space="preserve">The architecture and implementation presented in this report represent a foundational step toward AI-native engineering — where intelligent agents do not replace engineers but meaningfully extend their capacity to explore the design space, validate assumptions, and make better-informed decisions faster. The framework is designed to grow with the program, not constrain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8"/>
        <w:szCs w:val="18"/>
      </w:rPr>
      <w:t xml:space="preserve">Madhupranavi S | Revanth Kannan G | Siddhant Erande</w:t>
    </w:r>
    <w:r>
      <w:rPr>
        <w:rFonts w:ascii="Arial" w:cs="Arial" w:eastAsia="Arial" w:hAnsi="Arial"/>
        <w:color w:val="595959"/>
        <w:sz w:val="18"/>
        <w:szCs w:val="18"/>
      </w:rPr>
      <w:t xml:space="preserve">	Page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color w:val="595959"/>
        <w:sz w:val="18"/>
        <w:szCs w:val="18"/>
      </w:rPr>
      <w:t xml:space="preserve">Intelligent Scalable Multi-Agent Architecture for Product Development</w:t>
    </w:r>
    <w:r>
      <w:rPr>
        <w:rFonts w:ascii="Arial" w:cs="Arial" w:eastAsia="Arial" w:hAnsi="Arial"/>
        <w:color w:val="2E75B6"/>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2026-05-18T04:56:03.706Z</dcterms:created>
  <dcterms:modified xsi:type="dcterms:W3CDTF">2026-05-18T04:56:03.706Z</dcterms:modified>
</cp:coreProperties>
</file>

<file path=docProps/custom.xml><?xml version="1.0" encoding="utf-8"?>
<Properties xmlns="http://schemas.openxmlformats.org/officeDocument/2006/custom-properties" xmlns:vt="http://schemas.openxmlformats.org/officeDocument/2006/docPropsVTypes"/>
</file>